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883"/>
        <w:jc w:val="center"/>
        <w:rPr>
          <w:rFonts w:ascii="Times New Roman" w:hAnsi="Times New Roman" w:eastAsia="宋体" w:cs="Times New Roman"/>
          <w:b/>
          <w:spacing w:val="-20"/>
          <w:sz w:val="44"/>
          <w:szCs w:val="44"/>
        </w:rPr>
      </w:pPr>
    </w:p>
    <w:p>
      <w:pPr>
        <w:adjustRightInd w:val="0"/>
        <w:snapToGrid w:val="0"/>
        <w:spacing w:line="360" w:lineRule="auto"/>
        <w:jc w:val="center"/>
        <w:rPr>
          <w:rFonts w:ascii="Times New Roman" w:hAnsi="Times New Roman" w:eastAsia="宋体" w:cs="Times New Roman"/>
          <w:b/>
          <w:spacing w:val="-20"/>
          <w:sz w:val="44"/>
          <w:szCs w:val="44"/>
        </w:rPr>
      </w:pPr>
    </w:p>
    <w:p>
      <w:pPr>
        <w:adjustRightInd w:val="0"/>
        <w:snapToGrid w:val="0"/>
        <w:spacing w:line="360" w:lineRule="auto"/>
        <w:jc w:val="center"/>
        <w:rPr>
          <w:rFonts w:ascii="Times New Roman" w:hAnsi="Times New Roman" w:eastAsia="宋体" w:cs="Times New Roman"/>
          <w:b/>
          <w:spacing w:val="-20"/>
          <w:sz w:val="44"/>
          <w:szCs w:val="44"/>
        </w:rPr>
      </w:pPr>
      <w:r>
        <w:rPr>
          <w:rFonts w:ascii="Times New Roman" w:hAnsi="Times New Roman" w:eastAsia="宋体" w:cs="Times New Roman"/>
          <w:b/>
          <w:spacing w:val="-20"/>
          <w:sz w:val="44"/>
          <w:szCs w:val="44"/>
        </w:rPr>
        <w:t>恒口示范区（试验区）</w:t>
      </w:r>
    </w:p>
    <w:p>
      <w:pPr>
        <w:adjustRightInd w:val="0"/>
        <w:snapToGrid w:val="0"/>
        <w:spacing w:line="360" w:lineRule="auto"/>
        <w:jc w:val="center"/>
        <w:rPr>
          <w:rFonts w:ascii="Times New Roman" w:hAnsi="Times New Roman" w:eastAsia="宋体" w:cs="Times New Roman"/>
          <w:b/>
          <w:spacing w:val="-20"/>
          <w:sz w:val="44"/>
          <w:szCs w:val="44"/>
        </w:rPr>
      </w:pPr>
      <w:r>
        <w:rPr>
          <w:rFonts w:hint="eastAsia" w:ascii="Times New Roman" w:hAnsi="Times New Roman" w:eastAsia="宋体" w:cs="Times New Roman"/>
          <w:b/>
          <w:spacing w:val="-20"/>
          <w:sz w:val="44"/>
          <w:szCs w:val="44"/>
        </w:rPr>
        <w:t>综合性</w:t>
      </w:r>
      <w:r>
        <w:rPr>
          <w:rFonts w:ascii="Times New Roman" w:hAnsi="Times New Roman" w:eastAsia="宋体" w:cs="Times New Roman"/>
          <w:b/>
          <w:spacing w:val="-20"/>
          <w:sz w:val="44"/>
          <w:szCs w:val="44"/>
        </w:rPr>
        <w:t>三级中医医院建设项目</w:t>
      </w:r>
    </w:p>
    <w:p>
      <w:pPr>
        <w:adjustRightInd w:val="0"/>
        <w:snapToGrid w:val="0"/>
        <w:spacing w:line="360" w:lineRule="auto"/>
        <w:jc w:val="center"/>
        <w:rPr>
          <w:rFonts w:ascii="Times New Roman" w:hAnsi="Times New Roman" w:eastAsia="宋体" w:cs="Times New Roman"/>
          <w:b/>
          <w:sz w:val="84"/>
          <w:szCs w:val="84"/>
          <w:lang w:val="zh-CN"/>
        </w:rPr>
      </w:pPr>
      <w:r>
        <w:rPr>
          <w:rFonts w:ascii="Times New Roman" w:hAnsi="Times New Roman" w:eastAsia="宋体" w:cs="Times New Roman"/>
          <w:b/>
          <w:sz w:val="84"/>
          <w:szCs w:val="84"/>
          <w:lang w:val="zh-CN"/>
        </w:rPr>
        <w:t>环境影响报告书</w:t>
      </w:r>
    </w:p>
    <w:p>
      <w:pPr>
        <w:adjustRightInd w:val="0"/>
        <w:snapToGrid w:val="0"/>
        <w:spacing w:line="360" w:lineRule="auto"/>
        <w:jc w:val="center"/>
        <w:rPr>
          <w:rFonts w:ascii="Times New Roman" w:hAnsi="Times New Roman" w:eastAsia="宋体" w:cs="Times New Roman"/>
          <w:b/>
          <w:sz w:val="40"/>
        </w:rPr>
      </w:pPr>
      <w:r>
        <w:rPr>
          <w:rFonts w:ascii="Times New Roman" w:hAnsi="Times New Roman" w:eastAsia="宋体" w:cs="Times New Roman"/>
          <w:b/>
          <w:sz w:val="40"/>
        </w:rPr>
        <w:t>（</w:t>
      </w:r>
      <w:r>
        <w:rPr>
          <w:rFonts w:hint="eastAsia" w:ascii="Times New Roman" w:hAnsi="Times New Roman" w:eastAsia="宋体" w:cs="Times New Roman"/>
          <w:b/>
          <w:sz w:val="40"/>
        </w:rPr>
        <w:t>报批</w:t>
      </w:r>
      <w:r>
        <w:rPr>
          <w:rFonts w:ascii="Times New Roman" w:hAnsi="Times New Roman" w:eastAsia="宋体" w:cs="Times New Roman"/>
          <w:b/>
          <w:sz w:val="40"/>
        </w:rPr>
        <w:t>稿）</w:t>
      </w: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rPr>
          <w:rFonts w:ascii="Times New Roman" w:hAnsi="Times New Roman" w:eastAsia="宋体" w:cs="Times New Roman"/>
          <w:sz w:val="24"/>
          <w:lang w:val="zh-CN"/>
        </w:rPr>
      </w:pPr>
    </w:p>
    <w:p>
      <w:pPr>
        <w:adjustRightInd w:val="0"/>
        <w:snapToGrid w:val="0"/>
        <w:spacing w:line="360" w:lineRule="auto"/>
        <w:ind w:firstLine="480" w:firstLineChars="150"/>
        <w:rPr>
          <w:rFonts w:ascii="Times New Roman" w:hAnsi="Times New Roman" w:eastAsia="宋体" w:cs="Times New Roman"/>
          <w:b/>
          <w:sz w:val="32"/>
          <w:lang w:val="zh-CN"/>
        </w:rPr>
      </w:pPr>
      <w:r>
        <w:rPr>
          <w:rFonts w:ascii="Times New Roman" w:hAnsi="Times New Roman" w:eastAsia="宋体" w:cs="Times New Roman"/>
          <w:b/>
          <w:sz w:val="32"/>
          <w:lang w:val="zh-CN"/>
        </w:rPr>
        <w:t>编制单位：西安君润环保科技工程有限公司</w:t>
      </w:r>
    </w:p>
    <w:p>
      <w:pPr>
        <w:adjustRightInd w:val="0"/>
        <w:snapToGrid w:val="0"/>
        <w:spacing w:line="360" w:lineRule="auto"/>
        <w:jc w:val="center"/>
        <w:rPr>
          <w:rFonts w:ascii="Times New Roman" w:hAnsi="Times New Roman" w:eastAsia="宋体" w:cs="Times New Roman"/>
          <w:b/>
          <w:sz w:val="32"/>
          <w:lang w:val="zh-CN"/>
        </w:rPr>
      </w:pPr>
      <w:r>
        <w:rPr>
          <w:rFonts w:ascii="Times New Roman" w:hAnsi="Times New Roman" w:eastAsia="宋体" w:cs="Times New Roman"/>
          <w:b/>
          <w:sz w:val="32"/>
          <w:lang w:val="zh-CN"/>
        </w:rPr>
        <w:t>建设单位：</w:t>
      </w:r>
      <w:r>
        <w:rPr>
          <w:rFonts w:ascii="Times New Roman" w:hAnsi="Times New Roman" w:eastAsia="宋体" w:cs="Times New Roman"/>
          <w:b/>
          <w:sz w:val="32"/>
        </w:rPr>
        <w:t>恒口镇人民政府（</w:t>
      </w:r>
      <w:r>
        <w:rPr>
          <w:rFonts w:hint="eastAsia" w:ascii="Times New Roman" w:hAnsi="Times New Roman" w:eastAsia="宋体" w:cs="Times New Roman"/>
          <w:b/>
          <w:sz w:val="32"/>
        </w:rPr>
        <w:t>恒口示范区卫生健康局</w:t>
      </w:r>
      <w:r>
        <w:rPr>
          <w:rFonts w:ascii="Times New Roman" w:hAnsi="Times New Roman" w:eastAsia="宋体" w:cs="Times New Roman"/>
          <w:b/>
          <w:sz w:val="32"/>
        </w:rPr>
        <w:t>）</w:t>
      </w:r>
    </w:p>
    <w:p>
      <w:pPr>
        <w:adjustRightInd w:val="0"/>
        <w:snapToGrid w:val="0"/>
        <w:spacing w:line="360" w:lineRule="auto"/>
        <w:jc w:val="center"/>
        <w:rPr>
          <w:rFonts w:ascii="Times New Roman" w:hAnsi="Times New Roman" w:eastAsia="宋体" w:cs="Times New Roman"/>
          <w:b/>
          <w:sz w:val="32"/>
          <w:lang w:val="zh-CN"/>
        </w:rPr>
      </w:pPr>
      <w:r>
        <w:rPr>
          <w:rFonts w:ascii="Times New Roman" w:hAnsi="Times New Roman" w:eastAsia="宋体" w:cs="Times New Roman"/>
          <w:b/>
          <w:sz w:val="32"/>
          <w:lang w:val="zh-CN"/>
        </w:rPr>
        <w:t>2022年9月</w:t>
      </w:r>
    </w:p>
    <w:p>
      <w:pPr>
        <w:adjustRightInd w:val="0"/>
        <w:snapToGrid w:val="0"/>
        <w:spacing w:line="360" w:lineRule="auto"/>
        <w:ind w:firstLine="640" w:firstLineChars="200"/>
        <w:jc w:val="center"/>
        <w:rPr>
          <w:rFonts w:ascii="Times New Roman" w:hAnsi="Times New Roman" w:eastAsia="宋体" w:cs="Times New Roman"/>
          <w:b/>
          <w:sz w:val="32"/>
          <w:highlight w:val="yellow"/>
          <w:lang w:val="zh-CN"/>
        </w:rPr>
        <w:sectPr>
          <w:headerReference r:id="rId5" w:type="first"/>
          <w:footerReference r:id="rId7" w:type="first"/>
          <w:headerReference r:id="rId3" w:type="default"/>
          <w:headerReference r:id="rId4" w:type="even"/>
          <w:footerReference r:id="rId6" w:type="even"/>
          <w:pgSz w:w="11906" w:h="16838"/>
          <w:pgMar w:top="1418" w:right="1418" w:bottom="1418" w:left="1588" w:header="992" w:footer="992" w:gutter="0"/>
          <w:pgNumType w:fmt="upperRoman" w:start="1"/>
          <w:cols w:space="425" w:num="1"/>
          <w:docGrid w:type="linesAndChars" w:linePitch="312" w:charSpace="0"/>
        </w:sectPr>
      </w:pPr>
      <w:r>
        <w:rPr>
          <w:rFonts w:ascii="Times New Roman" w:hAnsi="Times New Roman" w:eastAsia="宋体" w:cs="Times New Roman"/>
          <w:b/>
          <w:sz w:val="32"/>
          <w:highlight w:val="yellow"/>
          <w:lang w:val="zh-CN"/>
        </w:rPr>
        <w:br w:type="column"/>
      </w:r>
    </w:p>
    <w:sdt>
      <w:sdtPr>
        <w:rPr>
          <w:rFonts w:asciiTheme="minorHAnsi" w:hAnsiTheme="minorHAnsi" w:eastAsiaTheme="minorEastAsia" w:cstheme="minorBidi"/>
          <w:b w:val="0"/>
          <w:bCs w:val="0"/>
          <w:color w:val="auto"/>
          <w:kern w:val="2"/>
          <w:sz w:val="21"/>
          <w:szCs w:val="22"/>
          <w:highlight w:val="yellow"/>
          <w:lang w:val="zh-CN"/>
        </w:rPr>
        <w:id w:val="2114785611"/>
        <w:docPartObj>
          <w:docPartGallery w:val="Table of Contents"/>
          <w:docPartUnique/>
        </w:docPartObj>
      </w:sdtPr>
      <w:sdtEndPr>
        <w:rPr>
          <w:rFonts w:asciiTheme="minorHAnsi" w:hAnsiTheme="minorHAnsi" w:eastAsiaTheme="minorEastAsia" w:cstheme="minorBidi"/>
          <w:b w:val="0"/>
          <w:bCs w:val="0"/>
          <w:color w:val="auto"/>
          <w:kern w:val="2"/>
          <w:sz w:val="21"/>
          <w:szCs w:val="22"/>
          <w:highlight w:val="yellow"/>
          <w:lang w:val="en-US"/>
        </w:rPr>
      </w:sdtEndPr>
      <w:sdtContent>
        <w:p>
          <w:pPr>
            <w:pStyle w:val="72"/>
            <w:jc w:val="center"/>
            <w:rPr>
              <w:rFonts w:ascii="Times New Roman" w:hAnsi="Times New Roman" w:cs="Times New Roman"/>
            </w:rPr>
          </w:pPr>
          <w:r>
            <w:rPr>
              <w:rFonts w:ascii="Times New Roman" w:hAnsi="Times New Roman" w:cs="Times New Roman"/>
              <w:lang w:val="zh-CN"/>
            </w:rPr>
            <w:t>目录</w:t>
          </w:r>
        </w:p>
        <w:p>
          <w:pPr>
            <w:pStyle w:val="16"/>
            <w:tabs>
              <w:tab w:val="right" w:leader="dot" w:pos="8890"/>
            </w:tabs>
            <w:rPr>
              <w:rFonts w:ascii="Times New Roman" w:hAnsi="Times New Roman" w:cs="Times New Roman"/>
            </w:rPr>
          </w:pPr>
          <w:r>
            <w:rPr>
              <w:rFonts w:ascii="Times New Roman" w:hAnsi="Times New Roman" w:cs="Times New Roman"/>
              <w:highlight w:val="yellow"/>
            </w:rPr>
            <w:fldChar w:fldCharType="begin"/>
          </w:r>
          <w:r>
            <w:rPr>
              <w:rFonts w:ascii="Times New Roman" w:hAnsi="Times New Roman" w:cs="Times New Roman"/>
              <w:highlight w:val="yellow"/>
            </w:rPr>
            <w:instrText xml:space="preserve"> TOC \o "1-2" \h \z \u </w:instrText>
          </w:r>
          <w:r>
            <w:rPr>
              <w:rFonts w:ascii="Times New Roman" w:hAnsi="Times New Roman" w:cs="Times New Roman"/>
              <w:highlight w:val="yellow"/>
            </w:rPr>
            <w:fldChar w:fldCharType="separate"/>
          </w:r>
          <w:r>
            <w:fldChar w:fldCharType="begin"/>
          </w:r>
          <w:r>
            <w:instrText xml:space="preserve"> HYPERLINK \l "_Toc113260408" </w:instrText>
          </w:r>
          <w:r>
            <w:fldChar w:fldCharType="separate"/>
          </w:r>
          <w:r>
            <w:rPr>
              <w:rStyle w:val="28"/>
              <w:rFonts w:ascii="Times New Roman" w:hAnsi="Times New Roman" w:cs="Times New Roman"/>
            </w:rPr>
            <w:t>1 概述</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_Toc113260408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"_Toc113260409" </w:instrText>
          </w:r>
          <w:r>
            <w:fldChar w:fldCharType="separate"/>
          </w:r>
          <w:r>
            <w:rPr>
              <w:rStyle w:val="28"/>
              <w:rFonts w:ascii="Times New Roman" w:hAnsi="Times New Roman" w:cs="Times New Roman"/>
            </w:rPr>
            <w:t>1.1 项目背景及由来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_Toc113260409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"_Toc113260410" </w:instrText>
          </w:r>
          <w:r>
            <w:fldChar w:fldCharType="separate"/>
          </w:r>
          <w:r>
            <w:rPr>
              <w:rStyle w:val="28"/>
              <w:rFonts w:ascii="Times New Roman" w:hAnsi="Times New Roman" w:cs="Times New Roman"/>
            </w:rPr>
            <w:t>1.2 分析判定情况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_Toc113260410 \h </w:instrText>
          </w:r>
          <w:r>
            <w:rPr>
              <w:rFonts w:ascii="Times New Roman" w:hAnsi="Times New Roman" w:cs="Times New Roman"/>
            </w:rPr>
            <w:fldChar w:fldCharType="separate"/>
          </w:r>
          <w:r>
            <w:rPr>
              <w:rFonts w:ascii="Times New Roman" w:hAnsi="Times New Roman" w:cs="Times New Roman"/>
            </w:rPr>
            <w:t>- 1 -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"_Toc113260411" </w:instrText>
          </w:r>
          <w:r>
            <w:fldChar w:fldCharType="separate"/>
          </w:r>
          <w:r>
            <w:rPr>
              <w:rStyle w:val="28"/>
              <w:rFonts w:ascii="Times New Roman" w:hAnsi="Times New Roman" w:cs="Times New Roman"/>
            </w:rPr>
            <w:t>1.3 建设项目特点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_Toc113260411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"_Toc113260412" </w:instrText>
          </w:r>
          <w:r>
            <w:fldChar w:fldCharType="separate"/>
          </w:r>
          <w:r>
            <w:rPr>
              <w:rStyle w:val="28"/>
              <w:rFonts w:ascii="Times New Roman" w:hAnsi="Times New Roman" w:cs="Times New Roman"/>
            </w:rPr>
            <w:t>1.4 环境影响评价的工作过程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_Toc113260412 \h </w:instrText>
          </w:r>
          <w:r>
            <w:rPr>
              <w:rFonts w:ascii="Times New Roman" w:hAnsi="Times New Roman" w:cs="Times New Roman"/>
            </w:rPr>
            <w:fldChar w:fldCharType="separate"/>
          </w:r>
          <w:r>
            <w:rPr>
              <w:rFonts w:ascii="Times New Roman" w:hAnsi="Times New Roman" w:cs="Times New Roman"/>
            </w:rPr>
            <w:t>- 6 -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"_Toc113260413" </w:instrText>
          </w:r>
          <w:r>
            <w:fldChar w:fldCharType="separate"/>
          </w:r>
          <w:r>
            <w:rPr>
              <w:rStyle w:val="28"/>
              <w:rFonts w:ascii="Times New Roman" w:hAnsi="Times New Roman" w:cs="Times New Roman"/>
            </w:rPr>
            <w:t>1.5 关注的主要环境问题</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_Toc113260413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"_Toc113260414" </w:instrText>
          </w:r>
          <w:r>
            <w:fldChar w:fldCharType="separate"/>
          </w:r>
          <w:r>
            <w:rPr>
              <w:rStyle w:val="28"/>
              <w:rFonts w:ascii="Times New Roman" w:hAnsi="Times New Roman" w:cs="Times New Roman"/>
            </w:rPr>
            <w:t>1.6 报告书的主要结论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_Toc113260414 \h </w:instrText>
          </w:r>
          <w:r>
            <w:rPr>
              <w:rFonts w:ascii="Times New Roman" w:hAnsi="Times New Roman" w:cs="Times New Roman"/>
            </w:rPr>
            <w:fldChar w:fldCharType="separate"/>
          </w:r>
          <w:r>
            <w:rPr>
              <w:rFonts w:ascii="Times New Roman" w:hAnsi="Times New Roman" w:cs="Times New Roman"/>
            </w:rPr>
            <w:t>- 7 -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"_Toc113260415" </w:instrText>
          </w:r>
          <w:r>
            <w:fldChar w:fldCharType="separate"/>
          </w:r>
          <w:r>
            <w:rPr>
              <w:rStyle w:val="28"/>
              <w:rFonts w:ascii="Times New Roman" w:hAnsi="Times New Roman" w:cs="Times New Roman"/>
            </w:rPr>
            <w:t>2 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_Toc113260415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"_Toc113260416" </w:instrText>
          </w:r>
          <w:r>
            <w:fldChar w:fldCharType="separate"/>
          </w:r>
          <w:r>
            <w:rPr>
              <w:rStyle w:val="28"/>
              <w:rFonts w:ascii="Times New Roman" w:hAnsi="Times New Roman" w:cs="Times New Roman"/>
            </w:rPr>
            <w:t>2.1 编制依据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_Toc113260416 \h </w:instrText>
          </w:r>
          <w:r>
            <w:rPr>
              <w:rFonts w:ascii="Times New Roman" w:hAnsi="Times New Roman" w:cs="Times New Roman"/>
            </w:rPr>
            <w:fldChar w:fldCharType="separate"/>
          </w:r>
          <w:r>
            <w:rPr>
              <w:rFonts w:ascii="Times New Roman" w:hAnsi="Times New Roman" w:cs="Times New Roman"/>
            </w:rPr>
            <w:t>- 9 -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"_Toc113260417" </w:instrText>
          </w:r>
          <w:r>
            <w:fldChar w:fldCharType="separate"/>
          </w:r>
          <w:r>
            <w:rPr>
              <w:rStyle w:val="28"/>
              <w:rFonts w:ascii="Times New Roman" w:hAnsi="Times New Roman" w:cs="Times New Roman"/>
            </w:rPr>
            <w:t>2.2 评价目的和原则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_Toc113260417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"_Toc113260418" </w:instrText>
          </w:r>
          <w:r>
            <w:fldChar w:fldCharType="separate"/>
          </w:r>
          <w:r>
            <w:rPr>
              <w:rStyle w:val="28"/>
              <w:rFonts w:ascii="Times New Roman" w:hAnsi="Times New Roman" w:cs="Times New Roman"/>
            </w:rPr>
            <w:t>2.3 环境影响识别与评价因子筛选</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_Toc113260418 \h </w:instrText>
          </w:r>
          <w:r>
            <w:rPr>
              <w:rFonts w:ascii="Times New Roman" w:hAnsi="Times New Roman" w:cs="Times New Roman"/>
            </w:rPr>
            <w:fldChar w:fldCharType="separate"/>
          </w:r>
          <w:r>
            <w:rPr>
              <w:rFonts w:ascii="Times New Roman" w:hAnsi="Times New Roman" w:cs="Times New Roman"/>
            </w:rPr>
            <w:t>- 12 -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"_Toc113260419" </w:instrText>
          </w:r>
          <w:r>
            <w:fldChar w:fldCharType="separate"/>
          </w:r>
          <w:r>
            <w:rPr>
              <w:rStyle w:val="28"/>
              <w:rFonts w:ascii="Times New Roman" w:hAnsi="Times New Roman" w:cs="Times New Roman"/>
            </w:rPr>
            <w:t>2.4 评价工作等级和评价范围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_Toc113260419 \h </w:instrText>
          </w:r>
          <w:r>
            <w:rPr>
              <w:rFonts w:ascii="Times New Roman" w:hAnsi="Times New Roman" w:cs="Times New Roman"/>
            </w:rPr>
            <w:fldChar w:fldCharType="separate"/>
          </w:r>
          <w:r>
            <w:rPr>
              <w:rFonts w:ascii="Times New Roman" w:hAnsi="Times New Roman" w:cs="Times New Roman"/>
            </w:rPr>
            <w:t>- 13 -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"_Toc113260420" </w:instrText>
          </w:r>
          <w:r>
            <w:fldChar w:fldCharType="separate"/>
          </w:r>
          <w:r>
            <w:rPr>
              <w:rStyle w:val="28"/>
              <w:rFonts w:ascii="Times New Roman" w:hAnsi="Times New Roman" w:cs="Times New Roman"/>
            </w:rPr>
            <w:t>2.5 环境功能区划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_Toc113260420 \h </w:instrText>
          </w:r>
          <w:r>
            <w:rPr>
              <w:rFonts w:ascii="Times New Roman" w:hAnsi="Times New Roman" w:cs="Times New Roman"/>
            </w:rPr>
            <w:fldChar w:fldCharType="separate"/>
          </w:r>
          <w:r>
            <w:rPr>
              <w:rFonts w:ascii="Times New Roman" w:hAnsi="Times New Roman" w:cs="Times New Roman"/>
            </w:rPr>
            <w:t>- 18 -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"_Toc113260421" </w:instrText>
          </w:r>
          <w:r>
            <w:fldChar w:fldCharType="separate"/>
          </w:r>
          <w:r>
            <w:rPr>
              <w:rStyle w:val="28"/>
              <w:rFonts w:ascii="Times New Roman" w:hAnsi="Times New Roman" w:cs="Times New Roman"/>
            </w:rPr>
            <w:t>2.6 评价标准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_Toc113260421 \h </w:instrText>
          </w:r>
          <w:r>
            <w:rPr>
              <w:rFonts w:ascii="Times New Roman" w:hAnsi="Times New Roman" w:cs="Times New Roman"/>
            </w:rPr>
            <w:fldChar w:fldCharType="separate"/>
          </w:r>
          <w:r>
            <w:rPr>
              <w:rFonts w:ascii="Times New Roman" w:hAnsi="Times New Roman" w:cs="Times New Roman"/>
            </w:rPr>
            <w:t>- 18 -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"_Toc113260422" </w:instrText>
          </w:r>
          <w:r>
            <w:fldChar w:fldCharType="separate"/>
          </w:r>
          <w:r>
            <w:rPr>
              <w:rStyle w:val="28"/>
              <w:rFonts w:ascii="Times New Roman" w:hAnsi="Times New Roman" w:cs="Times New Roman"/>
            </w:rPr>
            <w:t>2.7 污染控制目标和环境保护目标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_Toc113260422 \h </w:instrText>
          </w:r>
          <w:r>
            <w:rPr>
              <w:rFonts w:ascii="Times New Roman" w:hAnsi="Times New Roman" w:cs="Times New Roman"/>
            </w:rPr>
            <w:fldChar w:fldCharType="separate"/>
          </w:r>
          <w:r>
            <w:rPr>
              <w:rFonts w:ascii="Times New Roman" w:hAnsi="Times New Roman" w:cs="Times New Roman"/>
            </w:rPr>
            <w:t>- 22 -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"_Toc113260423" </w:instrText>
          </w:r>
          <w:r>
            <w:fldChar w:fldCharType="separate"/>
          </w:r>
          <w:r>
            <w:rPr>
              <w:rStyle w:val="28"/>
              <w:rFonts w:ascii="Times New Roman" w:hAnsi="Times New Roman" w:cs="Times New Roman"/>
            </w:rPr>
            <w:t>3 建设项目概况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_Toc113260423 \h </w:instrText>
          </w:r>
          <w:r>
            <w:rPr>
              <w:rFonts w:ascii="Times New Roman" w:hAnsi="Times New Roman" w:cs="Times New Roman"/>
            </w:rPr>
            <w:fldChar w:fldCharType="separate"/>
          </w:r>
          <w:r>
            <w:rPr>
              <w:rFonts w:ascii="Times New Roman" w:hAnsi="Times New Roman" w:cs="Times New Roman"/>
            </w:rPr>
            <w:t>- 25 -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"_Toc113260424" </w:instrText>
          </w:r>
          <w:r>
            <w:fldChar w:fldCharType="separate"/>
          </w:r>
          <w:r>
            <w:rPr>
              <w:rStyle w:val="28"/>
              <w:rFonts w:ascii="Times New Roman" w:hAnsi="Times New Roman" w:cs="Times New Roman"/>
            </w:rPr>
            <w:t>3.1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_Toc113260424 \h </w:instrText>
          </w:r>
          <w:r>
            <w:rPr>
              <w:rFonts w:ascii="Times New Roman" w:hAnsi="Times New Roman" w:cs="Times New Roman"/>
            </w:rPr>
            <w:fldChar w:fldCharType="separate"/>
          </w:r>
          <w:r>
            <w:rPr>
              <w:rFonts w:ascii="Times New Roman" w:hAnsi="Times New Roman" w:cs="Times New Roman"/>
            </w:rPr>
            <w:t>- 25 -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"_Toc113260425" </w:instrText>
          </w:r>
          <w:r>
            <w:fldChar w:fldCharType="separate"/>
          </w:r>
          <w:r>
            <w:rPr>
              <w:rStyle w:val="28"/>
              <w:rFonts w:ascii="Times New Roman" w:hAnsi="Times New Roman" w:cs="Times New Roman"/>
            </w:rPr>
            <w:t>4 工程分析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_Toc113260425 \h </w:instrText>
          </w:r>
          <w:r>
            <w:rPr>
              <w:rFonts w:ascii="Times New Roman" w:hAnsi="Times New Roman" w:cs="Times New Roman"/>
            </w:rPr>
            <w:fldChar w:fldCharType="separate"/>
          </w:r>
          <w:r>
            <w:rPr>
              <w:rFonts w:ascii="Times New Roman" w:hAnsi="Times New Roman" w:cs="Times New Roman"/>
            </w:rPr>
            <w:t>- 30 -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"_Toc113260426" </w:instrText>
          </w:r>
          <w:r>
            <w:fldChar w:fldCharType="separate"/>
          </w:r>
          <w:r>
            <w:rPr>
              <w:rStyle w:val="28"/>
              <w:rFonts w:ascii="Times New Roman" w:hAnsi="Times New Roman" w:cs="Times New Roman"/>
            </w:rPr>
            <w:t>4.1 影响因素分析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_Toc113260426 \h </w:instrText>
          </w:r>
          <w:r>
            <w:rPr>
              <w:rFonts w:ascii="Times New Roman" w:hAnsi="Times New Roman" w:cs="Times New Roman"/>
            </w:rPr>
            <w:fldChar w:fldCharType="separate"/>
          </w:r>
          <w:r>
            <w:rPr>
              <w:rFonts w:ascii="Times New Roman" w:hAnsi="Times New Roman" w:cs="Times New Roman"/>
            </w:rPr>
            <w:t>- 30 -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"_Toc113260427" </w:instrText>
          </w:r>
          <w:r>
            <w:fldChar w:fldCharType="separate"/>
          </w:r>
          <w:r>
            <w:rPr>
              <w:rStyle w:val="28"/>
              <w:rFonts w:ascii="Times New Roman" w:hAnsi="Times New Roman" w:cs="Times New Roman"/>
            </w:rPr>
            <w:t>4.2 项目污染物源强核算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_Toc113260427 \h </w:instrText>
          </w:r>
          <w:r>
            <w:rPr>
              <w:rFonts w:ascii="Times New Roman" w:hAnsi="Times New Roman" w:cs="Times New Roman"/>
            </w:rPr>
            <w:fldChar w:fldCharType="separate"/>
          </w:r>
          <w:r>
            <w:rPr>
              <w:rFonts w:ascii="Times New Roman" w:hAnsi="Times New Roman" w:cs="Times New Roman"/>
            </w:rPr>
            <w:t>- 33 -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"_Toc113260428" </w:instrText>
          </w:r>
          <w:r>
            <w:fldChar w:fldCharType="separate"/>
          </w:r>
          <w:r>
            <w:rPr>
              <w:rStyle w:val="28"/>
              <w:rFonts w:ascii="Times New Roman" w:hAnsi="Times New Roman" w:cs="Times New Roman"/>
            </w:rPr>
            <w:t>5 环境现状调查与评价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_Toc113260428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"_Toc113260429" </w:instrText>
          </w:r>
          <w:r>
            <w:fldChar w:fldCharType="separate"/>
          </w:r>
          <w:r>
            <w:rPr>
              <w:rStyle w:val="28"/>
              <w:rFonts w:ascii="Times New Roman" w:hAnsi="Times New Roman" w:cs="Times New Roman"/>
            </w:rPr>
            <w:t>5.1 自然概况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_Toc113260429 \h </w:instrText>
          </w:r>
          <w:r>
            <w:rPr>
              <w:rFonts w:ascii="Times New Roman" w:hAnsi="Times New Roman" w:cs="Times New Roman"/>
            </w:rPr>
            <w:fldChar w:fldCharType="separate"/>
          </w:r>
          <w:r>
            <w:rPr>
              <w:rFonts w:ascii="Times New Roman" w:hAnsi="Times New Roman" w:cs="Times New Roman"/>
            </w:rPr>
            <w:t>- 55 -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"_Toc113260430" </w:instrText>
          </w:r>
          <w:r>
            <w:fldChar w:fldCharType="separate"/>
          </w:r>
          <w:r>
            <w:rPr>
              <w:rStyle w:val="28"/>
              <w:rFonts w:ascii="Times New Roman" w:hAnsi="Times New Roman" w:cs="Times New Roman"/>
            </w:rPr>
            <w:t>5.2 环境质量现状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_Toc113260430 \h </w:instrText>
          </w:r>
          <w:r>
            <w:rPr>
              <w:rFonts w:ascii="Times New Roman" w:hAnsi="Times New Roman" w:cs="Times New Roman"/>
            </w:rPr>
            <w:fldChar w:fldCharType="separate"/>
          </w:r>
          <w:r>
            <w:rPr>
              <w:rFonts w:ascii="Times New Roman" w:hAnsi="Times New Roman" w:cs="Times New Roman"/>
            </w:rPr>
            <w:t>- 58 -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"_Toc113260431" </w:instrText>
          </w:r>
          <w:r>
            <w:fldChar w:fldCharType="separate"/>
          </w:r>
          <w:r>
            <w:rPr>
              <w:rStyle w:val="28"/>
              <w:rFonts w:ascii="Times New Roman" w:hAnsi="Times New Roman" w:cs="Times New Roman"/>
            </w:rPr>
            <w:t>6 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_Toc113260431 \h </w:instrText>
          </w:r>
          <w:r>
            <w:rPr>
              <w:rFonts w:ascii="Times New Roman" w:hAnsi="Times New Roman" w:cs="Times New Roman"/>
            </w:rPr>
            <w:fldChar w:fldCharType="separate"/>
          </w:r>
          <w:r>
            <w:rPr>
              <w:rFonts w:ascii="Times New Roman" w:hAnsi="Times New Roman" w:cs="Times New Roman"/>
            </w:rPr>
            <w:t>- 61 -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"_Toc113260432" </w:instrText>
          </w:r>
          <w:r>
            <w:fldChar w:fldCharType="separate"/>
          </w:r>
          <w:r>
            <w:rPr>
              <w:rStyle w:val="28"/>
              <w:rFonts w:ascii="Times New Roman" w:hAnsi="Times New Roman" w:cs="Times New Roman"/>
            </w:rPr>
            <w:t>6.1 施工期环境影响分析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_Toc113260432 \h </w:instrText>
          </w:r>
          <w:r>
            <w:rPr>
              <w:rFonts w:ascii="Times New Roman" w:hAnsi="Times New Roman" w:cs="Times New Roman"/>
            </w:rPr>
            <w:fldChar w:fldCharType="separate"/>
          </w:r>
          <w:r>
            <w:rPr>
              <w:rFonts w:ascii="Times New Roman" w:hAnsi="Times New Roman" w:cs="Times New Roman"/>
            </w:rPr>
            <w:t>- 61 -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"_Toc113260433" </w:instrText>
          </w:r>
          <w:r>
            <w:fldChar w:fldCharType="separate"/>
          </w:r>
          <w:r>
            <w:rPr>
              <w:rStyle w:val="28"/>
              <w:rFonts w:ascii="Times New Roman" w:hAnsi="Times New Roman" w:cs="Times New Roman"/>
            </w:rPr>
            <w:t>6.2 运营期环境影响预测与评价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_Toc113260433 \h </w:instrText>
          </w:r>
          <w:r>
            <w:rPr>
              <w:rFonts w:ascii="Times New Roman" w:hAnsi="Times New Roman" w:cs="Times New Roman"/>
            </w:rPr>
            <w:fldChar w:fldCharType="separate"/>
          </w:r>
          <w:r>
            <w:rPr>
              <w:rFonts w:ascii="Times New Roman" w:hAnsi="Times New Roman" w:cs="Times New Roman"/>
            </w:rPr>
            <w:t>- 67 -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"_Toc113260434" </w:instrText>
          </w:r>
          <w:r>
            <w:fldChar w:fldCharType="separate"/>
          </w:r>
          <w:r>
            <w:rPr>
              <w:rStyle w:val="28"/>
              <w:rFonts w:ascii="Times New Roman" w:hAnsi="Times New Roman" w:cs="Times New Roman"/>
            </w:rPr>
            <w:t>7 环境风险评价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_Toc113260434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"_Toc113260435" </w:instrText>
          </w:r>
          <w:r>
            <w:fldChar w:fldCharType="separate"/>
          </w:r>
          <w:r>
            <w:rPr>
              <w:rStyle w:val="28"/>
              <w:rFonts w:ascii="Times New Roman" w:hAnsi="Times New Roman" w:cs="Times New Roman"/>
            </w:rPr>
            <w:t>7.1 评价原则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_Toc113260435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"_Toc113260436" </w:instrText>
          </w:r>
          <w:r>
            <w:fldChar w:fldCharType="separate"/>
          </w:r>
          <w:r>
            <w:rPr>
              <w:rStyle w:val="28"/>
              <w:rFonts w:ascii="Times New Roman" w:hAnsi="Times New Roman" w:cs="Times New Roman"/>
            </w:rPr>
            <w:t>7.2 风险调查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_Toc113260436 \h </w:instrText>
          </w:r>
          <w:r>
            <w:rPr>
              <w:rFonts w:ascii="Times New Roman" w:hAnsi="Times New Roman" w:cs="Times New Roman"/>
            </w:rPr>
            <w:fldChar w:fldCharType="separate"/>
          </w:r>
          <w:r>
            <w:rPr>
              <w:rFonts w:ascii="Times New Roman" w:hAnsi="Times New Roman" w:cs="Times New Roman"/>
            </w:rPr>
            <w:t>- 86 -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"_Toc113260437" </w:instrText>
          </w:r>
          <w:r>
            <w:fldChar w:fldCharType="separate"/>
          </w:r>
          <w:r>
            <w:rPr>
              <w:rStyle w:val="28"/>
              <w:rFonts w:ascii="Times New Roman" w:hAnsi="Times New Roman" w:cs="Times New Roman"/>
            </w:rPr>
            <w:t>7.3 环境风险潜势初判</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_Toc113260437 \h </w:instrText>
          </w:r>
          <w:r>
            <w:rPr>
              <w:rFonts w:ascii="Times New Roman" w:hAnsi="Times New Roman" w:cs="Times New Roman"/>
            </w:rPr>
            <w:fldChar w:fldCharType="separate"/>
          </w:r>
          <w:r>
            <w:rPr>
              <w:rFonts w:ascii="Times New Roman" w:hAnsi="Times New Roman" w:cs="Times New Roman"/>
            </w:rPr>
            <w:t>- 87 -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"_Toc113260438" </w:instrText>
          </w:r>
          <w:r>
            <w:fldChar w:fldCharType="separate"/>
          </w:r>
          <w:r>
            <w:rPr>
              <w:rStyle w:val="28"/>
              <w:rFonts w:ascii="Times New Roman" w:hAnsi="Times New Roman" w:cs="Times New Roman"/>
            </w:rPr>
            <w:t>7.4 环境风险评价等级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_Toc113260438 \h </w:instrText>
          </w:r>
          <w:r>
            <w:rPr>
              <w:rFonts w:ascii="Times New Roman" w:hAnsi="Times New Roman" w:cs="Times New Roman"/>
            </w:rPr>
            <w:fldChar w:fldCharType="separate"/>
          </w:r>
          <w:r>
            <w:rPr>
              <w:rFonts w:ascii="Times New Roman" w:hAnsi="Times New Roman" w:cs="Times New Roman"/>
            </w:rPr>
            <w:t>- 87 -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"_Toc113260439" </w:instrText>
          </w:r>
          <w:r>
            <w:fldChar w:fldCharType="separate"/>
          </w:r>
          <w:r>
            <w:rPr>
              <w:rStyle w:val="28"/>
              <w:rFonts w:ascii="Times New Roman" w:hAnsi="Times New Roman" w:cs="Times New Roman"/>
            </w:rPr>
            <w:t>7.5 风险识别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_Toc113260439 \h </w:instrText>
          </w:r>
          <w:r>
            <w:rPr>
              <w:rFonts w:ascii="Times New Roman" w:hAnsi="Times New Roman" w:cs="Times New Roman"/>
            </w:rPr>
            <w:fldChar w:fldCharType="separate"/>
          </w:r>
          <w:r>
            <w:rPr>
              <w:rFonts w:ascii="Times New Roman" w:hAnsi="Times New Roman" w:cs="Times New Roman"/>
            </w:rPr>
            <w:t>- 88 -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"_Toc113260440" </w:instrText>
          </w:r>
          <w:r>
            <w:fldChar w:fldCharType="separate"/>
          </w:r>
          <w:r>
            <w:rPr>
              <w:rStyle w:val="28"/>
              <w:rFonts w:ascii="Times New Roman" w:hAnsi="Times New Roman" w:cs="Times New Roman"/>
            </w:rPr>
            <w:t>7.6 环境风险分析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_Toc113260440 \h </w:instrText>
          </w:r>
          <w:r>
            <w:rPr>
              <w:rFonts w:ascii="Times New Roman" w:hAnsi="Times New Roman" w:cs="Times New Roman"/>
            </w:rPr>
            <w:fldChar w:fldCharType="separate"/>
          </w:r>
          <w:r>
            <w:rPr>
              <w:rFonts w:ascii="Times New Roman" w:hAnsi="Times New Roman" w:cs="Times New Roman"/>
            </w:rPr>
            <w:t>- 89 -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"_Toc113260441" </w:instrText>
          </w:r>
          <w:r>
            <w:fldChar w:fldCharType="separate"/>
          </w:r>
          <w:r>
            <w:rPr>
              <w:rStyle w:val="28"/>
              <w:rFonts w:ascii="Times New Roman" w:hAnsi="Times New Roman" w:cs="Times New Roman"/>
            </w:rPr>
            <w:t>7.7 环境风险防范措施及应急要求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_Toc113260441 \h </w:instrText>
          </w:r>
          <w:r>
            <w:rPr>
              <w:rFonts w:ascii="Times New Roman" w:hAnsi="Times New Roman" w:cs="Times New Roman"/>
            </w:rPr>
            <w:fldChar w:fldCharType="separate"/>
          </w:r>
          <w:r>
            <w:rPr>
              <w:rFonts w:ascii="Times New Roman" w:hAnsi="Times New Roman" w:cs="Times New Roman"/>
            </w:rPr>
            <w:t>- 90 -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"_Toc113260442" </w:instrText>
          </w:r>
          <w:r>
            <w:fldChar w:fldCharType="separate"/>
          </w:r>
          <w:r>
            <w:rPr>
              <w:rStyle w:val="28"/>
              <w:rFonts w:ascii="Times New Roman" w:hAnsi="Times New Roman" w:cs="Times New Roman"/>
            </w:rPr>
            <w:t>7.8 风险评价结论与建议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_Toc113260442 \h </w:instrText>
          </w:r>
          <w:r>
            <w:rPr>
              <w:rFonts w:ascii="Times New Roman" w:hAnsi="Times New Roman" w:cs="Times New Roman"/>
            </w:rPr>
            <w:fldChar w:fldCharType="separate"/>
          </w:r>
          <w:r>
            <w:rPr>
              <w:rFonts w:ascii="Times New Roman" w:hAnsi="Times New Roman" w:cs="Times New Roman"/>
            </w:rPr>
            <w:t>- 93 -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"_Toc113260443" </w:instrText>
          </w:r>
          <w:r>
            <w:fldChar w:fldCharType="separate"/>
          </w:r>
          <w:r>
            <w:rPr>
              <w:rStyle w:val="28"/>
              <w:rFonts w:ascii="Times New Roman" w:hAnsi="Times New Roman" w:cs="Times New Roman"/>
            </w:rPr>
            <w:t>8 环境保护措施及其可行性论证</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_Toc113260443 \h </w:instrText>
          </w:r>
          <w:r>
            <w:rPr>
              <w:rFonts w:ascii="Times New Roman" w:hAnsi="Times New Roman" w:cs="Times New Roman"/>
            </w:rPr>
            <w:fldChar w:fldCharType="separate"/>
          </w:r>
          <w:r>
            <w:rPr>
              <w:rFonts w:ascii="Times New Roman" w:hAnsi="Times New Roman" w:cs="Times New Roman"/>
            </w:rPr>
            <w:t>- 94 -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"_Toc113260444" </w:instrText>
          </w:r>
          <w:r>
            <w:fldChar w:fldCharType="separate"/>
          </w:r>
          <w:r>
            <w:rPr>
              <w:rStyle w:val="28"/>
              <w:rFonts w:ascii="Times New Roman" w:hAnsi="Times New Roman" w:cs="Times New Roman"/>
            </w:rPr>
            <w:t>8.1 施工期污染防治措施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_Toc113260444 \h </w:instrText>
          </w:r>
          <w:r>
            <w:rPr>
              <w:rFonts w:ascii="Times New Roman" w:hAnsi="Times New Roman" w:cs="Times New Roman"/>
            </w:rPr>
            <w:fldChar w:fldCharType="separate"/>
          </w:r>
          <w:r>
            <w:rPr>
              <w:rFonts w:ascii="Times New Roman" w:hAnsi="Times New Roman" w:cs="Times New Roman"/>
            </w:rPr>
            <w:t>- 94 -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"_Toc113260445" </w:instrText>
          </w:r>
          <w:r>
            <w:fldChar w:fldCharType="separate"/>
          </w:r>
          <w:r>
            <w:rPr>
              <w:rStyle w:val="28"/>
              <w:rFonts w:ascii="Times New Roman" w:hAnsi="Times New Roman" w:cs="Times New Roman"/>
            </w:rPr>
            <w:t>8.2 运营期污染防治措施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_Toc113260445 \h </w:instrText>
          </w:r>
          <w:r>
            <w:rPr>
              <w:rFonts w:ascii="Times New Roman" w:hAnsi="Times New Roman" w:cs="Times New Roman"/>
            </w:rPr>
            <w:fldChar w:fldCharType="separate"/>
          </w:r>
          <w:r>
            <w:rPr>
              <w:rFonts w:ascii="Times New Roman" w:hAnsi="Times New Roman" w:cs="Times New Roman"/>
            </w:rPr>
            <w:t>- 95 -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"_Toc113260446" </w:instrText>
          </w:r>
          <w:r>
            <w:fldChar w:fldCharType="separate"/>
          </w:r>
          <w:r>
            <w:rPr>
              <w:rStyle w:val="28"/>
              <w:rFonts w:ascii="Times New Roman" w:hAnsi="Times New Roman" w:cs="Times New Roman"/>
            </w:rPr>
            <w:t>9 环境影响经济损益分析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_Toc113260446 \h </w:instrText>
          </w:r>
          <w:r>
            <w:rPr>
              <w:rFonts w:ascii="Times New Roman" w:hAnsi="Times New Roman" w:cs="Times New Roman"/>
            </w:rPr>
            <w:fldChar w:fldCharType="separate"/>
          </w:r>
          <w:r>
            <w:rPr>
              <w:rFonts w:ascii="Times New Roman" w:hAnsi="Times New Roman" w:cs="Times New Roman"/>
            </w:rPr>
            <w:t>- 109 -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"_Toc113260447" </w:instrText>
          </w:r>
          <w:r>
            <w:fldChar w:fldCharType="separate"/>
          </w:r>
          <w:r>
            <w:rPr>
              <w:rStyle w:val="28"/>
              <w:rFonts w:ascii="Times New Roman" w:hAnsi="Times New Roman" w:cs="Times New Roman"/>
            </w:rPr>
            <w:t>9.1 经济效益分析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_Toc113260447 \h </w:instrText>
          </w:r>
          <w:r>
            <w:rPr>
              <w:rFonts w:ascii="Times New Roman" w:hAnsi="Times New Roman" w:cs="Times New Roman"/>
            </w:rPr>
            <w:fldChar w:fldCharType="separate"/>
          </w:r>
          <w:r>
            <w:rPr>
              <w:rFonts w:ascii="Times New Roman" w:hAnsi="Times New Roman" w:cs="Times New Roman"/>
            </w:rPr>
            <w:t>- 109 -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"_Toc113260448" </w:instrText>
          </w:r>
          <w:r>
            <w:fldChar w:fldCharType="separate"/>
          </w:r>
          <w:r>
            <w:rPr>
              <w:rStyle w:val="28"/>
              <w:rFonts w:ascii="Times New Roman" w:hAnsi="Times New Roman" w:cs="Times New Roman"/>
            </w:rPr>
            <w:t>9.2 社会效益分析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_Toc113260448 \h </w:instrText>
          </w:r>
          <w:r>
            <w:rPr>
              <w:rFonts w:ascii="Times New Roman" w:hAnsi="Times New Roman" w:cs="Times New Roman"/>
            </w:rPr>
            <w:fldChar w:fldCharType="separate"/>
          </w:r>
          <w:r>
            <w:rPr>
              <w:rFonts w:ascii="Times New Roman" w:hAnsi="Times New Roman" w:cs="Times New Roman"/>
            </w:rPr>
            <w:t>- 109 -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"_Toc113260449" </w:instrText>
          </w:r>
          <w:r>
            <w:fldChar w:fldCharType="separate"/>
          </w:r>
          <w:r>
            <w:rPr>
              <w:rStyle w:val="28"/>
              <w:rFonts w:ascii="Times New Roman" w:hAnsi="Times New Roman" w:cs="Times New Roman"/>
            </w:rPr>
            <w:t>9.3 环境效益分析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_Toc113260449 \h </w:instrText>
          </w:r>
          <w:r>
            <w:rPr>
              <w:rFonts w:ascii="Times New Roman" w:hAnsi="Times New Roman" w:cs="Times New Roman"/>
            </w:rPr>
            <w:fldChar w:fldCharType="separate"/>
          </w:r>
          <w:r>
            <w:rPr>
              <w:rFonts w:ascii="Times New Roman" w:hAnsi="Times New Roman" w:cs="Times New Roman"/>
            </w:rPr>
            <w:t>- 110 -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"_Toc113260450" </w:instrText>
          </w:r>
          <w:r>
            <w:fldChar w:fldCharType="separate"/>
          </w:r>
          <w:r>
            <w:rPr>
              <w:rStyle w:val="28"/>
              <w:rFonts w:ascii="Times New Roman" w:hAnsi="Times New Roman" w:cs="Times New Roman"/>
            </w:rPr>
            <w:t>9.4 小结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_Toc113260450 \h </w:instrText>
          </w:r>
          <w:r>
            <w:rPr>
              <w:rFonts w:ascii="Times New Roman" w:hAnsi="Times New Roman" w:cs="Times New Roman"/>
            </w:rPr>
            <w:fldChar w:fldCharType="separate"/>
          </w:r>
          <w:r>
            <w:rPr>
              <w:rFonts w:ascii="Times New Roman" w:hAnsi="Times New Roman" w:cs="Times New Roman"/>
            </w:rPr>
            <w:t>- 113 -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"_Toc113260451" </w:instrText>
          </w:r>
          <w:r>
            <w:fldChar w:fldCharType="separate"/>
          </w:r>
          <w:r>
            <w:rPr>
              <w:rStyle w:val="28"/>
              <w:rFonts w:ascii="Times New Roman" w:hAnsi="Times New Roman" w:cs="Times New Roman"/>
            </w:rPr>
            <w:t>10 环境管理与监测计划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_Toc113260451 \h </w:instrText>
          </w:r>
          <w:r>
            <w:rPr>
              <w:rFonts w:ascii="Times New Roman" w:hAnsi="Times New Roman" w:cs="Times New Roman"/>
            </w:rPr>
            <w:fldChar w:fldCharType="separate"/>
          </w:r>
          <w:r>
            <w:rPr>
              <w:rFonts w:ascii="Times New Roman" w:hAnsi="Times New Roman" w:cs="Times New Roman"/>
            </w:rPr>
            <w:t>- 114 -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"_Toc113260452" </w:instrText>
          </w:r>
          <w:r>
            <w:fldChar w:fldCharType="separate"/>
          </w:r>
          <w:r>
            <w:rPr>
              <w:rStyle w:val="28"/>
              <w:rFonts w:ascii="Times New Roman" w:hAnsi="Times New Roman" w:cs="Times New Roman"/>
            </w:rPr>
            <w:t>10.1 环境管理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_Toc113260452 \h </w:instrText>
          </w:r>
          <w:r>
            <w:rPr>
              <w:rFonts w:ascii="Times New Roman" w:hAnsi="Times New Roman" w:cs="Times New Roman"/>
            </w:rPr>
            <w:fldChar w:fldCharType="separate"/>
          </w:r>
          <w:r>
            <w:rPr>
              <w:rFonts w:ascii="Times New Roman" w:hAnsi="Times New Roman" w:cs="Times New Roman"/>
            </w:rPr>
            <w:t>- 114 -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"_Toc113260453" </w:instrText>
          </w:r>
          <w:r>
            <w:fldChar w:fldCharType="separate"/>
          </w:r>
          <w:r>
            <w:rPr>
              <w:rStyle w:val="28"/>
              <w:rFonts w:ascii="Times New Roman" w:hAnsi="Times New Roman" w:cs="Times New Roman"/>
            </w:rPr>
            <w:t>10.2 污染物排放管理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_Toc113260453 \h </w:instrText>
          </w:r>
          <w:r>
            <w:rPr>
              <w:rFonts w:ascii="Times New Roman" w:hAnsi="Times New Roman" w:cs="Times New Roman"/>
            </w:rPr>
            <w:fldChar w:fldCharType="separate"/>
          </w:r>
          <w:r>
            <w:rPr>
              <w:rFonts w:ascii="Times New Roman" w:hAnsi="Times New Roman" w:cs="Times New Roman"/>
            </w:rPr>
            <w:t>- 115 -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"_Toc113260454" </w:instrText>
          </w:r>
          <w:r>
            <w:fldChar w:fldCharType="separate"/>
          </w:r>
          <w:r>
            <w:rPr>
              <w:rStyle w:val="28"/>
              <w:rFonts w:ascii="Times New Roman" w:hAnsi="Times New Roman" w:cs="Times New Roman"/>
            </w:rPr>
            <w:t>10.3 总量控制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_Toc113260454 \h </w:instrText>
          </w:r>
          <w:r>
            <w:rPr>
              <w:rFonts w:ascii="Times New Roman" w:hAnsi="Times New Roman" w:cs="Times New Roman"/>
            </w:rPr>
            <w:fldChar w:fldCharType="separate"/>
          </w:r>
          <w:r>
            <w:rPr>
              <w:rFonts w:ascii="Times New Roman" w:hAnsi="Times New Roman" w:cs="Times New Roman"/>
            </w:rPr>
            <w:t>- 121 -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"_Toc113260455" </w:instrText>
          </w:r>
          <w:r>
            <w:fldChar w:fldCharType="separate"/>
          </w:r>
          <w:r>
            <w:rPr>
              <w:rStyle w:val="28"/>
              <w:rFonts w:ascii="Times New Roman" w:hAnsi="Times New Roman" w:cs="Times New Roman"/>
            </w:rPr>
            <w:t>10.4 环境监测计划</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_Toc113260455 \h </w:instrText>
          </w:r>
          <w:r>
            <w:rPr>
              <w:rFonts w:ascii="Times New Roman" w:hAnsi="Times New Roman" w:cs="Times New Roman"/>
            </w:rPr>
            <w:fldChar w:fldCharType="separate"/>
          </w:r>
          <w:r>
            <w:rPr>
              <w:rFonts w:ascii="Times New Roman" w:hAnsi="Times New Roman" w:cs="Times New Roman"/>
            </w:rPr>
            <w:t>- 121 -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"_Toc113260456" </w:instrText>
          </w:r>
          <w:r>
            <w:fldChar w:fldCharType="separate"/>
          </w:r>
          <w:r>
            <w:rPr>
              <w:rStyle w:val="28"/>
              <w:rFonts w:ascii="Times New Roman" w:hAnsi="Times New Roman" w:cs="Times New Roman"/>
            </w:rPr>
            <w:t>10.5 环保设施竣工验收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_Toc113260456 \h </w:instrText>
          </w:r>
          <w:r>
            <w:rPr>
              <w:rFonts w:ascii="Times New Roman" w:hAnsi="Times New Roman" w:cs="Times New Roman"/>
            </w:rPr>
            <w:fldChar w:fldCharType="separate"/>
          </w:r>
          <w:r>
            <w:rPr>
              <w:rFonts w:ascii="Times New Roman" w:hAnsi="Times New Roman" w:cs="Times New Roman"/>
            </w:rPr>
            <w:t>- 122 -</w:t>
          </w:r>
          <w:r>
            <w:rPr>
              <w:rFonts w:ascii="Times New Roman" w:hAnsi="Times New Roman" w:cs="Times New Roman"/>
            </w:rPr>
            <w:fldChar w:fldCharType="end"/>
          </w:r>
          <w:r>
            <w:rPr>
              <w:rFonts w:ascii="Times New Roman" w:hAnsi="Times New Roman" w:cs="Times New Roman"/>
            </w:rPr>
            <w:fldChar w:fldCharType="end"/>
          </w:r>
        </w:p>
        <w:p>
          <w:pPr>
            <w:pStyle w:val="16"/>
            <w:tabs>
              <w:tab w:val="right" w:leader="dot" w:pos="8890"/>
            </w:tabs>
            <w:rPr>
              <w:rFonts w:ascii="Times New Roman" w:hAnsi="Times New Roman" w:cs="Times New Roman"/>
            </w:rPr>
          </w:pPr>
          <w:r>
            <w:fldChar w:fldCharType="begin"/>
          </w:r>
          <w:r>
            <w:instrText xml:space="preserve"> HYPERLINK \l "_Toc113260457" </w:instrText>
          </w:r>
          <w:r>
            <w:fldChar w:fldCharType="separate"/>
          </w:r>
          <w:r>
            <w:rPr>
              <w:rStyle w:val="28"/>
              <w:rFonts w:ascii="Times New Roman" w:hAnsi="Times New Roman" w:cs="Times New Roman"/>
            </w:rPr>
            <w:t>11 结论和建议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_Toc113260457 \h </w:instrText>
          </w:r>
          <w:r>
            <w:rPr>
              <w:rFonts w:ascii="Times New Roman" w:hAnsi="Times New Roman" w:cs="Times New Roman"/>
            </w:rPr>
            <w:fldChar w:fldCharType="separate"/>
          </w:r>
          <w:r>
            <w:rPr>
              <w:rFonts w:ascii="Times New Roman" w:hAnsi="Times New Roman" w:cs="Times New Roman"/>
            </w:rPr>
            <w:t>- 124 -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"_Toc113260458" </w:instrText>
          </w:r>
          <w:r>
            <w:fldChar w:fldCharType="separate"/>
          </w:r>
          <w:r>
            <w:rPr>
              <w:rStyle w:val="28"/>
              <w:rFonts w:ascii="Times New Roman" w:hAnsi="Times New Roman" w:cs="Times New Roman"/>
            </w:rPr>
            <w:t>11.1 项目概况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_Toc113260458 \h </w:instrText>
          </w:r>
          <w:r>
            <w:rPr>
              <w:rFonts w:ascii="Times New Roman" w:hAnsi="Times New Roman" w:cs="Times New Roman"/>
            </w:rPr>
            <w:fldChar w:fldCharType="separate"/>
          </w:r>
          <w:r>
            <w:rPr>
              <w:rFonts w:ascii="Times New Roman" w:hAnsi="Times New Roman" w:cs="Times New Roman"/>
            </w:rPr>
            <w:t>- 124 -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"_Toc113260459" </w:instrText>
          </w:r>
          <w:r>
            <w:fldChar w:fldCharType="separate"/>
          </w:r>
          <w:r>
            <w:rPr>
              <w:rStyle w:val="28"/>
              <w:rFonts w:ascii="Times New Roman" w:hAnsi="Times New Roman" w:cs="Times New Roman"/>
            </w:rPr>
            <w:t>11.2 环境质量现状结论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_Toc113260459 \h </w:instrText>
          </w:r>
          <w:r>
            <w:rPr>
              <w:rFonts w:ascii="Times New Roman" w:hAnsi="Times New Roman" w:cs="Times New Roman"/>
            </w:rPr>
            <w:fldChar w:fldCharType="separate"/>
          </w:r>
          <w:r>
            <w:rPr>
              <w:rFonts w:ascii="Times New Roman" w:hAnsi="Times New Roman" w:cs="Times New Roman"/>
            </w:rPr>
            <w:t>- 124 -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"_Toc113260460" </w:instrText>
          </w:r>
          <w:r>
            <w:fldChar w:fldCharType="separate"/>
          </w:r>
          <w:r>
            <w:rPr>
              <w:rStyle w:val="28"/>
              <w:rFonts w:ascii="Times New Roman" w:hAnsi="Times New Roman" w:cs="Times New Roman"/>
            </w:rPr>
            <w:t>11.3 施工期环境影响分析及环保措施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_Toc113260460 \h </w:instrText>
          </w:r>
          <w:r>
            <w:rPr>
              <w:rFonts w:ascii="Times New Roman" w:hAnsi="Times New Roman" w:cs="Times New Roman"/>
            </w:rPr>
            <w:fldChar w:fldCharType="separate"/>
          </w:r>
          <w:r>
            <w:rPr>
              <w:rFonts w:ascii="Times New Roman" w:hAnsi="Times New Roman" w:cs="Times New Roman"/>
            </w:rPr>
            <w:t>- 124 -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"_Toc113260461" </w:instrText>
          </w:r>
          <w:r>
            <w:fldChar w:fldCharType="separate"/>
          </w:r>
          <w:r>
            <w:rPr>
              <w:rStyle w:val="28"/>
              <w:rFonts w:ascii="Times New Roman" w:hAnsi="Times New Roman" w:cs="Times New Roman"/>
            </w:rPr>
            <w:t>11.4 运营期环境影响分析及保护措施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_Toc113260461 \h </w:instrText>
          </w:r>
          <w:r>
            <w:rPr>
              <w:rFonts w:ascii="Times New Roman" w:hAnsi="Times New Roman" w:cs="Times New Roman"/>
            </w:rPr>
            <w:fldChar w:fldCharType="separate"/>
          </w:r>
          <w:r>
            <w:rPr>
              <w:rFonts w:ascii="Times New Roman" w:hAnsi="Times New Roman" w:cs="Times New Roman"/>
            </w:rPr>
            <w:t>- 125 -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"_Toc113260462" </w:instrText>
          </w:r>
          <w:r>
            <w:fldChar w:fldCharType="separate"/>
          </w:r>
          <w:r>
            <w:rPr>
              <w:rStyle w:val="28"/>
              <w:rFonts w:ascii="Times New Roman" w:hAnsi="Times New Roman" w:cs="Times New Roman"/>
            </w:rPr>
            <w:t>11.5 公众意见采纳情况说明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_Toc113260462 \h </w:instrText>
          </w:r>
          <w:r>
            <w:rPr>
              <w:rFonts w:ascii="Times New Roman" w:hAnsi="Times New Roman" w:cs="Times New Roman"/>
            </w:rPr>
            <w:fldChar w:fldCharType="separate"/>
          </w:r>
          <w:r>
            <w:rPr>
              <w:rFonts w:ascii="Times New Roman" w:hAnsi="Times New Roman" w:cs="Times New Roman"/>
            </w:rPr>
            <w:t>- 126 -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"_Toc113260463" </w:instrText>
          </w:r>
          <w:r>
            <w:fldChar w:fldCharType="separate"/>
          </w:r>
          <w:r>
            <w:rPr>
              <w:rStyle w:val="28"/>
              <w:rFonts w:ascii="Times New Roman" w:hAnsi="Times New Roman" w:cs="Times New Roman"/>
            </w:rPr>
            <w:t>11.6 环境可行性结论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_Toc113260463 \h </w:instrText>
          </w:r>
          <w:r>
            <w:rPr>
              <w:rFonts w:ascii="Times New Roman" w:hAnsi="Times New Roman" w:cs="Times New Roman"/>
            </w:rPr>
            <w:fldChar w:fldCharType="separate"/>
          </w:r>
          <w:r>
            <w:rPr>
              <w:rFonts w:ascii="Times New Roman" w:hAnsi="Times New Roman" w:cs="Times New Roman"/>
            </w:rPr>
            <w:t>- 126 -</w:t>
          </w:r>
          <w:r>
            <w:rPr>
              <w:rFonts w:ascii="Times New Roman" w:hAnsi="Times New Roman" w:cs="Times New Roman"/>
            </w:rPr>
            <w:fldChar w:fldCharType="end"/>
          </w:r>
          <w:r>
            <w:rPr>
              <w:rFonts w:ascii="Times New Roman" w:hAnsi="Times New Roman" w:cs="Times New Roman"/>
            </w:rPr>
            <w:fldChar w:fldCharType="end"/>
          </w:r>
        </w:p>
        <w:p>
          <w:pPr>
            <w:pStyle w:val="20"/>
            <w:tabs>
              <w:tab w:val="right" w:leader="dot" w:pos="8890"/>
            </w:tabs>
            <w:rPr>
              <w:rFonts w:ascii="Times New Roman" w:hAnsi="Times New Roman" w:cs="Times New Roman"/>
            </w:rPr>
          </w:pPr>
          <w:r>
            <w:fldChar w:fldCharType="begin"/>
          </w:r>
          <w:r>
            <w:instrText xml:space="preserve"> HYPERLINK \l "_Toc113260464" </w:instrText>
          </w:r>
          <w:r>
            <w:fldChar w:fldCharType="separate"/>
          </w:r>
          <w:r>
            <w:rPr>
              <w:rStyle w:val="28"/>
              <w:rFonts w:ascii="Times New Roman" w:hAnsi="Times New Roman" w:cs="Times New Roman"/>
            </w:rPr>
            <w:t>11.7 要求与建议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_Toc113260464 \h </w:instrText>
          </w:r>
          <w:r>
            <w:rPr>
              <w:rFonts w:ascii="Times New Roman" w:hAnsi="Times New Roman" w:cs="Times New Roman"/>
            </w:rPr>
            <w:fldChar w:fldCharType="separate"/>
          </w:r>
          <w:r>
            <w:rPr>
              <w:rFonts w:ascii="Times New Roman" w:hAnsi="Times New Roman" w:cs="Times New Roman"/>
            </w:rPr>
            <w:t>- 126 -</w:t>
          </w:r>
          <w:r>
            <w:rPr>
              <w:rFonts w:ascii="Times New Roman" w:hAnsi="Times New Roman" w:cs="Times New Roman"/>
            </w:rPr>
            <w:fldChar w:fldCharType="end"/>
          </w:r>
          <w:r>
            <w:rPr>
              <w:rFonts w:ascii="Times New Roman" w:hAnsi="Times New Roman" w:cs="Times New Roman"/>
            </w:rPr>
            <w:fldChar w:fldCharType="end"/>
          </w:r>
        </w:p>
        <w:p>
          <w:pPr>
            <w:rPr>
              <w:highlight w:val="yellow"/>
            </w:rPr>
          </w:pPr>
          <w:r>
            <w:rPr>
              <w:rFonts w:ascii="Times New Roman" w:hAnsi="Times New Roman" w:cs="Times New Roman"/>
              <w:highlight w:val="yellow"/>
            </w:rPr>
            <w:fldChar w:fldCharType="end"/>
          </w:r>
        </w:p>
      </w:sdtContent>
    </w:sdt>
    <w:p>
      <w:pPr>
        <w:rPr>
          <w:highlight w:val="yellow"/>
        </w:rPr>
      </w:pPr>
    </w:p>
    <w:p>
      <w:pPr>
        <w:widowControl/>
        <w:jc w:val="left"/>
      </w:pPr>
      <w:r>
        <w:br w:type="page"/>
      </w:r>
    </w:p>
    <w:p>
      <w:pPr>
        <w:rPr>
          <w:highlight w:val="yellow"/>
        </w:rPr>
      </w:pPr>
    </w:p>
    <w:p>
      <w:pPr>
        <w:pStyle w:val="40"/>
        <w:ind w:firstLine="482"/>
        <w:rPr>
          <w:b/>
        </w:rPr>
      </w:pPr>
      <w:r>
        <w:rPr>
          <w:rFonts w:hint="eastAsia"/>
          <w:b/>
        </w:rPr>
        <w:t>附件：</w:t>
      </w:r>
    </w:p>
    <w:p>
      <w:pPr>
        <w:pStyle w:val="40"/>
        <w:ind w:firstLine="480"/>
        <w:rPr>
          <w:highlight w:val="yellow"/>
        </w:rPr>
      </w:pPr>
      <w:r>
        <w:rPr>
          <w:rFonts w:hint="eastAsia"/>
        </w:rPr>
        <w:t>附件1：恒口镇人民</w:t>
      </w:r>
      <w:r>
        <w:t>政府</w:t>
      </w:r>
      <w:r>
        <w:rPr>
          <w:rFonts w:hint="eastAsia"/>
        </w:rPr>
        <w:t>（恒口示范区卫生健康局）恒口示范区（试验区）综合性</w:t>
      </w:r>
      <w:r>
        <w:t>三级中医医院项目委托书</w:t>
      </w:r>
      <w:r>
        <w:rPr>
          <w:rFonts w:hint="eastAsia"/>
        </w:rPr>
        <w:t>；</w:t>
      </w:r>
    </w:p>
    <w:p>
      <w:pPr>
        <w:pStyle w:val="40"/>
        <w:ind w:firstLine="480"/>
      </w:pPr>
      <w:r>
        <w:rPr>
          <w:rFonts w:hint="eastAsia"/>
        </w:rPr>
        <w:t>附件2：安康市恒口示范区（试验区）经济发展与招商局《关于恒口示范区（试验区）综合性</w:t>
      </w:r>
      <w:r>
        <w:t>三级中医医院项目</w:t>
      </w:r>
      <w:r>
        <w:rPr>
          <w:rFonts w:hint="eastAsia"/>
        </w:rPr>
        <w:t>可行性</w:t>
      </w:r>
      <w:r>
        <w:t>研究报告</w:t>
      </w:r>
      <w:r>
        <w:rPr>
          <w:rFonts w:hint="eastAsia"/>
        </w:rPr>
        <w:t>的</w:t>
      </w:r>
      <w:r>
        <w:t>批复</w:t>
      </w:r>
      <w:r>
        <w:rPr>
          <w:rFonts w:hint="eastAsia"/>
        </w:rPr>
        <w:t>》（安恒</w:t>
      </w:r>
      <w:r>
        <w:t>经发</w:t>
      </w:r>
      <w:r>
        <w:rPr>
          <w:rFonts w:hint="eastAsia"/>
        </w:rPr>
        <w:t>[20</w:t>
      </w:r>
      <w:r>
        <w:t>22</w:t>
      </w:r>
      <w:r>
        <w:rPr>
          <w:rFonts w:hint="eastAsia"/>
        </w:rPr>
        <w:t>]</w:t>
      </w:r>
      <w:r>
        <w:t>8</w:t>
      </w:r>
      <w:r>
        <w:rPr>
          <w:rFonts w:hint="eastAsia"/>
        </w:rPr>
        <w:t>号）（项目编号</w:t>
      </w:r>
      <w:r>
        <w:t>2110-610962-04-01-863241</w:t>
      </w:r>
      <w:r>
        <w:rPr>
          <w:rFonts w:hint="eastAsia"/>
        </w:rPr>
        <w:t>）；</w:t>
      </w:r>
    </w:p>
    <w:p>
      <w:pPr>
        <w:pStyle w:val="40"/>
        <w:ind w:firstLine="480"/>
      </w:pPr>
      <w:r>
        <w:rPr>
          <w:rFonts w:hint="eastAsia"/>
        </w:rPr>
        <w:t>附件3：安康市恒口示范区（试验区）经济发展与招商局《关于恒口示范区（试验区）综合性</w:t>
      </w:r>
      <w:r>
        <w:t>三级中医医院项目</w:t>
      </w:r>
      <w:r>
        <w:rPr>
          <w:rFonts w:hint="eastAsia"/>
        </w:rPr>
        <w:t>建议书的</w:t>
      </w:r>
      <w:r>
        <w:t>批复</w:t>
      </w:r>
      <w:r>
        <w:rPr>
          <w:rFonts w:hint="eastAsia"/>
        </w:rPr>
        <w:t>》（安恒</w:t>
      </w:r>
      <w:r>
        <w:t>经发</w:t>
      </w:r>
      <w:r>
        <w:rPr>
          <w:rFonts w:hint="eastAsia"/>
        </w:rPr>
        <w:t>[20</w:t>
      </w:r>
      <w:r>
        <w:t>21</w:t>
      </w:r>
      <w:r>
        <w:rPr>
          <w:rFonts w:hint="eastAsia"/>
        </w:rPr>
        <w:t>]</w:t>
      </w:r>
      <w:r>
        <w:t>160</w:t>
      </w:r>
      <w:r>
        <w:rPr>
          <w:rFonts w:hint="eastAsia"/>
        </w:rPr>
        <w:t>号）（项目编号</w:t>
      </w:r>
      <w:r>
        <w:t>2110-610962-04-01-863241</w:t>
      </w:r>
      <w:r>
        <w:rPr>
          <w:rFonts w:hint="eastAsia"/>
        </w:rPr>
        <w:t>）；</w:t>
      </w:r>
    </w:p>
    <w:p>
      <w:pPr>
        <w:pStyle w:val="40"/>
        <w:ind w:firstLine="480"/>
      </w:pPr>
      <w:r>
        <w:rPr>
          <w:rFonts w:hint="eastAsia"/>
        </w:rPr>
        <w:t>附件4：安康市</w:t>
      </w:r>
      <w:r>
        <w:t>恒口示范区（</w:t>
      </w:r>
      <w:r>
        <w:rPr>
          <w:rFonts w:hint="eastAsia"/>
        </w:rPr>
        <w:t>试验区</w:t>
      </w:r>
      <w:r>
        <w:t>）</w:t>
      </w:r>
      <w:r>
        <w:rPr>
          <w:rFonts w:hint="eastAsia"/>
        </w:rPr>
        <w:t>自然</w:t>
      </w:r>
      <w:r>
        <w:t>资源局</w:t>
      </w:r>
      <w:r>
        <w:rPr>
          <w:rFonts w:hint="eastAsia"/>
        </w:rPr>
        <w:t>《关于</w:t>
      </w:r>
      <w:r>
        <w:t>恒口示范区（</w:t>
      </w:r>
      <w:r>
        <w:rPr>
          <w:rFonts w:hint="eastAsia"/>
        </w:rPr>
        <w:t>试验区</w:t>
      </w:r>
      <w:r>
        <w:t>）</w:t>
      </w:r>
      <w:r>
        <w:rPr>
          <w:rFonts w:hint="eastAsia"/>
        </w:rPr>
        <w:t>综合性</w:t>
      </w:r>
      <w:r>
        <w:t>三级中医医院建设项目用地预审的意见</w:t>
      </w:r>
      <w:r>
        <w:rPr>
          <w:rFonts w:hint="eastAsia"/>
        </w:rPr>
        <w:t>》（安</w:t>
      </w:r>
      <w:r>
        <w:t>恒自然资字</w:t>
      </w:r>
      <w:r>
        <w:rPr>
          <w:rFonts w:hint="eastAsia"/>
        </w:rPr>
        <w:t>[</w:t>
      </w:r>
      <w:r>
        <w:t>2021</w:t>
      </w:r>
      <w:r>
        <w:rPr>
          <w:rFonts w:hint="eastAsia"/>
        </w:rPr>
        <w:t>]</w:t>
      </w:r>
      <w:r>
        <w:t>17</w:t>
      </w:r>
      <w:r>
        <w:rPr>
          <w:rFonts w:hint="eastAsia"/>
        </w:rPr>
        <w:t>号）；</w:t>
      </w:r>
    </w:p>
    <w:p>
      <w:pPr>
        <w:pStyle w:val="40"/>
        <w:ind w:firstLine="480"/>
      </w:pPr>
      <w:r>
        <w:rPr>
          <w:rFonts w:hint="eastAsia"/>
        </w:rPr>
        <w:t>附件</w:t>
      </w:r>
      <w:r>
        <w:t>5</w:t>
      </w:r>
      <w:r>
        <w:rPr>
          <w:rFonts w:hint="eastAsia"/>
        </w:rPr>
        <w:t>：安康市</w:t>
      </w:r>
      <w:r>
        <w:t>恒口示范区（</w:t>
      </w:r>
      <w:r>
        <w:rPr>
          <w:rFonts w:hint="eastAsia"/>
        </w:rPr>
        <w:t>试验区</w:t>
      </w:r>
      <w:r>
        <w:t>）</w:t>
      </w:r>
      <w:r>
        <w:rPr>
          <w:rFonts w:hint="eastAsia"/>
        </w:rPr>
        <w:t>住房</w:t>
      </w:r>
      <w:r>
        <w:t>和城乡建设局建设项目选址意见书</w:t>
      </w:r>
      <w:r>
        <w:rPr>
          <w:rFonts w:hint="eastAsia"/>
        </w:rPr>
        <w:t>（安</w:t>
      </w:r>
      <w:r>
        <w:t>恒建意字</w:t>
      </w:r>
      <w:r>
        <w:rPr>
          <w:rFonts w:hint="eastAsia"/>
        </w:rPr>
        <w:t>[</w:t>
      </w:r>
      <w:r>
        <w:t>2021</w:t>
      </w:r>
      <w:r>
        <w:rPr>
          <w:rFonts w:hint="eastAsia"/>
        </w:rPr>
        <w:t>]</w:t>
      </w:r>
      <w:r>
        <w:t>33</w:t>
      </w:r>
      <w:r>
        <w:rPr>
          <w:rFonts w:hint="eastAsia"/>
        </w:rPr>
        <w:t>号）；</w:t>
      </w:r>
    </w:p>
    <w:p>
      <w:pPr>
        <w:pStyle w:val="40"/>
        <w:ind w:firstLine="480"/>
      </w:pPr>
      <w:r>
        <w:rPr>
          <w:rFonts w:hint="eastAsia"/>
        </w:rPr>
        <w:t>附件5：恒口镇人民政府</w:t>
      </w:r>
      <w:r>
        <w:t>（</w:t>
      </w:r>
      <w:r>
        <w:rPr>
          <w:rFonts w:hint="eastAsia"/>
        </w:rPr>
        <w:t>卫健局恒口示范区卫生健康局</w:t>
      </w:r>
      <w:r>
        <w:t>）</w:t>
      </w:r>
      <w:r>
        <w:rPr>
          <w:rFonts w:hint="eastAsia"/>
        </w:rPr>
        <w:t>综合性</w:t>
      </w:r>
      <w:r>
        <w:t>三级中医医院项目环境质量</w:t>
      </w:r>
      <w:r>
        <w:rPr>
          <w:rFonts w:hint="eastAsia"/>
        </w:rPr>
        <w:t>监测</w:t>
      </w:r>
      <w:r>
        <w:t>报告</w:t>
      </w:r>
      <w:r>
        <w:rPr>
          <w:rFonts w:hint="eastAsia"/>
        </w:rPr>
        <w:t>（陕西</w:t>
      </w:r>
      <w:r>
        <w:t>华准通检测技术有限公司</w:t>
      </w:r>
      <w:r>
        <w:rPr>
          <w:rFonts w:hint="eastAsia"/>
        </w:rPr>
        <w:t>）（H</w:t>
      </w:r>
      <w:r>
        <w:t>ZT20121001-ZH</w:t>
      </w:r>
      <w:r>
        <w:rPr>
          <w:rFonts w:hint="eastAsia"/>
        </w:rPr>
        <w:t>）；</w:t>
      </w:r>
    </w:p>
    <w:p>
      <w:pPr>
        <w:pStyle w:val="40"/>
        <w:ind w:firstLine="480"/>
      </w:pPr>
      <w:r>
        <w:rPr>
          <w:rFonts w:hint="eastAsia"/>
        </w:rPr>
        <w:t>附件6：安康市</w:t>
      </w:r>
      <w:r>
        <w:t>生态环境局汉滨分局《</w:t>
      </w:r>
      <w:r>
        <w:rPr>
          <w:rFonts w:hint="eastAsia"/>
        </w:rPr>
        <w:t>关于</w:t>
      </w:r>
      <w:r>
        <w:t>安康仁济医院有限公司安康仁济医院建设项目环境影响报告表的批复》</w:t>
      </w:r>
      <w:r>
        <w:rPr>
          <w:rFonts w:hint="eastAsia"/>
        </w:rPr>
        <w:t>（汉</w:t>
      </w:r>
      <w:r>
        <w:t>环分函</w:t>
      </w:r>
      <w:r>
        <w:rPr>
          <w:rFonts w:hint="eastAsia"/>
        </w:rPr>
        <w:t>[</w:t>
      </w:r>
      <w:r>
        <w:t>2020</w:t>
      </w:r>
      <w:r>
        <w:rPr>
          <w:rFonts w:hint="eastAsia"/>
        </w:rPr>
        <w:t>]</w:t>
      </w:r>
      <w:r>
        <w:t>120</w:t>
      </w:r>
      <w:r>
        <w:rPr>
          <w:rFonts w:hint="eastAsia"/>
        </w:rPr>
        <w:t>号）。</w:t>
      </w:r>
    </w:p>
    <w:p>
      <w:pPr>
        <w:rPr>
          <w:highlight w:val="yellow"/>
        </w:rPr>
      </w:pPr>
    </w:p>
    <w:p>
      <w:pPr>
        <w:rPr>
          <w:highlight w:val="yellow"/>
        </w:rPr>
      </w:pPr>
    </w:p>
    <w:p>
      <w:pPr>
        <w:rPr>
          <w:rFonts w:ascii="Times New Roman" w:hAnsi="Times New Roman" w:eastAsia="宋体"/>
          <w:b/>
          <w:sz w:val="24"/>
        </w:rPr>
      </w:pPr>
      <w:r>
        <w:rPr>
          <w:rFonts w:hint="eastAsia" w:ascii="Times New Roman" w:hAnsi="Times New Roman" w:eastAsia="宋体"/>
          <w:b/>
          <w:sz w:val="24"/>
        </w:rPr>
        <w:t>图件</w:t>
      </w:r>
      <w:r>
        <w:rPr>
          <w:rFonts w:ascii="Times New Roman" w:hAnsi="Times New Roman" w:eastAsia="宋体"/>
          <w:b/>
          <w:sz w:val="24"/>
        </w:rPr>
        <w:t>：</w:t>
      </w:r>
    </w:p>
    <w:p>
      <w:pPr>
        <w:spacing w:line="360" w:lineRule="auto"/>
        <w:rPr>
          <w:rFonts w:ascii="Times New Roman" w:hAnsi="Times New Roman" w:eastAsia="宋体"/>
          <w:sz w:val="24"/>
        </w:rPr>
      </w:pPr>
      <w:r>
        <w:rPr>
          <w:rFonts w:hint="eastAsia" w:ascii="Times New Roman" w:hAnsi="Times New Roman" w:eastAsia="宋体"/>
          <w:sz w:val="24"/>
        </w:rPr>
        <w:t>图2.7-1  项目</w:t>
      </w:r>
      <w:r>
        <w:rPr>
          <w:rFonts w:ascii="Times New Roman" w:hAnsi="Times New Roman" w:eastAsia="宋体"/>
          <w:sz w:val="24"/>
        </w:rPr>
        <w:t>敏感目标图</w:t>
      </w:r>
    </w:p>
    <w:p>
      <w:pPr>
        <w:spacing w:line="360" w:lineRule="auto"/>
        <w:rPr>
          <w:rFonts w:ascii="Times New Roman" w:hAnsi="Times New Roman" w:eastAsia="宋体"/>
          <w:sz w:val="24"/>
        </w:rPr>
      </w:pPr>
      <w:r>
        <w:rPr>
          <w:rFonts w:hint="eastAsia" w:ascii="Times New Roman" w:hAnsi="Times New Roman" w:eastAsia="宋体"/>
          <w:sz w:val="24"/>
        </w:rPr>
        <w:t>图3.1-1  项目</w:t>
      </w:r>
      <w:r>
        <w:rPr>
          <w:rFonts w:ascii="Times New Roman" w:hAnsi="Times New Roman" w:eastAsia="宋体"/>
          <w:sz w:val="24"/>
        </w:rPr>
        <w:t>地理位置图；</w:t>
      </w:r>
    </w:p>
    <w:p>
      <w:pPr>
        <w:spacing w:line="360" w:lineRule="auto"/>
        <w:rPr>
          <w:rFonts w:ascii="Times New Roman" w:hAnsi="Times New Roman" w:eastAsia="宋体"/>
          <w:sz w:val="24"/>
        </w:rPr>
      </w:pPr>
      <w:r>
        <w:rPr>
          <w:rFonts w:hint="eastAsia" w:ascii="Times New Roman" w:hAnsi="Times New Roman" w:eastAsia="宋体"/>
          <w:sz w:val="24"/>
        </w:rPr>
        <w:t>图3.1-2 项目</w:t>
      </w:r>
      <w:r>
        <w:rPr>
          <w:rFonts w:ascii="Times New Roman" w:hAnsi="Times New Roman" w:eastAsia="宋体"/>
          <w:sz w:val="24"/>
        </w:rPr>
        <w:t>平面布置图；</w:t>
      </w:r>
    </w:p>
    <w:p>
      <w:pPr>
        <w:spacing w:line="360" w:lineRule="auto"/>
        <w:rPr>
          <w:rFonts w:ascii="Times New Roman" w:hAnsi="Times New Roman" w:eastAsia="宋体"/>
          <w:sz w:val="24"/>
        </w:rPr>
      </w:pPr>
      <w:r>
        <w:rPr>
          <w:rFonts w:hint="eastAsia" w:ascii="Times New Roman" w:hAnsi="Times New Roman" w:eastAsia="宋体"/>
          <w:sz w:val="24"/>
        </w:rPr>
        <w:t>图5.2-1  监测</w:t>
      </w:r>
      <w:r>
        <w:rPr>
          <w:rFonts w:ascii="Times New Roman" w:hAnsi="Times New Roman" w:eastAsia="宋体"/>
          <w:sz w:val="24"/>
        </w:rPr>
        <w:t>点位图。</w:t>
      </w:r>
    </w:p>
    <w:p>
      <w:pPr>
        <w:rPr>
          <w:highlight w:val="yellow"/>
        </w:rPr>
      </w:pPr>
    </w:p>
    <w:p>
      <w:pPr>
        <w:rPr>
          <w:highlight w:val="yellow"/>
        </w:rPr>
        <w:sectPr>
          <w:footerReference r:id="rId8" w:type="default"/>
          <w:footerReference r:id="rId9" w:type="even"/>
          <w:pgSz w:w="11906" w:h="16838"/>
          <w:pgMar w:top="1418" w:right="1418" w:bottom="1418" w:left="1588" w:header="851" w:footer="992" w:gutter="0"/>
          <w:pgNumType w:fmt="upperRoman" w:start="1"/>
          <w:cols w:space="425" w:num="1"/>
          <w:docGrid w:type="linesAndChars" w:linePitch="312" w:charSpace="0"/>
        </w:sectPr>
      </w:pPr>
      <w:r>
        <w:rPr>
          <w:highlight w:val="yellow"/>
        </w:rPr>
        <w:br w:type="column"/>
      </w:r>
    </w:p>
    <w:p>
      <w:pPr>
        <w:pStyle w:val="2"/>
      </w:pPr>
      <w:bookmarkStart w:id="0" w:name="_Toc113260408"/>
      <w:r>
        <w:rPr>
          <w:rFonts w:hint="eastAsia"/>
        </w:rPr>
        <w:t>概述</w:t>
      </w:r>
      <w:bookmarkEnd w:id="0"/>
    </w:p>
    <w:p>
      <w:pPr>
        <w:pStyle w:val="3"/>
      </w:pPr>
      <w:bookmarkStart w:id="1" w:name="_Toc113260409"/>
      <w:r>
        <w:rPr>
          <w:rFonts w:hint="eastAsia"/>
        </w:rPr>
        <w:t>项目</w:t>
      </w:r>
      <w:r>
        <w:t>背景及由来</w:t>
      </w:r>
      <w:bookmarkEnd w:id="1"/>
    </w:p>
    <w:p>
      <w:pPr>
        <w:pStyle w:val="40"/>
        <w:adjustRightInd w:val="0"/>
        <w:snapToGrid w:val="0"/>
        <w:ind w:firstLine="480"/>
      </w:pPr>
      <w:r>
        <w:rPr>
          <w:rFonts w:hint="eastAsia"/>
        </w:rPr>
        <w:t>目前恒口示范区中心医院为恒口示范区唯一的综合医院，设置床位</w:t>
      </w:r>
      <w:r>
        <w:t>400</w:t>
      </w:r>
      <w:r>
        <w:rPr>
          <w:rFonts w:hint="eastAsia"/>
        </w:rPr>
        <w:t>张，现有职工</w:t>
      </w:r>
      <w:r>
        <w:t>474</w:t>
      </w:r>
      <w:r>
        <w:rPr>
          <w:rFonts w:hint="eastAsia"/>
        </w:rPr>
        <w:t>人，年接待门诊人次</w:t>
      </w:r>
      <w:r>
        <w:t>130206</w:t>
      </w:r>
      <w:r>
        <w:rPr>
          <w:rFonts w:hint="eastAsia"/>
        </w:rPr>
        <w:t>人，年住院人次</w:t>
      </w:r>
      <w:r>
        <w:t>18287</w:t>
      </w:r>
      <w:r>
        <w:rPr>
          <w:rFonts w:hint="eastAsia"/>
        </w:rPr>
        <w:t>人，医院病床使用率非常高，医院现有门诊、病房等业务用房紧缺，同时受地方历史经济条件的制约，现状医疗基础设施存在着基础设施陈旧、医疗设备短缺、交通不便等诸多问题，恒口现有的医疗卫生事业存在着底子薄、医疗服务水平低、卫生资源欠缺的状况，无法满足群众对医疗卫生保健、卫生管理以及处理突发事件和重大疫情等医疗专业技术的需要，医疗服务水平与人民群众的客观需求存在着一定差距。许多患者限于医疗设备、医疗水平而被迫外出到医疗水平较发达的医院就医，使就医过程增加了诸多不便，既延误病情，给部分患者造成终生遗憾，又使经济负担成倍加重。医疗卫生问题始终困扰着当地人民群众的生产生活。</w:t>
      </w:r>
    </w:p>
    <w:p>
      <w:pPr>
        <w:pStyle w:val="40"/>
        <w:adjustRightInd w:val="0"/>
        <w:snapToGrid w:val="0"/>
        <w:ind w:firstLine="480"/>
      </w:pPr>
      <w:r>
        <w:rPr>
          <w:rFonts w:hint="eastAsia"/>
        </w:rPr>
        <w:t>因此，恒口镇人民政府（恒口</w:t>
      </w:r>
      <w:r>
        <w:t>示范区</w:t>
      </w:r>
      <w:r>
        <w:rPr>
          <w:rFonts w:hint="eastAsia"/>
        </w:rPr>
        <w:t>卫生健康局）特决定实施恒口示范区（试验区）综合性三级中医医院建设项目，实现恒口示范区公立中医医疗服务水平的提高，促进区域医疗卫生资源进一步优化配置，提高服务可及性、能力和资源利用效率，推动深化医改向纵深发展，解决看病难、看病贵问题，打造健康恒口。</w:t>
      </w:r>
    </w:p>
    <w:p>
      <w:pPr>
        <w:pStyle w:val="40"/>
        <w:adjustRightInd w:val="0"/>
        <w:snapToGrid w:val="0"/>
        <w:ind w:firstLine="480"/>
      </w:pPr>
      <w:r>
        <w:rPr>
          <w:rFonts w:hint="eastAsia"/>
        </w:rPr>
        <w:t>根据</w:t>
      </w:r>
      <w:r>
        <w:t>现场调查，项目</w:t>
      </w:r>
      <w:r>
        <w:rPr>
          <w:rFonts w:hint="eastAsia"/>
        </w:rPr>
        <w:t>地</w:t>
      </w:r>
      <w:r>
        <w:t>原为安康仁济医院项目，</w:t>
      </w:r>
      <w:r>
        <w:rPr>
          <w:rFonts w:hint="eastAsia"/>
        </w:rPr>
        <w:t>仁济</w:t>
      </w:r>
      <w:r>
        <w:t>医院</w:t>
      </w:r>
      <w:r>
        <w:rPr>
          <w:rFonts w:hint="eastAsia"/>
        </w:rPr>
        <w:t>项目</w:t>
      </w:r>
      <w:r>
        <w:t>于</w:t>
      </w:r>
      <w:r>
        <w:rPr>
          <w:rFonts w:hint="eastAsia"/>
        </w:rPr>
        <w:t>2020年7月9日取得</w:t>
      </w:r>
      <w:r>
        <w:t>安康市生态</w:t>
      </w:r>
      <w:r>
        <w:rPr>
          <w:rFonts w:hint="eastAsia"/>
        </w:rPr>
        <w:t>环境</w:t>
      </w:r>
      <w:r>
        <w:t>局汉滨分局</w:t>
      </w:r>
      <w:r>
        <w:rPr>
          <w:rFonts w:hint="eastAsia"/>
        </w:rPr>
        <w:t>《关于</w:t>
      </w:r>
      <w:r>
        <w:t>安康仁济医院</w:t>
      </w:r>
      <w:r>
        <w:rPr>
          <w:rFonts w:hint="eastAsia"/>
        </w:rPr>
        <w:t>建设</w:t>
      </w:r>
      <w:r>
        <w:t>项目环境影响报告表的批复</w:t>
      </w:r>
      <w:r>
        <w:rPr>
          <w:rFonts w:hint="eastAsia"/>
        </w:rPr>
        <w:t>》（汉</w:t>
      </w:r>
      <w:r>
        <w:t>环分函</w:t>
      </w:r>
      <w:r>
        <w:rPr>
          <w:rFonts w:hint="eastAsia"/>
        </w:rPr>
        <w:t>[</w:t>
      </w:r>
      <w:r>
        <w:t>2020</w:t>
      </w:r>
      <w:r>
        <w:rPr>
          <w:rFonts w:hint="eastAsia"/>
        </w:rPr>
        <w:t>]</w:t>
      </w:r>
      <w:r>
        <w:t>120</w:t>
      </w:r>
      <w:r>
        <w:rPr>
          <w:rFonts w:hint="eastAsia"/>
        </w:rPr>
        <w:t>号）（见附件），</w:t>
      </w:r>
      <w:r>
        <w:t>主要建设内容为建设门诊住院楼一栋，设置床位</w:t>
      </w:r>
      <w:r>
        <w:rPr>
          <w:rFonts w:hint="eastAsia"/>
        </w:rPr>
        <w:t>300张</w:t>
      </w:r>
      <w:r>
        <w:t>，</w:t>
      </w:r>
      <w:r>
        <w:rPr>
          <w:rFonts w:hint="eastAsia"/>
        </w:rPr>
        <w:t>该</w:t>
      </w:r>
      <w:r>
        <w:t>项目</w:t>
      </w:r>
      <w:r>
        <w:rPr>
          <w:rFonts w:hint="eastAsia"/>
        </w:rPr>
        <w:t>于2020年1</w:t>
      </w:r>
      <w:r>
        <w:t>0</w:t>
      </w:r>
      <w:r>
        <w:rPr>
          <w:rFonts w:hint="eastAsia"/>
        </w:rPr>
        <w:t>月</w:t>
      </w:r>
      <w:r>
        <w:t>开工建设，</w:t>
      </w:r>
      <w:r>
        <w:rPr>
          <w:rFonts w:hint="eastAsia"/>
        </w:rPr>
        <w:t>由于</w:t>
      </w:r>
      <w:r>
        <w:rPr>
          <w:rFonts w:hint="eastAsia"/>
          <w:color w:val="FF0000"/>
        </w:rPr>
        <w:t>资金短缺</w:t>
      </w:r>
      <w:r>
        <w:t>，原仁济</w:t>
      </w:r>
      <w:r>
        <w:rPr>
          <w:rFonts w:hint="eastAsia"/>
        </w:rPr>
        <w:t>医院</w:t>
      </w:r>
      <w:r>
        <w:t>项目未建设完成，</w:t>
      </w:r>
      <w:r>
        <w:rPr>
          <w:rFonts w:hint="eastAsia"/>
        </w:rPr>
        <w:t>于202</w:t>
      </w:r>
      <w:r>
        <w:t>1</w:t>
      </w:r>
      <w:r>
        <w:rPr>
          <w:rFonts w:hint="eastAsia"/>
        </w:rPr>
        <w:t>年</w:t>
      </w:r>
      <w:r>
        <w:t>10</w:t>
      </w:r>
      <w:r>
        <w:rPr>
          <w:rFonts w:hint="eastAsia"/>
        </w:rPr>
        <w:t>月由恒口镇人民政府（恒口</w:t>
      </w:r>
      <w:r>
        <w:t>示范区</w:t>
      </w:r>
      <w:r>
        <w:rPr>
          <w:rFonts w:hint="eastAsia"/>
        </w:rPr>
        <w:t>卫生健康局）接手</w:t>
      </w:r>
      <w:r>
        <w:t>后建设本项目，现场</w:t>
      </w:r>
      <w:r>
        <w:rPr>
          <w:rFonts w:hint="eastAsia"/>
        </w:rPr>
        <w:t>现存原安康</w:t>
      </w:r>
      <w:r>
        <w:t>仁济医院</w:t>
      </w:r>
      <w:r>
        <w:rPr>
          <w:rFonts w:hint="eastAsia"/>
        </w:rPr>
        <w:t>主体框架</w:t>
      </w:r>
      <w:r>
        <w:t>建成的8F建筑</w:t>
      </w:r>
      <w:r>
        <w:rPr>
          <w:rFonts w:hint="eastAsia"/>
        </w:rPr>
        <w:t>（现已</w:t>
      </w:r>
      <w:r>
        <w:t>停工</w:t>
      </w:r>
      <w:r>
        <w:rPr>
          <w:rFonts w:hint="eastAsia"/>
        </w:rPr>
        <w:t>）外</w:t>
      </w:r>
      <w:r>
        <w:t>，其余部分为空地。</w:t>
      </w:r>
    </w:p>
    <w:p>
      <w:pPr>
        <w:pStyle w:val="40"/>
        <w:adjustRightInd w:val="0"/>
        <w:snapToGrid w:val="0"/>
        <w:ind w:firstLine="480"/>
      </w:pPr>
      <w:r>
        <w:rPr>
          <w:rFonts w:hint="eastAsia"/>
        </w:rPr>
        <w:t>本项目设置</w:t>
      </w:r>
      <w:r>
        <w:t>床位</w:t>
      </w:r>
      <w:r>
        <w:rPr>
          <w:rFonts w:hint="eastAsia"/>
        </w:rPr>
        <w:t>500张</w:t>
      </w:r>
      <w:r>
        <w:t>，</w:t>
      </w:r>
      <w:r>
        <w:rPr>
          <w:rFonts w:hint="eastAsia"/>
        </w:rPr>
        <w:t>根据《建设项目环境影响评价分类管理名录》（2021版）（国家环境保护部令第</w:t>
      </w:r>
      <w:r>
        <w:t>16</w:t>
      </w:r>
      <w:r>
        <w:rPr>
          <w:rFonts w:hint="eastAsia"/>
        </w:rPr>
        <w:t>号），需编制</w:t>
      </w:r>
      <w:r>
        <w:t>环境影响报告书</w:t>
      </w:r>
      <w:r>
        <w:rPr>
          <w:rFonts w:hint="eastAsia"/>
        </w:rPr>
        <w:t>。</w:t>
      </w:r>
    </w:p>
    <w:p>
      <w:pPr>
        <w:pStyle w:val="3"/>
      </w:pPr>
      <w:bookmarkStart w:id="2" w:name="_Toc113260410"/>
      <w:r>
        <w:rPr>
          <w:rFonts w:hint="eastAsia"/>
        </w:rPr>
        <w:t>分析</w:t>
      </w:r>
      <w:r>
        <w:t>判定情况</w:t>
      </w:r>
      <w:bookmarkEnd w:id="2"/>
    </w:p>
    <w:p>
      <w:pPr>
        <w:pStyle w:val="4"/>
      </w:pPr>
      <w:r>
        <w:rPr>
          <w:rFonts w:hint="eastAsia"/>
        </w:rPr>
        <w:t>产业</w:t>
      </w:r>
      <w:r>
        <w:t>政策符合性分析</w:t>
      </w:r>
    </w:p>
    <w:p>
      <w:pPr>
        <w:pStyle w:val="40"/>
        <w:ind w:firstLine="480"/>
        <w:rPr>
          <w:highlight w:val="yellow"/>
        </w:rPr>
      </w:pPr>
      <w:r>
        <w:t>根据《产业结构调整指导目录（2019年本）》</w:t>
      </w:r>
      <w:r>
        <w:rPr>
          <w:rFonts w:hint="eastAsia"/>
        </w:rPr>
        <w:t>中</w:t>
      </w:r>
      <w:r>
        <w:t>的相关要求，本项目</w:t>
      </w:r>
      <w:r>
        <w:rPr>
          <w:rFonts w:hint="eastAsia"/>
        </w:rPr>
        <w:t>属于</w:t>
      </w:r>
      <w:r>
        <w:t>鼓励类</w:t>
      </w:r>
      <w:r>
        <w:rPr>
          <w:rFonts w:hint="eastAsia"/>
        </w:rPr>
        <w:t>中“三十</w:t>
      </w:r>
      <w:r>
        <w:t>七、</w:t>
      </w:r>
      <w:r>
        <w:rPr>
          <w:rFonts w:hint="eastAsia"/>
        </w:rPr>
        <w:t>卫生</w:t>
      </w:r>
      <w:r>
        <w:t>健康</w:t>
      </w:r>
      <w:r>
        <w:rPr>
          <w:rFonts w:hint="eastAsia"/>
        </w:rPr>
        <w:t>”中</w:t>
      </w:r>
      <w:r>
        <w:t>“5</w:t>
      </w:r>
      <w:r>
        <w:rPr>
          <w:rFonts w:hint="eastAsia"/>
        </w:rPr>
        <w:t>、医疗卫生</w:t>
      </w:r>
      <w:r>
        <w:t>服务设施建设”</w:t>
      </w:r>
      <w:r>
        <w:rPr>
          <w:rFonts w:hint="eastAsia"/>
        </w:rPr>
        <w:t>，属于</w:t>
      </w:r>
      <w:r>
        <w:t>产业政策中鼓励类项目，符合国家产业政策相关要求。</w:t>
      </w:r>
    </w:p>
    <w:p>
      <w:pPr>
        <w:pStyle w:val="40"/>
        <w:ind w:firstLine="480"/>
      </w:pPr>
      <w:r>
        <w:rPr>
          <w:rFonts w:hint="eastAsia"/>
        </w:rPr>
        <w:t>根据国家发展改革委、商务部关于印发《市场准入负面清单（20</w:t>
      </w:r>
      <w:r>
        <w:t>22</w:t>
      </w:r>
      <w:r>
        <w:rPr>
          <w:rFonts w:hint="eastAsia"/>
        </w:rPr>
        <w:t>年版）》的通知（发改体</w:t>
      </w:r>
      <w:r>
        <w:t>改规</w:t>
      </w:r>
      <w:r>
        <w:rPr>
          <w:rFonts w:hint="eastAsia"/>
        </w:rPr>
        <w:t>[20</w:t>
      </w:r>
      <w:r>
        <w:t>22</w:t>
      </w:r>
      <w:r>
        <w:rPr>
          <w:rFonts w:hint="eastAsia"/>
        </w:rPr>
        <w:t>]</w:t>
      </w:r>
      <w:r>
        <w:t>397</w:t>
      </w:r>
      <w:r>
        <w:rPr>
          <w:rFonts w:hint="eastAsia"/>
        </w:rPr>
        <w:t xml:space="preserve">号），本项目属于综合医疗服务设施建设，项目不属于其禁止准入行业、负面清单的行业，不涉及市场准入相关禁止性规定、禁止措施，也不属于“（十七）卫生和社会工作 </w:t>
      </w:r>
      <w:r>
        <w:t xml:space="preserve">99 </w:t>
      </w:r>
      <w:r>
        <w:rPr>
          <w:rFonts w:hint="eastAsia"/>
        </w:rPr>
        <w:t>未获得许可或资质条件，不得设置医疗机构或从事特定医疗业务”中未取得许可或履行法定程序的项目，可依法平等进入，因此确定本项目不属于其中的禁止和许可两类事项。</w:t>
      </w:r>
    </w:p>
    <w:p>
      <w:pPr>
        <w:pStyle w:val="40"/>
        <w:ind w:firstLine="480"/>
      </w:pPr>
      <w:r>
        <w:rPr>
          <w:rFonts w:hint="eastAsia"/>
        </w:rPr>
        <w:t>本项目于20</w:t>
      </w:r>
      <w:r>
        <w:t>21</w:t>
      </w:r>
      <w:r>
        <w:rPr>
          <w:rFonts w:hint="eastAsia"/>
        </w:rPr>
        <w:t>年</w:t>
      </w:r>
      <w:r>
        <w:t>10</w:t>
      </w:r>
      <w:r>
        <w:rPr>
          <w:rFonts w:hint="eastAsia"/>
        </w:rPr>
        <w:t>月</w:t>
      </w:r>
      <w:r>
        <w:t>27</w:t>
      </w:r>
      <w:r>
        <w:rPr>
          <w:rFonts w:hint="eastAsia"/>
        </w:rPr>
        <w:t>日取得安康市</w:t>
      </w:r>
      <w:r>
        <w:t>恒口示范区（</w:t>
      </w:r>
      <w:r>
        <w:rPr>
          <w:rFonts w:hint="eastAsia"/>
        </w:rPr>
        <w:t>试验区</w:t>
      </w:r>
      <w:r>
        <w:t>）</w:t>
      </w:r>
      <w:r>
        <w:rPr>
          <w:rFonts w:hint="eastAsia"/>
        </w:rPr>
        <w:t>经济</w:t>
      </w:r>
      <w:r>
        <w:t>发展与招商局</w:t>
      </w:r>
      <w:r>
        <w:rPr>
          <w:rFonts w:hint="eastAsia"/>
        </w:rPr>
        <w:t>《关于对恒口</w:t>
      </w:r>
      <w:r>
        <w:t>示范区（</w:t>
      </w:r>
      <w:r>
        <w:rPr>
          <w:rFonts w:hint="eastAsia"/>
        </w:rPr>
        <w:t>试验区</w:t>
      </w:r>
      <w:r>
        <w:t>）</w:t>
      </w:r>
      <w:r>
        <w:rPr>
          <w:rFonts w:hint="eastAsia"/>
        </w:rPr>
        <w:t>综合性三级</w:t>
      </w:r>
      <w:r>
        <w:t>中医医院建设项目建议书的批复</w:t>
      </w:r>
      <w:r>
        <w:rPr>
          <w:rFonts w:hint="eastAsia"/>
        </w:rPr>
        <w:t>》（安恒</w:t>
      </w:r>
      <w:r>
        <w:t>经发</w:t>
      </w:r>
      <w:r>
        <w:rPr>
          <w:rFonts w:hint="eastAsia"/>
        </w:rPr>
        <w:t>[</w:t>
      </w:r>
      <w:r>
        <w:t>2021</w:t>
      </w:r>
      <w:r>
        <w:rPr>
          <w:rFonts w:hint="eastAsia"/>
        </w:rPr>
        <w:t>]</w:t>
      </w:r>
      <w:r>
        <w:t>160</w:t>
      </w:r>
      <w:r>
        <w:rPr>
          <w:rFonts w:hint="eastAsia"/>
        </w:rPr>
        <w:t>号），于2022年1月10日</w:t>
      </w:r>
      <w:r>
        <w:t>取得</w:t>
      </w:r>
      <w:r>
        <w:rPr>
          <w:rFonts w:hint="eastAsia"/>
        </w:rPr>
        <w:t>安康市</w:t>
      </w:r>
      <w:r>
        <w:t>恒口示范区</w:t>
      </w:r>
      <w:r>
        <w:rPr>
          <w:rFonts w:hint="eastAsia"/>
        </w:rPr>
        <w:t>经济</w:t>
      </w:r>
      <w:r>
        <w:t>发展与招商局</w:t>
      </w:r>
      <w:r>
        <w:rPr>
          <w:rFonts w:hint="eastAsia"/>
        </w:rPr>
        <w:t>《关于对恒口</w:t>
      </w:r>
      <w:r>
        <w:t>示范区（</w:t>
      </w:r>
      <w:r>
        <w:rPr>
          <w:rFonts w:hint="eastAsia"/>
        </w:rPr>
        <w:t>试验区</w:t>
      </w:r>
      <w:r>
        <w:t>）</w:t>
      </w:r>
      <w:r>
        <w:rPr>
          <w:rFonts w:hint="eastAsia"/>
        </w:rPr>
        <w:t>综合性三级</w:t>
      </w:r>
      <w:r>
        <w:t>中医医院建设项目建议书的批复</w:t>
      </w:r>
      <w:r>
        <w:rPr>
          <w:rFonts w:hint="eastAsia"/>
        </w:rPr>
        <w:t>》（安恒</w:t>
      </w:r>
      <w:r>
        <w:t>经发</w:t>
      </w:r>
      <w:r>
        <w:rPr>
          <w:rFonts w:hint="eastAsia"/>
        </w:rPr>
        <w:t>[</w:t>
      </w:r>
      <w:r>
        <w:t>2022</w:t>
      </w:r>
      <w:r>
        <w:rPr>
          <w:rFonts w:hint="eastAsia"/>
        </w:rPr>
        <w:t>]</w:t>
      </w:r>
      <w:r>
        <w:t>8</w:t>
      </w:r>
      <w:r>
        <w:rPr>
          <w:rFonts w:hint="eastAsia"/>
        </w:rPr>
        <w:t>号），（项目编码</w:t>
      </w:r>
      <w:r>
        <w:t>2110-610962-04-01-863241</w:t>
      </w:r>
      <w:r>
        <w:rPr>
          <w:rFonts w:hint="eastAsia"/>
        </w:rPr>
        <w:t>）。</w:t>
      </w:r>
    </w:p>
    <w:p>
      <w:pPr>
        <w:pStyle w:val="40"/>
        <w:ind w:firstLine="480"/>
      </w:pPr>
      <w:r>
        <w:rPr>
          <w:rFonts w:hint="eastAsia"/>
        </w:rPr>
        <w:t>因此，项目的建设符合国家及</w:t>
      </w:r>
      <w:r>
        <w:t>地方的</w:t>
      </w:r>
      <w:r>
        <w:rPr>
          <w:rFonts w:hint="eastAsia"/>
        </w:rPr>
        <w:t>产业政策。</w:t>
      </w:r>
    </w:p>
    <w:p>
      <w:pPr>
        <w:pStyle w:val="4"/>
      </w:pPr>
      <w:r>
        <w:t>与</w:t>
      </w:r>
      <w:r>
        <w:rPr>
          <w:rFonts w:hint="eastAsia"/>
        </w:rPr>
        <w:t>相关</w:t>
      </w:r>
      <w:r>
        <w:t>规划及政策的符合性分析</w:t>
      </w:r>
    </w:p>
    <w:p>
      <w:pPr>
        <w:pStyle w:val="68"/>
        <w:ind w:firstLine="480"/>
      </w:pPr>
      <w:r>
        <w:rPr>
          <w:rFonts w:hint="eastAsia"/>
        </w:rPr>
        <w:t>项目建设</w:t>
      </w:r>
      <w:r>
        <w:t>与相关规划及政策符合性分析</w:t>
      </w:r>
      <w:r>
        <w:rPr>
          <w:rFonts w:hint="eastAsia"/>
        </w:rPr>
        <w:t>内容</w:t>
      </w:r>
      <w:r>
        <w:t>见</w:t>
      </w:r>
      <w:r>
        <w:rPr>
          <w:rFonts w:hint="eastAsia"/>
        </w:rPr>
        <w:t>表1.2-1。</w:t>
      </w:r>
    </w:p>
    <w:p>
      <w:pPr>
        <w:pStyle w:val="22"/>
      </w:pPr>
      <w:r>
        <w:rPr>
          <w:rFonts w:hint="eastAsia"/>
        </w:rPr>
        <w:t>表</w:t>
      </w:r>
      <w:r>
        <w:t xml:space="preserve">1.2-1 </w:t>
      </w:r>
      <w:r>
        <w:rPr>
          <w:rFonts w:hint="eastAsia"/>
        </w:rPr>
        <w:t xml:space="preserve"> 与相关</w:t>
      </w:r>
      <w:r>
        <w:t>规划及政策符合性分析内容</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4"/>
        <w:gridCol w:w="2012"/>
        <w:gridCol w:w="3503"/>
        <w:gridCol w:w="2017"/>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pPr>
            <w:r>
              <w:rPr>
                <w:rFonts w:hint="eastAsia"/>
              </w:rPr>
              <w:t>序号</w:t>
            </w:r>
          </w:p>
        </w:tc>
        <w:tc>
          <w:tcPr>
            <w:tcW w:w="2012" w:type="dxa"/>
            <w:vAlign w:val="center"/>
          </w:tcPr>
          <w:p>
            <w:pPr>
              <w:pStyle w:val="43"/>
            </w:pPr>
            <w:r>
              <w:rPr>
                <w:rFonts w:hint="eastAsia"/>
              </w:rPr>
              <w:t>规划</w:t>
            </w:r>
            <w:r>
              <w:t>及</w:t>
            </w:r>
            <w:r>
              <w:rPr>
                <w:rFonts w:hint="eastAsia"/>
              </w:rPr>
              <w:t>政策</w:t>
            </w:r>
            <w:r>
              <w:t>名称</w:t>
            </w:r>
          </w:p>
        </w:tc>
        <w:tc>
          <w:tcPr>
            <w:tcW w:w="3503" w:type="dxa"/>
            <w:shd w:val="clear" w:color="auto" w:fill="auto"/>
            <w:vAlign w:val="center"/>
          </w:tcPr>
          <w:p>
            <w:pPr>
              <w:pStyle w:val="43"/>
            </w:pPr>
            <w:r>
              <w:rPr>
                <w:rFonts w:hint="eastAsia"/>
              </w:rPr>
              <w:t>政策</w:t>
            </w:r>
            <w:r>
              <w:t>要求</w:t>
            </w:r>
          </w:p>
        </w:tc>
        <w:tc>
          <w:tcPr>
            <w:tcW w:w="2017" w:type="dxa"/>
            <w:shd w:val="clear" w:color="auto" w:fill="auto"/>
            <w:vAlign w:val="center"/>
          </w:tcPr>
          <w:p>
            <w:pPr>
              <w:pStyle w:val="43"/>
            </w:pPr>
            <w:r>
              <w:rPr>
                <w:rFonts w:hint="eastAsia"/>
              </w:rPr>
              <w:t>本项目</w:t>
            </w:r>
            <w:r>
              <w:t>情况</w:t>
            </w:r>
          </w:p>
        </w:tc>
        <w:tc>
          <w:tcPr>
            <w:tcW w:w="744" w:type="dxa"/>
            <w:shd w:val="clear" w:color="auto" w:fill="auto"/>
            <w:vAlign w:val="center"/>
          </w:tcPr>
          <w:p>
            <w:pPr>
              <w:pStyle w:val="43"/>
            </w:pPr>
            <w:r>
              <w:rPr>
                <w:rFonts w:hint="eastAsia"/>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rPr>
                <w:highlight w:val="yellow"/>
              </w:rPr>
            </w:pPr>
            <w:r>
              <w:rPr>
                <w:rFonts w:hint="eastAsia"/>
              </w:rPr>
              <w:t>1</w:t>
            </w:r>
          </w:p>
        </w:tc>
        <w:tc>
          <w:tcPr>
            <w:tcW w:w="2012" w:type="dxa"/>
            <w:vAlign w:val="center"/>
          </w:tcPr>
          <w:p>
            <w:pPr>
              <w:pStyle w:val="43"/>
              <w:rPr>
                <w:highlight w:val="yellow"/>
              </w:rPr>
            </w:pPr>
            <w:r>
              <w:rPr>
                <w:rFonts w:hint="eastAsia"/>
              </w:rPr>
              <w:t>《陕西省</w:t>
            </w:r>
            <w:r>
              <w:t>国民经济和社会发展第十</w:t>
            </w:r>
            <w:r>
              <w:rPr>
                <w:rFonts w:hint="eastAsia"/>
              </w:rPr>
              <w:t>四个</w:t>
            </w:r>
            <w:r>
              <w:t>五年规划</w:t>
            </w:r>
            <w:r>
              <w:rPr>
                <w:rFonts w:hint="eastAsia"/>
              </w:rPr>
              <w:t>和</w:t>
            </w:r>
            <w:r>
              <w:t>二〇三五年远景目标纲要</w:t>
            </w:r>
            <w:r>
              <w:rPr>
                <w:rFonts w:hint="eastAsia"/>
              </w:rPr>
              <w:t>》</w:t>
            </w:r>
          </w:p>
        </w:tc>
        <w:tc>
          <w:tcPr>
            <w:tcW w:w="3503" w:type="dxa"/>
            <w:shd w:val="clear" w:color="auto" w:fill="auto"/>
            <w:vAlign w:val="center"/>
          </w:tcPr>
          <w:p>
            <w:pPr>
              <w:pStyle w:val="43"/>
            </w:pPr>
            <w:r>
              <w:rPr>
                <w:rFonts w:hint="eastAsia"/>
              </w:rPr>
              <w:t>第五十四章 推进健康陕西建设</w:t>
            </w:r>
          </w:p>
          <w:p>
            <w:pPr>
              <w:pStyle w:val="43"/>
            </w:pPr>
            <w:r>
              <w:rPr>
                <w:rFonts w:hint="eastAsia"/>
              </w:rPr>
              <w:t>深入实施健康陕西行动，推动将健康融入所有政策，推动医疗资源下沉，织牢公共卫生防护网，构建高质量医疗服务体系，全方位全周期维护和保障人民群众健康。构建优质高效公共卫生服务体系。...构建高质量医疗卫生服务体系。....构建全生命周期健康保障体系。推动中医药传承创新发展。创建国家中医药传承创新中心，打造中西医结合“旗舰医院”和中医药特色重点医院。建设国家中医应急救援和疫病防治基地，全面提升中医药应急救治能力。</w:t>
            </w:r>
          </w:p>
        </w:tc>
        <w:tc>
          <w:tcPr>
            <w:tcW w:w="2017" w:type="dxa"/>
            <w:shd w:val="clear" w:color="auto" w:fill="auto"/>
            <w:vAlign w:val="center"/>
          </w:tcPr>
          <w:p>
            <w:pPr>
              <w:pStyle w:val="43"/>
            </w:pPr>
            <w:r>
              <w:rPr>
                <w:rFonts w:hint="eastAsia"/>
              </w:rPr>
              <w:t>本项目</w:t>
            </w:r>
            <w:r>
              <w:t>为</w:t>
            </w:r>
            <w:r>
              <w:rPr>
                <w:rFonts w:hint="eastAsia"/>
              </w:rPr>
              <w:t>综合性</w:t>
            </w:r>
            <w:r>
              <w:t>三级中医医院建设项目，能够</w:t>
            </w:r>
            <w:r>
              <w:rPr>
                <w:rFonts w:hint="eastAsia"/>
              </w:rPr>
              <w:t>进一步促进区域公共卫生防</w:t>
            </w:r>
          </w:p>
          <w:p>
            <w:pPr>
              <w:pStyle w:val="43"/>
              <w:rPr>
                <w:highlight w:val="yellow"/>
              </w:rPr>
            </w:pPr>
            <w:r>
              <w:rPr>
                <w:rFonts w:hint="eastAsia"/>
              </w:rPr>
              <w:t>护网的形成，有效推动区域中医药的传承创新发展。</w:t>
            </w:r>
          </w:p>
        </w:tc>
        <w:tc>
          <w:tcPr>
            <w:tcW w:w="744" w:type="dxa"/>
            <w:shd w:val="clear" w:color="auto" w:fill="auto"/>
            <w:vAlign w:val="center"/>
          </w:tcPr>
          <w:p>
            <w:pPr>
              <w:pStyle w:val="43"/>
              <w:rPr>
                <w:highlight w:val="yellow"/>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pPr>
            <w:r>
              <w:rPr>
                <w:rFonts w:hint="eastAsia"/>
              </w:rPr>
              <w:t>2</w:t>
            </w:r>
          </w:p>
        </w:tc>
        <w:tc>
          <w:tcPr>
            <w:tcW w:w="2012" w:type="dxa"/>
            <w:vAlign w:val="center"/>
          </w:tcPr>
          <w:p>
            <w:pPr>
              <w:jc w:val="center"/>
              <w:rPr>
                <w:rFonts w:ascii="Times New Roman" w:eastAsia="宋体" w:cs="Times New Roman"/>
                <w:bCs/>
                <w:color w:val="000000"/>
                <w:szCs w:val="21"/>
              </w:rPr>
            </w:pPr>
            <w:r>
              <w:rPr>
                <w:rFonts w:hint="eastAsia" w:ascii="Times New Roman" w:eastAsia="宋体" w:cs="Times New Roman"/>
                <w:bCs/>
                <w:color w:val="000000"/>
                <w:szCs w:val="21"/>
              </w:rPr>
              <w:t>《国务院办公厅</w:t>
            </w:r>
            <w:r>
              <w:rPr>
                <w:rFonts w:ascii="Times New Roman" w:eastAsia="宋体" w:cs="Times New Roman"/>
                <w:bCs/>
                <w:color w:val="000000"/>
                <w:szCs w:val="21"/>
              </w:rPr>
              <w:t>关于</w:t>
            </w:r>
            <w:r>
              <w:rPr>
                <w:rFonts w:hint="eastAsia" w:ascii="Times New Roman" w:eastAsia="宋体" w:cs="Times New Roman"/>
                <w:bCs/>
                <w:color w:val="000000"/>
                <w:szCs w:val="21"/>
              </w:rPr>
              <w:t>印发</w:t>
            </w:r>
            <w:r>
              <w:rPr>
                <w:rFonts w:ascii="Times New Roman" w:eastAsia="宋体" w:cs="Times New Roman"/>
                <w:bCs/>
                <w:color w:val="000000"/>
                <w:szCs w:val="21"/>
              </w:rPr>
              <w:t>深化医药卫生</w:t>
            </w:r>
            <w:r>
              <w:rPr>
                <w:rFonts w:hint="eastAsia" w:ascii="Times New Roman" w:eastAsia="宋体" w:cs="Times New Roman"/>
                <w:bCs/>
                <w:color w:val="000000"/>
                <w:szCs w:val="21"/>
                <w:lang w:eastAsia="zh-CN"/>
              </w:rPr>
              <w:t>体制</w:t>
            </w:r>
            <w:r>
              <w:rPr>
                <w:rFonts w:ascii="Times New Roman" w:eastAsia="宋体" w:cs="Times New Roman"/>
                <w:bCs/>
                <w:color w:val="000000"/>
                <w:szCs w:val="21"/>
              </w:rPr>
              <w:t>改革</w:t>
            </w:r>
            <w:r>
              <w:rPr>
                <w:rFonts w:hint="eastAsia" w:ascii="Times New Roman" w:eastAsia="宋体" w:cs="Times New Roman"/>
                <w:bCs/>
                <w:color w:val="000000"/>
                <w:szCs w:val="21"/>
              </w:rPr>
              <w:t>2021年</w:t>
            </w:r>
            <w:r>
              <w:rPr>
                <w:rFonts w:ascii="Times New Roman" w:eastAsia="宋体" w:cs="Times New Roman"/>
                <w:bCs/>
                <w:color w:val="000000"/>
                <w:szCs w:val="21"/>
              </w:rPr>
              <w:t>重点工作任务的通知</w:t>
            </w:r>
            <w:r>
              <w:rPr>
                <w:rFonts w:hint="eastAsia" w:ascii="Times New Roman" w:eastAsia="宋体" w:cs="Times New Roman"/>
                <w:bCs/>
                <w:color w:val="000000"/>
                <w:szCs w:val="21"/>
              </w:rPr>
              <w:t>》（国</w:t>
            </w:r>
            <w:r>
              <w:rPr>
                <w:rFonts w:ascii="Times New Roman" w:eastAsia="宋体" w:cs="Times New Roman"/>
                <w:bCs/>
                <w:color w:val="000000"/>
                <w:szCs w:val="21"/>
              </w:rPr>
              <w:t>办</w:t>
            </w:r>
            <w:r>
              <w:rPr>
                <w:rFonts w:hint="eastAsia" w:ascii="Times New Roman" w:eastAsia="宋体" w:cs="Times New Roman"/>
                <w:bCs/>
                <w:color w:val="000000"/>
                <w:szCs w:val="21"/>
              </w:rPr>
              <w:t>发[</w:t>
            </w:r>
            <w:r>
              <w:rPr>
                <w:rFonts w:ascii="Times New Roman" w:eastAsia="宋体" w:cs="Times New Roman"/>
                <w:bCs/>
                <w:color w:val="000000"/>
                <w:szCs w:val="21"/>
              </w:rPr>
              <w:t>2021</w:t>
            </w:r>
            <w:r>
              <w:rPr>
                <w:rFonts w:hint="eastAsia" w:ascii="Times New Roman" w:eastAsia="宋体" w:cs="Times New Roman"/>
                <w:bCs/>
                <w:color w:val="000000"/>
                <w:szCs w:val="21"/>
              </w:rPr>
              <w:t>]</w:t>
            </w:r>
            <w:r>
              <w:rPr>
                <w:rFonts w:ascii="Times New Roman" w:eastAsia="宋体" w:cs="Times New Roman"/>
                <w:bCs/>
                <w:color w:val="000000"/>
                <w:szCs w:val="21"/>
              </w:rPr>
              <w:t>20</w:t>
            </w:r>
            <w:r>
              <w:rPr>
                <w:rFonts w:hint="eastAsia" w:ascii="Times New Roman" w:eastAsia="宋体" w:cs="Times New Roman"/>
                <w:bCs/>
                <w:color w:val="000000"/>
                <w:szCs w:val="21"/>
              </w:rPr>
              <w:t>号）</w:t>
            </w:r>
          </w:p>
        </w:tc>
        <w:tc>
          <w:tcPr>
            <w:tcW w:w="3503" w:type="dxa"/>
            <w:shd w:val="clear" w:color="auto" w:fill="auto"/>
            <w:vAlign w:val="center"/>
          </w:tcPr>
          <w:p>
            <w:pPr>
              <w:pStyle w:val="43"/>
              <w:rPr>
                <w:highlight w:val="yellow"/>
              </w:rPr>
            </w:pPr>
            <w:r>
              <w:rPr>
                <w:rFonts w:hint="eastAsia"/>
              </w:rPr>
              <w:t>推动中医药振兴发展。实施中医药振兴发展重大工程。支持打造一批国家中医药传承创新中心、中西医协同“旗舰”医院、中医特色重点医院、国家中医疫病防治基地，实施名医堂工程，提升县级中医医院传染病防治能力。推进中医医院牵头组建医疗联合体。完善符合中医药特点的医保支付政策，发布中医优势病种。</w:t>
            </w:r>
          </w:p>
        </w:tc>
        <w:tc>
          <w:tcPr>
            <w:tcW w:w="2017" w:type="dxa"/>
            <w:shd w:val="clear" w:color="auto" w:fill="auto"/>
            <w:vAlign w:val="center"/>
          </w:tcPr>
          <w:p>
            <w:pPr>
              <w:pStyle w:val="43"/>
            </w:pPr>
            <w:r>
              <w:rPr>
                <w:rFonts w:hint="eastAsia"/>
              </w:rPr>
              <w:t>本项目</w:t>
            </w:r>
            <w:r>
              <w:t>属于</w:t>
            </w:r>
            <w:r>
              <w:rPr>
                <w:rFonts w:hint="eastAsia"/>
              </w:rPr>
              <w:t>综合性</w:t>
            </w:r>
            <w:r>
              <w:t>三级中医医院，</w:t>
            </w:r>
            <w:r>
              <w:rPr>
                <w:rFonts w:hint="eastAsia"/>
              </w:rPr>
              <w:t>为</w:t>
            </w:r>
            <w:r>
              <w:t>中医特色</w:t>
            </w:r>
            <w:r>
              <w:rPr>
                <w:rFonts w:hint="eastAsia"/>
              </w:rPr>
              <w:t>医院</w:t>
            </w:r>
          </w:p>
        </w:tc>
        <w:tc>
          <w:tcPr>
            <w:tcW w:w="744" w:type="dxa"/>
            <w:shd w:val="clear" w:color="auto" w:fill="auto"/>
            <w:vAlign w:val="center"/>
          </w:tcPr>
          <w:p>
            <w:pPr>
              <w:pStyle w:val="43"/>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pPr>
            <w:r>
              <w:t>3</w:t>
            </w:r>
          </w:p>
        </w:tc>
        <w:tc>
          <w:tcPr>
            <w:tcW w:w="2012" w:type="dxa"/>
            <w:vAlign w:val="center"/>
          </w:tcPr>
          <w:p>
            <w:pPr>
              <w:jc w:val="center"/>
              <w:rPr>
                <w:rFonts w:ascii="Times New Roman" w:eastAsia="宋体" w:cs="Times New Roman"/>
                <w:bCs/>
                <w:color w:val="000000"/>
                <w:szCs w:val="21"/>
              </w:rPr>
            </w:pPr>
            <w:r>
              <w:rPr>
                <w:rFonts w:hint="eastAsia" w:ascii="Times New Roman" w:eastAsia="宋体" w:cs="Times New Roman"/>
                <w:bCs/>
                <w:color w:val="000000"/>
                <w:szCs w:val="21"/>
              </w:rPr>
              <w:t>《安康市国民经济与社会发展第十四个五年规划纲要和</w:t>
            </w:r>
            <w:r>
              <w:rPr>
                <w:rFonts w:ascii="Times New Roman" w:eastAsia="宋体" w:cs="Times New Roman"/>
                <w:bCs/>
                <w:color w:val="000000"/>
                <w:szCs w:val="21"/>
              </w:rPr>
              <w:t>二〇三五年远景目标纲要</w:t>
            </w:r>
            <w:r>
              <w:rPr>
                <w:rFonts w:hint="eastAsia" w:ascii="Times New Roman" w:eastAsia="宋体" w:cs="Times New Roman"/>
                <w:bCs/>
                <w:color w:val="000000"/>
                <w:szCs w:val="21"/>
              </w:rPr>
              <w:t>》</w:t>
            </w:r>
          </w:p>
        </w:tc>
        <w:tc>
          <w:tcPr>
            <w:tcW w:w="3503" w:type="dxa"/>
            <w:shd w:val="clear" w:color="auto" w:fill="auto"/>
            <w:vAlign w:val="center"/>
          </w:tcPr>
          <w:p>
            <w:pPr>
              <w:pStyle w:val="43"/>
              <w:rPr>
                <w:highlight w:val="yellow"/>
              </w:rPr>
            </w:pPr>
            <w:r>
              <w:rPr>
                <w:rFonts w:hint="eastAsia"/>
                <w:bCs/>
                <w:color w:val="000000"/>
                <w:kern w:val="2"/>
                <w:szCs w:val="21"/>
              </w:rPr>
              <w:t>全面建设</w:t>
            </w:r>
            <w:r>
              <w:rPr>
                <w:bCs/>
                <w:color w:val="000000"/>
                <w:kern w:val="2"/>
                <w:szCs w:val="21"/>
              </w:rPr>
              <w:t>健康安康</w:t>
            </w:r>
            <w:r>
              <w:rPr>
                <w:rFonts w:hint="eastAsia"/>
                <w:bCs/>
                <w:color w:val="000000"/>
                <w:kern w:val="2"/>
                <w:szCs w:val="21"/>
              </w:rPr>
              <w:t>，</w:t>
            </w:r>
            <w:r>
              <w:t>加强医疗服务能力建设。围绕建设秦巴（省级）区域医疗中心，加强城市医疗服务机构、现代化疾病预防体系和临床医学重点专科建设，加快补齐中心城区医疗综合服务中心、镇村级卫生院基础设施和常规医疗设备短板。构建医院平战结合、医防结合、中西医结合机制，提升市级疑难重症疾病、重大疾病、医疗应急 救治能力。实施中医药传承创新工程，加快综合医院、专科医院、 基层医疗卫生机构中医科和中药房建设，力争 2-3 所县（区）中 医院达到三级中医院水平。健全中医药预防保健服务体系，鼓励开展中医药健康管理、中医药养生保健及特色康复服务。</w:t>
            </w:r>
          </w:p>
        </w:tc>
        <w:tc>
          <w:tcPr>
            <w:tcW w:w="2017" w:type="dxa"/>
            <w:shd w:val="clear" w:color="auto" w:fill="auto"/>
            <w:vAlign w:val="center"/>
          </w:tcPr>
          <w:p>
            <w:pPr>
              <w:pStyle w:val="43"/>
              <w:rPr>
                <w:highlight w:val="yellow"/>
              </w:rPr>
            </w:pPr>
            <w:r>
              <w:rPr>
                <w:rFonts w:hint="eastAsia"/>
              </w:rPr>
              <w:t>本项目</w:t>
            </w:r>
            <w:r>
              <w:t>为</w:t>
            </w:r>
            <w:r>
              <w:rPr>
                <w:rFonts w:hint="eastAsia"/>
              </w:rPr>
              <w:t>综合性</w:t>
            </w:r>
            <w:r>
              <w:t>三级中医医院项目，</w:t>
            </w:r>
            <w:r>
              <w:rPr>
                <w:rFonts w:hint="eastAsia"/>
              </w:rPr>
              <w:t>项目</w:t>
            </w:r>
            <w:r>
              <w:t>建设将健全中医药预防保健服务体系</w:t>
            </w:r>
            <w:r>
              <w:rPr>
                <w:rFonts w:hint="eastAsia"/>
              </w:rPr>
              <w:t>。</w:t>
            </w:r>
            <w:r>
              <w:t xml:space="preserve"> </w:t>
            </w:r>
          </w:p>
        </w:tc>
        <w:tc>
          <w:tcPr>
            <w:tcW w:w="744" w:type="dxa"/>
            <w:shd w:val="clear" w:color="auto" w:fill="auto"/>
            <w:vAlign w:val="center"/>
          </w:tcPr>
          <w:p>
            <w:pPr>
              <w:pStyle w:val="43"/>
              <w:rPr>
                <w:highlight w:val="yellow"/>
              </w:rPr>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pPr>
            <w:r>
              <w:rPr>
                <w:rFonts w:hint="eastAsia"/>
              </w:rPr>
              <w:t>4</w:t>
            </w:r>
          </w:p>
        </w:tc>
        <w:tc>
          <w:tcPr>
            <w:tcW w:w="2012" w:type="dxa"/>
            <w:vAlign w:val="center"/>
          </w:tcPr>
          <w:p>
            <w:pPr>
              <w:jc w:val="center"/>
              <w:rPr>
                <w:rFonts w:ascii="Times New Roman" w:eastAsia="宋体" w:cs="Times New Roman"/>
                <w:bCs/>
                <w:color w:val="FF0000"/>
                <w:szCs w:val="21"/>
              </w:rPr>
            </w:pPr>
            <w:r>
              <w:rPr>
                <w:rFonts w:hint="eastAsia" w:ascii="Times New Roman" w:eastAsia="宋体" w:cs="Times New Roman"/>
                <w:bCs/>
                <w:szCs w:val="21"/>
              </w:rPr>
              <w:t>《恒口</w:t>
            </w:r>
            <w:r>
              <w:rPr>
                <w:rFonts w:ascii="Times New Roman" w:eastAsia="宋体" w:cs="Times New Roman"/>
                <w:bCs/>
                <w:szCs w:val="21"/>
              </w:rPr>
              <w:t>示范区（</w:t>
            </w:r>
            <w:r>
              <w:rPr>
                <w:rFonts w:hint="eastAsia" w:ascii="Times New Roman" w:eastAsia="宋体" w:cs="Times New Roman"/>
                <w:bCs/>
                <w:szCs w:val="21"/>
              </w:rPr>
              <w:t>试验区</w:t>
            </w:r>
            <w:r>
              <w:rPr>
                <w:rFonts w:ascii="Times New Roman" w:eastAsia="宋体" w:cs="Times New Roman"/>
                <w:bCs/>
                <w:szCs w:val="21"/>
              </w:rPr>
              <w:t>）</w:t>
            </w:r>
            <w:r>
              <w:rPr>
                <w:rFonts w:hint="eastAsia" w:ascii="Times New Roman" w:eastAsia="宋体" w:cs="Times New Roman"/>
                <w:bCs/>
                <w:szCs w:val="21"/>
              </w:rPr>
              <w:t>国民</w:t>
            </w:r>
            <w:r>
              <w:rPr>
                <w:rFonts w:ascii="Times New Roman" w:eastAsia="宋体" w:cs="Times New Roman"/>
                <w:bCs/>
                <w:szCs w:val="21"/>
              </w:rPr>
              <w:t>经济和社会发展</w:t>
            </w:r>
            <w:r>
              <w:rPr>
                <w:rFonts w:hint="eastAsia" w:ascii="Times New Roman" w:eastAsia="宋体" w:cs="Times New Roman"/>
                <w:bCs/>
                <w:szCs w:val="21"/>
              </w:rPr>
              <w:t>第</w:t>
            </w:r>
            <w:r>
              <w:rPr>
                <w:rFonts w:ascii="Times New Roman" w:eastAsia="宋体" w:cs="Times New Roman"/>
                <w:bCs/>
                <w:szCs w:val="21"/>
              </w:rPr>
              <w:t>十四个五年规划纲要</w:t>
            </w:r>
            <w:r>
              <w:rPr>
                <w:rFonts w:hint="eastAsia" w:ascii="Times New Roman" w:eastAsia="宋体" w:cs="Times New Roman"/>
                <w:bCs/>
                <w:szCs w:val="21"/>
              </w:rPr>
              <w:t>》</w:t>
            </w:r>
          </w:p>
        </w:tc>
        <w:tc>
          <w:tcPr>
            <w:tcW w:w="3503" w:type="dxa"/>
            <w:shd w:val="clear" w:color="auto" w:fill="auto"/>
            <w:vAlign w:val="center"/>
          </w:tcPr>
          <w:p>
            <w:pPr>
              <w:pStyle w:val="43"/>
              <w:jc w:val="both"/>
              <w:rPr>
                <w:bCs/>
                <w:color w:val="FF0000"/>
                <w:kern w:val="2"/>
                <w:szCs w:val="21"/>
                <w:highlight w:val="yellow"/>
              </w:rPr>
            </w:pPr>
            <w:r>
              <w:rPr>
                <w:rFonts w:hint="eastAsia"/>
                <w:bCs/>
                <w:kern w:val="2"/>
                <w:szCs w:val="21"/>
              </w:rPr>
              <w:t>健全医疗卫生服务体系，完善公共卫生服务体系，建设公共卫生应急指挥系统，健全突发公共卫生事件应急预案，建立示范区医院、中心医院发热门诊、公共卫生服务中心、应急医疗物资储备中心、医疗废物中转站等，加大重大疾病防控，强化传染病、慢性病管理。实施全民健康促进行动，提高群众健康素养水平</w:t>
            </w:r>
          </w:p>
        </w:tc>
        <w:tc>
          <w:tcPr>
            <w:tcW w:w="2017" w:type="dxa"/>
            <w:shd w:val="clear" w:color="auto" w:fill="auto"/>
            <w:vAlign w:val="center"/>
          </w:tcPr>
          <w:p>
            <w:pPr>
              <w:pStyle w:val="43"/>
            </w:pPr>
            <w:r>
              <w:rPr>
                <w:rFonts w:hint="eastAsia"/>
              </w:rPr>
              <w:t>本项目</w:t>
            </w:r>
            <w:r>
              <w:t>为</w:t>
            </w:r>
            <w:r>
              <w:rPr>
                <w:rFonts w:hint="eastAsia"/>
              </w:rPr>
              <w:t>综合性</w:t>
            </w:r>
            <w:r>
              <w:t>三级中医医院项目</w:t>
            </w:r>
            <w:r>
              <w:rPr>
                <w:rFonts w:hint="eastAsia"/>
              </w:rPr>
              <w:t>，</w:t>
            </w:r>
            <w:r>
              <w:t>项目建设</w:t>
            </w:r>
            <w:r>
              <w:rPr>
                <w:rFonts w:hint="eastAsia"/>
              </w:rPr>
              <w:t>将完善</w:t>
            </w:r>
            <w:r>
              <w:t>恒口示范区（</w:t>
            </w:r>
            <w:r>
              <w:rPr>
                <w:rFonts w:hint="eastAsia"/>
              </w:rPr>
              <w:t>实验区</w:t>
            </w:r>
            <w:r>
              <w:t>）</w:t>
            </w:r>
            <w:r>
              <w:rPr>
                <w:rFonts w:hint="eastAsia"/>
              </w:rPr>
              <w:t>公共卫生</w:t>
            </w:r>
            <w:r>
              <w:t>服务体系</w:t>
            </w:r>
            <w:r>
              <w:rPr>
                <w:rFonts w:hint="eastAsia"/>
              </w:rPr>
              <w:t>，</w:t>
            </w:r>
            <w:r>
              <w:t>提高群众健康素养水平</w:t>
            </w:r>
          </w:p>
        </w:tc>
        <w:tc>
          <w:tcPr>
            <w:tcW w:w="744" w:type="dxa"/>
            <w:shd w:val="clear" w:color="auto" w:fill="auto"/>
            <w:vAlign w:val="center"/>
          </w:tcPr>
          <w:p>
            <w:pPr>
              <w:pStyle w:val="43"/>
            </w:pPr>
            <w:r>
              <w:rPr>
                <w:rFonts w:hint="eastAsia"/>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94" w:type="dxa"/>
            <w:shd w:val="clear" w:color="auto" w:fill="auto"/>
            <w:vAlign w:val="center"/>
          </w:tcPr>
          <w:p>
            <w:pPr>
              <w:pStyle w:val="43"/>
              <w:rPr>
                <w:highlight w:val="yellow"/>
              </w:rPr>
            </w:pPr>
            <w:r>
              <w:t>5</w:t>
            </w:r>
          </w:p>
        </w:tc>
        <w:tc>
          <w:tcPr>
            <w:tcW w:w="2012" w:type="dxa"/>
            <w:vAlign w:val="center"/>
          </w:tcPr>
          <w:p>
            <w:pPr>
              <w:jc w:val="center"/>
              <w:rPr>
                <w:rFonts w:ascii="Times New Roman" w:eastAsia="宋体" w:cs="Times New Roman"/>
                <w:bCs/>
                <w:szCs w:val="21"/>
              </w:rPr>
            </w:pPr>
            <w:r>
              <w:rPr>
                <w:rFonts w:hint="eastAsia" w:ascii="Times New Roman" w:eastAsia="宋体" w:cs="Times New Roman"/>
                <w:bCs/>
                <w:szCs w:val="21"/>
              </w:rPr>
              <w:t>《恒口</w:t>
            </w:r>
            <w:r>
              <w:rPr>
                <w:rFonts w:ascii="Times New Roman" w:eastAsia="宋体" w:cs="Times New Roman"/>
                <w:bCs/>
                <w:szCs w:val="21"/>
              </w:rPr>
              <w:t>示范区（</w:t>
            </w:r>
            <w:r>
              <w:rPr>
                <w:rFonts w:hint="eastAsia" w:ascii="Times New Roman" w:eastAsia="宋体" w:cs="Times New Roman"/>
                <w:bCs/>
                <w:szCs w:val="21"/>
              </w:rPr>
              <w:t>试验区</w:t>
            </w:r>
            <w:r>
              <w:rPr>
                <w:rFonts w:ascii="Times New Roman" w:eastAsia="宋体" w:cs="Times New Roman"/>
                <w:bCs/>
                <w:szCs w:val="21"/>
              </w:rPr>
              <w:t>）</w:t>
            </w:r>
            <w:r>
              <w:rPr>
                <w:rFonts w:hint="eastAsia" w:ascii="Times New Roman" w:eastAsia="宋体" w:cs="Times New Roman"/>
                <w:bCs/>
                <w:szCs w:val="21"/>
              </w:rPr>
              <w:t>“十四五”卫生</w:t>
            </w:r>
            <w:r>
              <w:rPr>
                <w:rFonts w:ascii="Times New Roman" w:eastAsia="宋体" w:cs="Times New Roman"/>
                <w:bCs/>
                <w:szCs w:val="21"/>
              </w:rPr>
              <w:t>健康事业发展规划</w:t>
            </w:r>
            <w:r>
              <w:rPr>
                <w:rFonts w:hint="eastAsia" w:ascii="Times New Roman" w:eastAsia="宋体" w:cs="Times New Roman"/>
                <w:bCs/>
                <w:szCs w:val="21"/>
              </w:rPr>
              <w:t>》</w:t>
            </w:r>
          </w:p>
        </w:tc>
        <w:tc>
          <w:tcPr>
            <w:tcW w:w="3503" w:type="dxa"/>
            <w:shd w:val="clear" w:color="auto" w:fill="auto"/>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补齐</w:t>
            </w:r>
            <w:r>
              <w:rPr>
                <w:rFonts w:ascii="Times New Roman" w:hAnsi="Times New Roman" w:eastAsia="宋体" w:cs="Times New Roman"/>
                <w:bCs/>
                <w:szCs w:val="21"/>
              </w:rPr>
              <w:t>区级医疗机构短板。</w:t>
            </w:r>
            <w:r>
              <w:rPr>
                <w:rFonts w:hint="eastAsia" w:ascii="Times New Roman" w:hAnsi="Times New Roman" w:eastAsia="宋体" w:cs="Times New Roman"/>
                <w:bCs/>
                <w:szCs w:val="21"/>
              </w:rPr>
              <w:t>持续推进区中心医院迁建、安康仁济医院提升项目，加快推进区中医医院、区妇幼保健院及区医院项目建设，加快胸痛、卒中、创伤、孕产妇及新生儿等“五大中心”建设</w:t>
            </w:r>
          </w:p>
        </w:tc>
        <w:tc>
          <w:tcPr>
            <w:tcW w:w="2017" w:type="dxa"/>
            <w:shd w:val="clear" w:color="auto" w:fill="auto"/>
            <w:vAlign w:val="center"/>
          </w:tcPr>
          <w:p>
            <w:pPr>
              <w:pStyle w:val="43"/>
              <w:rPr>
                <w:highlight w:val="yellow"/>
              </w:rPr>
            </w:pPr>
            <w:r>
              <w:rPr>
                <w:rFonts w:hint="eastAsia"/>
              </w:rPr>
              <w:t>本项目</w:t>
            </w:r>
            <w:r>
              <w:t>为</w:t>
            </w:r>
            <w:r>
              <w:rPr>
                <w:rFonts w:hint="eastAsia"/>
              </w:rPr>
              <w:t>综合性</w:t>
            </w:r>
            <w:r>
              <w:t>三级中医医院项目</w:t>
            </w:r>
            <w:r>
              <w:rPr>
                <w:rFonts w:hint="eastAsia"/>
              </w:rPr>
              <w:t>，为</w:t>
            </w:r>
            <w:r>
              <w:t>规划中</w:t>
            </w:r>
            <w:r>
              <w:rPr>
                <w:rFonts w:hint="eastAsia"/>
              </w:rPr>
              <w:t>加快推进</w:t>
            </w:r>
            <w:r>
              <w:t>建设项目</w:t>
            </w:r>
          </w:p>
        </w:tc>
        <w:tc>
          <w:tcPr>
            <w:tcW w:w="744" w:type="dxa"/>
            <w:shd w:val="clear" w:color="auto" w:fill="auto"/>
            <w:vAlign w:val="center"/>
          </w:tcPr>
          <w:p>
            <w:pPr>
              <w:pStyle w:val="43"/>
              <w:rPr>
                <w:highlight w:val="yellow"/>
              </w:rPr>
            </w:pPr>
            <w:r>
              <w:rPr>
                <w:rFonts w:hint="eastAsia"/>
              </w:rPr>
              <w:t>符合</w:t>
            </w:r>
          </w:p>
        </w:tc>
      </w:tr>
    </w:tbl>
    <w:p>
      <w:pPr>
        <w:pStyle w:val="4"/>
      </w:pPr>
      <w:r>
        <w:rPr>
          <w:rFonts w:hint="eastAsia"/>
        </w:rPr>
        <w:t>“三线</w:t>
      </w:r>
      <w:r>
        <w:t>一单</w:t>
      </w:r>
      <w:r>
        <w:rPr>
          <w:rFonts w:hint="eastAsia"/>
        </w:rPr>
        <w:t>”符合性</w:t>
      </w:r>
      <w:r>
        <w:t>分析</w:t>
      </w:r>
    </w:p>
    <w:p>
      <w:pPr>
        <w:pStyle w:val="40"/>
        <w:ind w:firstLine="480"/>
      </w:pPr>
      <w:r>
        <w:rPr>
          <w:rFonts w:hint="eastAsia"/>
          <w:lang w:val="en-GB"/>
        </w:rPr>
        <w:t>根据安康市人民政府 关于印发《安康市“三线一单”生态环境分区管控方案》的通知（安政发〔2021〕18 号 ）</w:t>
      </w:r>
      <w:r>
        <w:rPr>
          <w:rFonts w:hint="eastAsia" w:ascii="宋体" w:hAnsi="宋体" w:cs="宋体"/>
          <w:szCs w:val="24"/>
          <w:lang w:val="en-GB"/>
        </w:rPr>
        <w:t>：“以改善生态环境质量为核心，加强</w:t>
      </w:r>
      <w:r>
        <w:rPr>
          <w:rFonts w:ascii="宋体" w:hAnsi="宋体" w:cs="宋体"/>
          <w:szCs w:val="24"/>
          <w:lang w:val="en-GB"/>
        </w:rPr>
        <w:t>“三线一单”和规划环评、建设项目环评的衔接，规划环评以“三线”为重点，论证规划的环境合理性并提出优化调整建议，建设项目环评结合“三线一单”重点论证选址选线可行性及清单要求的相符性</w:t>
      </w:r>
      <w:r>
        <w:rPr>
          <w:rFonts w:hint="eastAsia" w:ascii="宋体" w:hAnsi="宋体" w:cs="宋体"/>
          <w:szCs w:val="24"/>
          <w:lang w:val="en-GB"/>
        </w:rPr>
        <w:t>”。</w:t>
      </w:r>
    </w:p>
    <w:p>
      <w:pPr>
        <w:pStyle w:val="98"/>
        <w:tabs>
          <w:tab w:val="clear" w:pos="4153"/>
          <w:tab w:val="clear" w:pos="8306"/>
        </w:tabs>
        <w:ind w:firstLine="480" w:firstLineChars="200"/>
        <w:rPr>
          <w:sz w:val="24"/>
          <w:szCs w:val="24"/>
          <w:lang w:val="en-GB"/>
        </w:rPr>
      </w:pPr>
      <w:r>
        <w:rPr>
          <w:sz w:val="24"/>
          <w:szCs w:val="24"/>
          <w:lang w:val="en-GB"/>
        </w:rPr>
        <w:t>（1）与生态红线区域保护规划的相符性</w:t>
      </w:r>
    </w:p>
    <w:p>
      <w:pPr>
        <w:pStyle w:val="98"/>
        <w:tabs>
          <w:tab w:val="clear" w:pos="4153"/>
          <w:tab w:val="clear" w:pos="8306"/>
        </w:tabs>
        <w:ind w:firstLine="480" w:firstLineChars="200"/>
        <w:rPr>
          <w:color w:val="FF0000"/>
          <w:sz w:val="24"/>
          <w:szCs w:val="24"/>
          <w:lang w:val="en-GB"/>
        </w:rPr>
      </w:pPr>
      <w:r>
        <w:rPr>
          <w:rFonts w:hint="eastAsia"/>
          <w:color w:val="FF0000"/>
          <w:sz w:val="24"/>
          <w:szCs w:val="24"/>
          <w:lang w:val="en-GB"/>
        </w:rPr>
        <w:t>根据《安康市“三线一单”生态环境分区管控方案》（安政发〔2021〕18 号 ）：</w:t>
      </w:r>
      <w:r>
        <w:rPr>
          <w:color w:val="FF0000"/>
          <w:sz w:val="24"/>
          <w:szCs w:val="24"/>
          <w:lang w:val="en-GB"/>
        </w:rPr>
        <w:t>“</w:t>
      </w:r>
      <w:r>
        <w:rPr>
          <w:rFonts w:hint="eastAsia"/>
          <w:color w:val="FF0000"/>
          <w:sz w:val="24"/>
          <w:szCs w:val="24"/>
          <w:lang w:val="en-GB"/>
        </w:rPr>
        <w:t>优化环境管控单元。按照保护优先、衔接整合、有效管理的原则，将全市统筹划定优先保护、重点管控、一般管控三类环境管控单元共150个，实施生态环境分区管控。优先保护单元。指以生态环境保护为主的区域，主要包括各类自然保护地、饮用水水源保护区、环境空气一类功能区等。重点管控单元。指涉及水、大气、土壤、自然资源等资源环境要素重点管控的区域，主要包括城镇规划区、产业园区和开发强度大、污染物排放强度高的区域等。一般管控单元。指优先保护单元和重点管控单元之外的其他区域</w:t>
      </w:r>
      <w:r>
        <w:rPr>
          <w:color w:val="FF0000"/>
          <w:sz w:val="24"/>
          <w:szCs w:val="24"/>
          <w:lang w:val="en-GB"/>
        </w:rPr>
        <w:t>”</w:t>
      </w:r>
      <w:r>
        <w:rPr>
          <w:rFonts w:hint="eastAsia"/>
          <w:color w:val="FF0000"/>
          <w:sz w:val="24"/>
          <w:szCs w:val="24"/>
          <w:lang w:val="en-GB"/>
        </w:rPr>
        <w:t>。</w:t>
      </w:r>
    </w:p>
    <w:p>
      <w:pPr>
        <w:pStyle w:val="98"/>
        <w:tabs>
          <w:tab w:val="clear" w:pos="4153"/>
          <w:tab w:val="clear" w:pos="8306"/>
        </w:tabs>
        <w:ind w:firstLine="480" w:firstLineChars="200"/>
        <w:rPr>
          <w:color w:val="FF0000"/>
          <w:sz w:val="24"/>
          <w:szCs w:val="24"/>
        </w:rPr>
      </w:pPr>
      <w:r>
        <w:rPr>
          <w:sz w:val="24"/>
          <w:szCs w:val="24"/>
          <w:lang w:val="en-GB"/>
        </w:rPr>
        <w:t>本项目位于</w:t>
      </w:r>
      <w:r>
        <w:rPr>
          <w:rFonts w:hint="eastAsia"/>
          <w:sz w:val="24"/>
        </w:rPr>
        <w:t>安康市恒口示范区（试验区）月滨南大道</w:t>
      </w:r>
      <w:r>
        <w:rPr>
          <w:sz w:val="24"/>
          <w:szCs w:val="24"/>
          <w:lang w:val="en-GB"/>
        </w:rPr>
        <w:t>，</w:t>
      </w:r>
      <w:r>
        <w:rPr>
          <w:rFonts w:ascii="宋体" w:hAnsi="宋体" w:cs="宋体"/>
          <w:sz w:val="24"/>
          <w:szCs w:val="24"/>
        </w:rPr>
        <w:t>为</w:t>
      </w:r>
      <w:r>
        <w:rPr>
          <w:rFonts w:hint="eastAsia" w:ascii="宋体" w:hAnsi="宋体" w:cs="宋体"/>
          <w:sz w:val="24"/>
          <w:szCs w:val="24"/>
        </w:rPr>
        <w:t>恒口</w:t>
      </w:r>
      <w:r>
        <w:rPr>
          <w:rFonts w:ascii="宋体" w:hAnsi="宋体" w:cs="宋体"/>
          <w:sz w:val="24"/>
          <w:szCs w:val="24"/>
        </w:rPr>
        <w:t>示范区（</w:t>
      </w:r>
      <w:r>
        <w:rPr>
          <w:rFonts w:hint="eastAsia" w:ascii="宋体" w:hAnsi="宋体" w:cs="宋体"/>
          <w:sz w:val="24"/>
          <w:szCs w:val="24"/>
        </w:rPr>
        <w:t>试验</w:t>
      </w:r>
      <w:r>
        <w:rPr>
          <w:rFonts w:ascii="宋体" w:hAnsi="宋体" w:cs="宋体"/>
          <w:sz w:val="24"/>
          <w:szCs w:val="24"/>
        </w:rPr>
        <w:t>区）</w:t>
      </w:r>
      <w:r>
        <w:rPr>
          <w:rFonts w:hint="eastAsia" w:ascii="宋体" w:hAnsi="宋体" w:cs="宋体"/>
          <w:sz w:val="24"/>
          <w:szCs w:val="24"/>
        </w:rPr>
        <w:t>城镇</w:t>
      </w:r>
      <w:r>
        <w:rPr>
          <w:rFonts w:ascii="宋体" w:hAnsi="宋体" w:cs="宋体"/>
          <w:sz w:val="24"/>
          <w:szCs w:val="24"/>
        </w:rPr>
        <w:t>规划区，属于</w:t>
      </w:r>
      <w:r>
        <w:rPr>
          <w:rFonts w:hint="eastAsia" w:ascii="宋体" w:hAnsi="宋体" w:cs="宋体"/>
          <w:sz w:val="24"/>
          <w:szCs w:val="24"/>
        </w:rPr>
        <w:t>安康市</w:t>
      </w:r>
      <w:r>
        <w:rPr>
          <w:rFonts w:ascii="宋体" w:hAnsi="宋体" w:cs="宋体"/>
          <w:sz w:val="24"/>
          <w:szCs w:val="24"/>
        </w:rPr>
        <w:t>生态环境管控单元中的重点管控单元，</w:t>
      </w:r>
      <w:r>
        <w:rPr>
          <w:sz w:val="24"/>
          <w:szCs w:val="24"/>
          <w:lang w:val="en-GB"/>
        </w:rPr>
        <w:t>经核实，拟建项目不涉及生态红线保护区域，不会导致辖区内生态红线区域生态服务功能下降。</w:t>
      </w:r>
      <w:r>
        <w:rPr>
          <w:rFonts w:hint="eastAsia"/>
          <w:color w:val="FF0000"/>
          <w:sz w:val="24"/>
          <w:szCs w:val="24"/>
          <w:lang w:val="en-GB"/>
        </w:rPr>
        <w:t>项目所在生态环境管控单元见图1.1-1</w:t>
      </w:r>
      <w:r>
        <w:rPr>
          <w:rFonts w:hint="eastAsia"/>
          <w:color w:val="FF0000"/>
          <w:sz w:val="24"/>
          <w:szCs w:val="24"/>
        </w:rPr>
        <w:t>。</w:t>
      </w:r>
    </w:p>
    <w:p>
      <w:pPr>
        <w:pStyle w:val="98"/>
        <w:tabs>
          <w:tab w:val="clear" w:pos="4153"/>
          <w:tab w:val="clear" w:pos="8306"/>
        </w:tabs>
        <w:ind w:firstLine="480" w:firstLineChars="200"/>
        <w:rPr>
          <w:sz w:val="24"/>
          <w:szCs w:val="24"/>
          <w:lang w:val="en-GB"/>
        </w:rPr>
      </w:pPr>
      <w:r>
        <w:rPr>
          <w:sz w:val="24"/>
          <w:szCs w:val="24"/>
          <w:lang w:val="en-GB"/>
        </w:rPr>
        <w:t>（2）环境质量底线相符性</w:t>
      </w:r>
    </w:p>
    <w:p>
      <w:pPr>
        <w:pStyle w:val="98"/>
        <w:tabs>
          <w:tab w:val="clear" w:pos="4153"/>
          <w:tab w:val="clear" w:pos="8306"/>
        </w:tabs>
        <w:ind w:firstLine="480" w:firstLineChars="200"/>
        <w:rPr>
          <w:sz w:val="24"/>
          <w:szCs w:val="24"/>
          <w:lang w:val="en-GB"/>
        </w:rPr>
      </w:pPr>
      <w:r>
        <w:rPr>
          <w:sz w:val="24"/>
          <w:szCs w:val="24"/>
          <w:lang w:val="en-GB"/>
        </w:rPr>
        <w:t>拟建项目产生的废水</w:t>
      </w:r>
      <w:r>
        <w:rPr>
          <w:rFonts w:hint="eastAsia"/>
          <w:sz w:val="24"/>
          <w:szCs w:val="24"/>
          <w:lang w:val="en-GB"/>
        </w:rPr>
        <w:t>、固废</w:t>
      </w:r>
      <w:r>
        <w:rPr>
          <w:sz w:val="24"/>
          <w:szCs w:val="24"/>
          <w:lang w:val="en-GB"/>
        </w:rPr>
        <w:t>均进行分类收集、分质处理，在达标的基础上选用处理效率和可靠性高的处理工艺，尽可能减少污染物的排放。拟建项目</w:t>
      </w:r>
      <w:r>
        <w:rPr>
          <w:rFonts w:hint="eastAsia"/>
          <w:sz w:val="24"/>
          <w:szCs w:val="24"/>
          <w:lang w:val="en-GB"/>
        </w:rPr>
        <w:t>废水主要为餐饮废水和医院综合废水，餐饮废水</w:t>
      </w:r>
      <w:r>
        <w:rPr>
          <w:sz w:val="24"/>
          <w:szCs w:val="24"/>
          <w:lang w:val="en-GB"/>
        </w:rPr>
        <w:t>经</w:t>
      </w:r>
      <w:r>
        <w:rPr>
          <w:rFonts w:hint="eastAsia"/>
          <w:sz w:val="24"/>
          <w:szCs w:val="24"/>
          <w:lang w:val="en-GB"/>
        </w:rPr>
        <w:t>隔油池处理后与综合废水进医院污水处理站处理达标后一同排入市政管网，经市政污水管网排入安康市</w:t>
      </w:r>
      <w:r>
        <w:rPr>
          <w:sz w:val="24"/>
          <w:szCs w:val="24"/>
          <w:lang w:val="en-GB"/>
        </w:rPr>
        <w:t>恒口示范区</w:t>
      </w:r>
      <w:r>
        <w:rPr>
          <w:rFonts w:hint="eastAsia"/>
          <w:sz w:val="24"/>
          <w:szCs w:val="24"/>
          <w:lang w:val="en-GB"/>
        </w:rPr>
        <w:t>污水处理厂处理达标后，最终排入月河，废气主要为污水处理站恶臭和食堂油烟以及锅炉</w:t>
      </w:r>
      <w:r>
        <w:rPr>
          <w:sz w:val="24"/>
          <w:szCs w:val="24"/>
          <w:lang w:val="en-GB"/>
        </w:rPr>
        <w:t>废气</w:t>
      </w:r>
      <w:r>
        <w:rPr>
          <w:rFonts w:hint="eastAsia"/>
          <w:sz w:val="24"/>
          <w:szCs w:val="24"/>
          <w:lang w:val="en-GB"/>
        </w:rPr>
        <w:t>，食堂油烟废气经油烟净化设施处理后排放至顶楼，污水处理站废气采用设备密闭，喷洒除臭剂，周边绿化的</w:t>
      </w:r>
      <w:r>
        <w:rPr>
          <w:sz w:val="24"/>
          <w:szCs w:val="24"/>
          <w:lang w:val="en-GB"/>
        </w:rPr>
        <w:t>措施</w:t>
      </w:r>
      <w:r>
        <w:rPr>
          <w:rFonts w:hint="eastAsia"/>
          <w:sz w:val="24"/>
          <w:szCs w:val="24"/>
          <w:lang w:val="en-GB"/>
        </w:rPr>
        <w:t>，地下车库废气通过机械排气口排出</w:t>
      </w:r>
      <w:r>
        <w:rPr>
          <w:sz w:val="24"/>
          <w:szCs w:val="24"/>
          <w:lang w:val="en-GB"/>
        </w:rPr>
        <w:t>；</w:t>
      </w:r>
      <w:r>
        <w:rPr>
          <w:rFonts w:hint="eastAsia"/>
          <w:sz w:val="24"/>
          <w:szCs w:val="24"/>
          <w:lang w:val="en-GB"/>
        </w:rPr>
        <w:t>医疗废物、污水处理站污泥交由资质</w:t>
      </w:r>
      <w:r>
        <w:rPr>
          <w:sz w:val="24"/>
          <w:szCs w:val="24"/>
          <w:lang w:val="en-GB"/>
        </w:rPr>
        <w:t>单位处置</w:t>
      </w:r>
      <w:r>
        <w:rPr>
          <w:rFonts w:hint="eastAsia"/>
          <w:sz w:val="24"/>
          <w:szCs w:val="24"/>
          <w:lang w:val="en-GB"/>
        </w:rPr>
        <w:t>，生活垃圾设置垃圾桶集中收集并交由环卫部门清运处理；废油脂设置油脂收集系统并交有资质的单位回收处置，项目所在地声环境质量满足相应的声环境功能区划要求，</w:t>
      </w:r>
      <w:r>
        <w:rPr>
          <w:sz w:val="24"/>
          <w:szCs w:val="24"/>
          <w:lang w:val="en-GB"/>
        </w:rPr>
        <w:t>上述措施确保拟建项目污染物排放对环境的影响降到最低，不会改变项目拟建地的环境质量，满足环境质量底线要求。</w:t>
      </w:r>
    </w:p>
    <w:p>
      <w:pPr>
        <w:pStyle w:val="98"/>
        <w:tabs>
          <w:tab w:val="clear" w:pos="4153"/>
          <w:tab w:val="clear" w:pos="8306"/>
        </w:tabs>
        <w:ind w:firstLine="480" w:firstLineChars="200"/>
        <w:rPr>
          <w:sz w:val="24"/>
          <w:szCs w:val="24"/>
          <w:lang w:val="en-GB"/>
        </w:rPr>
      </w:pPr>
      <w:r>
        <w:rPr>
          <w:sz w:val="24"/>
          <w:szCs w:val="24"/>
          <w:lang w:val="en-GB"/>
        </w:rPr>
        <w:t>（3）资源利用上线相符性</w:t>
      </w:r>
    </w:p>
    <w:p>
      <w:pPr>
        <w:pStyle w:val="98"/>
        <w:tabs>
          <w:tab w:val="clear" w:pos="4153"/>
          <w:tab w:val="clear" w:pos="8306"/>
        </w:tabs>
        <w:ind w:firstLine="480" w:firstLineChars="200"/>
        <w:rPr>
          <w:sz w:val="24"/>
          <w:szCs w:val="24"/>
          <w:lang w:val="en-GB"/>
        </w:rPr>
      </w:pPr>
      <w:r>
        <w:rPr>
          <w:sz w:val="24"/>
          <w:szCs w:val="24"/>
          <w:lang w:val="en-GB"/>
        </w:rPr>
        <w:t>项目位于</w:t>
      </w:r>
      <w:r>
        <w:rPr>
          <w:rFonts w:hint="eastAsia"/>
          <w:sz w:val="24"/>
        </w:rPr>
        <w:t>安康市恒口示范区（试验区）月滨南大道</w:t>
      </w:r>
      <w:r>
        <w:rPr>
          <w:sz w:val="24"/>
          <w:szCs w:val="24"/>
          <w:lang w:val="en-GB"/>
        </w:rPr>
        <w:t>，</w:t>
      </w:r>
      <w:r>
        <w:rPr>
          <w:rFonts w:hint="eastAsia"/>
          <w:sz w:val="24"/>
          <w:szCs w:val="24"/>
          <w:lang w:val="en-GB"/>
        </w:rPr>
        <w:t>本</w:t>
      </w:r>
      <w:r>
        <w:rPr>
          <w:sz w:val="24"/>
          <w:szCs w:val="24"/>
          <w:lang w:val="en-GB"/>
        </w:rPr>
        <w:t>项目</w:t>
      </w:r>
      <w:r>
        <w:rPr>
          <w:rFonts w:hint="eastAsia"/>
          <w:sz w:val="24"/>
          <w:szCs w:val="24"/>
          <w:lang w:val="en-GB"/>
        </w:rPr>
        <w:t>运营过程中</w:t>
      </w:r>
      <w:r>
        <w:rPr>
          <w:sz w:val="24"/>
          <w:szCs w:val="24"/>
          <w:lang w:val="en-GB"/>
        </w:rPr>
        <w:t>用水来源为自来水，当地自来水厂能够满足本项目的新鲜水使用要求。本项目</w:t>
      </w:r>
      <w:r>
        <w:rPr>
          <w:rFonts w:hint="eastAsia"/>
          <w:sz w:val="24"/>
          <w:szCs w:val="24"/>
          <w:lang w:val="en-GB"/>
        </w:rPr>
        <w:t>运营过程中</w:t>
      </w:r>
      <w:r>
        <w:rPr>
          <w:sz w:val="24"/>
          <w:szCs w:val="24"/>
          <w:lang w:val="en-GB"/>
        </w:rPr>
        <w:t>用电由市政电网供应，能够满足本项目的用电要求。</w:t>
      </w:r>
      <w:r>
        <w:rPr>
          <w:rFonts w:hint="eastAsia"/>
          <w:sz w:val="24"/>
          <w:szCs w:val="24"/>
          <w:lang w:val="en-GB"/>
        </w:rPr>
        <w:t>本项目运营过程中用水、电</w:t>
      </w:r>
      <w:r>
        <w:rPr>
          <w:rFonts w:ascii="宋体" w:hAnsi="宋体" w:cs="宋体"/>
          <w:sz w:val="24"/>
          <w:szCs w:val="24"/>
        </w:rPr>
        <w:t>资源消耗相对区域资源利用总量</w:t>
      </w:r>
      <w:r>
        <w:rPr>
          <w:rFonts w:hint="eastAsia" w:ascii="宋体" w:hAnsi="宋体" w:cs="宋体"/>
          <w:sz w:val="24"/>
          <w:szCs w:val="24"/>
        </w:rPr>
        <w:t>较</w:t>
      </w:r>
      <w:r>
        <w:rPr>
          <w:rFonts w:ascii="宋体" w:hAnsi="宋体" w:cs="宋体"/>
          <w:sz w:val="24"/>
          <w:szCs w:val="24"/>
        </w:rPr>
        <w:t>小，不触及资源利用上线</w:t>
      </w:r>
      <w:r>
        <w:rPr>
          <w:rFonts w:hint="eastAsia" w:ascii="宋体" w:hAnsi="宋体" w:cs="宋体"/>
          <w:sz w:val="24"/>
          <w:szCs w:val="24"/>
        </w:rPr>
        <w:t>。</w:t>
      </w:r>
    </w:p>
    <w:p>
      <w:pPr>
        <w:pStyle w:val="98"/>
        <w:tabs>
          <w:tab w:val="clear" w:pos="4153"/>
          <w:tab w:val="clear" w:pos="8306"/>
        </w:tabs>
        <w:ind w:firstLine="480" w:firstLineChars="200"/>
        <w:rPr>
          <w:sz w:val="24"/>
          <w:szCs w:val="24"/>
          <w:lang w:val="en-GB"/>
        </w:rPr>
      </w:pPr>
      <w:r>
        <w:rPr>
          <w:sz w:val="24"/>
          <w:szCs w:val="24"/>
          <w:lang w:val="en-GB"/>
        </w:rPr>
        <w:t>（4）环境准入负面清单相符性分析</w:t>
      </w:r>
    </w:p>
    <w:p>
      <w:pPr>
        <w:pStyle w:val="98"/>
        <w:tabs>
          <w:tab w:val="clear" w:pos="4153"/>
          <w:tab w:val="clear" w:pos="8306"/>
        </w:tabs>
        <w:ind w:firstLine="480" w:firstLineChars="200"/>
        <w:rPr>
          <w:sz w:val="24"/>
          <w:szCs w:val="24"/>
          <w:lang w:val="en-GB"/>
        </w:rPr>
      </w:pPr>
      <w:r>
        <w:rPr>
          <w:rFonts w:hint="eastAsia"/>
          <w:sz w:val="24"/>
          <w:szCs w:val="24"/>
          <w:lang w:val="en-GB"/>
        </w:rPr>
        <w:t>项目为医疗机构建设项目，项目符合国家和地方产业政策，且项目不在</w:t>
      </w:r>
      <w:r>
        <w:rPr>
          <w:sz w:val="24"/>
          <w:szCs w:val="24"/>
        </w:rPr>
        <w:t>《市场准入负面清单（202</w:t>
      </w:r>
      <w:r>
        <w:rPr>
          <w:rFonts w:hint="eastAsia"/>
          <w:sz w:val="24"/>
          <w:szCs w:val="24"/>
        </w:rPr>
        <w:t>2</w:t>
      </w:r>
      <w:r>
        <w:rPr>
          <w:sz w:val="24"/>
          <w:szCs w:val="24"/>
        </w:rPr>
        <w:t xml:space="preserve"> 年版）》（发改体改规［202</w:t>
      </w:r>
      <w:r>
        <w:rPr>
          <w:rFonts w:hint="eastAsia"/>
          <w:sz w:val="24"/>
          <w:szCs w:val="24"/>
        </w:rPr>
        <w:t>2</w:t>
      </w:r>
      <w:r>
        <w:rPr>
          <w:sz w:val="24"/>
          <w:szCs w:val="24"/>
        </w:rPr>
        <w:t>］</w:t>
      </w:r>
      <w:r>
        <w:rPr>
          <w:rFonts w:hint="eastAsia"/>
          <w:sz w:val="24"/>
          <w:szCs w:val="24"/>
        </w:rPr>
        <w:t>397</w:t>
      </w:r>
      <w:r>
        <w:rPr>
          <w:sz w:val="24"/>
          <w:szCs w:val="24"/>
        </w:rPr>
        <w:t>号）</w:t>
      </w:r>
      <w:r>
        <w:rPr>
          <w:sz w:val="24"/>
          <w:szCs w:val="24"/>
          <w:lang w:val="en-GB"/>
        </w:rPr>
        <w:t>内</w:t>
      </w:r>
      <w:r>
        <w:rPr>
          <w:rFonts w:hint="eastAsia"/>
          <w:sz w:val="24"/>
          <w:szCs w:val="24"/>
          <w:lang w:val="en-GB"/>
        </w:rPr>
        <w:t>。</w:t>
      </w:r>
    </w:p>
    <w:p>
      <w:pPr>
        <w:pStyle w:val="98"/>
        <w:tabs>
          <w:tab w:val="clear" w:pos="4153"/>
          <w:tab w:val="clear" w:pos="8306"/>
        </w:tabs>
        <w:ind w:firstLine="480" w:firstLineChars="200"/>
        <w:rPr>
          <w:sz w:val="24"/>
          <w:szCs w:val="24"/>
          <w:lang w:val="en-GB"/>
        </w:rPr>
      </w:pPr>
      <w:r>
        <w:rPr>
          <w:sz w:val="24"/>
          <w:szCs w:val="24"/>
          <w:lang w:val="en-GB"/>
        </w:rPr>
        <w:t>综上所述，本项目建设符合 “三线一单”控制条件要求。</w:t>
      </w:r>
    </w:p>
    <w:p>
      <w:pPr>
        <w:pStyle w:val="4"/>
      </w:pPr>
      <w:r>
        <w:rPr>
          <w:rFonts w:hint="eastAsia"/>
        </w:rPr>
        <w:t>土地</w:t>
      </w:r>
      <w:r>
        <w:t>规划及选址合理性分析</w:t>
      </w:r>
    </w:p>
    <w:p>
      <w:pPr>
        <w:pStyle w:val="40"/>
        <w:ind w:firstLine="482"/>
        <w:rPr>
          <w:b/>
        </w:rPr>
      </w:pPr>
      <w:r>
        <w:rPr>
          <w:rFonts w:hint="eastAsia"/>
          <w:b/>
        </w:rPr>
        <w:t>1、</w:t>
      </w:r>
      <w:r>
        <w:rPr>
          <w:b/>
        </w:rPr>
        <w:t>地理位置及</w:t>
      </w:r>
      <w:r>
        <w:rPr>
          <w:rFonts w:hint="eastAsia"/>
          <w:b/>
        </w:rPr>
        <w:t>工程</w:t>
      </w:r>
      <w:r>
        <w:rPr>
          <w:b/>
        </w:rPr>
        <w:t>条件</w:t>
      </w:r>
    </w:p>
    <w:p>
      <w:pPr>
        <w:pStyle w:val="40"/>
        <w:ind w:firstLine="480"/>
      </w:pPr>
      <w:r>
        <w:rPr>
          <w:rFonts w:hint="eastAsia"/>
        </w:rPr>
        <w:t>项目位于安康市恒口示范区（试验区），项目北侧</w:t>
      </w:r>
      <w:r>
        <w:t>为月滨南</w:t>
      </w:r>
      <w:r>
        <w:rPr>
          <w:rFonts w:hint="eastAsia"/>
        </w:rPr>
        <w:t>大道，项目</w:t>
      </w:r>
      <w:r>
        <w:t>现状</w:t>
      </w:r>
      <w:r>
        <w:rPr>
          <w:rFonts w:hint="eastAsia"/>
        </w:rPr>
        <w:t>现存原安康仁济医院主体框架建设完成的</w:t>
      </w:r>
      <w:r>
        <w:t>8</w:t>
      </w:r>
      <w:r>
        <w:rPr>
          <w:rFonts w:hint="eastAsia"/>
        </w:rPr>
        <w:t>F建筑外，其余部分为空地</w:t>
      </w:r>
      <w:r>
        <w:t>，南侧</w:t>
      </w:r>
      <w:r>
        <w:rPr>
          <w:rFonts w:hint="eastAsia"/>
        </w:rPr>
        <w:t>、</w:t>
      </w:r>
      <w:r>
        <w:t>东侧为越南</w:t>
      </w:r>
      <w:r>
        <w:rPr>
          <w:rFonts w:hint="eastAsia"/>
        </w:rPr>
        <w:t>村住户，交通</w:t>
      </w:r>
      <w:r>
        <w:t>条件</w:t>
      </w:r>
      <w:r>
        <w:rPr>
          <w:rFonts w:hint="eastAsia"/>
        </w:rPr>
        <w:t>便利。</w:t>
      </w:r>
    </w:p>
    <w:p>
      <w:pPr>
        <w:pStyle w:val="40"/>
        <w:ind w:firstLine="480"/>
      </w:pPr>
      <w:r>
        <w:rPr>
          <w:rFonts w:hint="eastAsia"/>
        </w:rPr>
        <w:t>根据</w:t>
      </w:r>
      <w:r>
        <w:t>现场踏勘，</w:t>
      </w:r>
      <w:r>
        <w:rPr>
          <w:rFonts w:hint="eastAsia"/>
        </w:rPr>
        <w:t>场地平坦，地貌类型单一，地形起伏较小，地质构造简单，基底岩性单一，场地内无断层破碎带、不良人工洞穴等不良地质，场地整体稳定性较好，同时处于《中国地震烈度区划图》中地震烈度VI 度区域，属较稳定区域，适宜项目建设。</w:t>
      </w:r>
    </w:p>
    <w:p>
      <w:pPr>
        <w:pStyle w:val="40"/>
        <w:ind w:firstLine="482"/>
        <w:rPr>
          <w:b/>
        </w:rPr>
      </w:pPr>
      <w:r>
        <w:rPr>
          <w:b/>
        </w:rPr>
        <w:t>2</w:t>
      </w:r>
      <w:r>
        <w:rPr>
          <w:rFonts w:hint="eastAsia"/>
          <w:b/>
        </w:rPr>
        <w:t>、土地利用</w:t>
      </w:r>
      <w:r>
        <w:rPr>
          <w:b/>
        </w:rPr>
        <w:t>的相符性</w:t>
      </w:r>
    </w:p>
    <w:p>
      <w:pPr>
        <w:pStyle w:val="40"/>
        <w:ind w:firstLine="480"/>
        <w:rPr>
          <w:highlight w:val="yellow"/>
        </w:rPr>
      </w:pPr>
      <w:r>
        <w:rPr>
          <w:rFonts w:hint="eastAsia"/>
        </w:rPr>
        <w:t>项目位于安康市</w:t>
      </w:r>
      <w:r>
        <w:t>恒口示范区（</w:t>
      </w:r>
      <w:r>
        <w:rPr>
          <w:rFonts w:hint="eastAsia"/>
        </w:rPr>
        <w:t>试验区</w:t>
      </w:r>
      <w:r>
        <w:t>）</w:t>
      </w:r>
      <w:r>
        <w:rPr>
          <w:rFonts w:hint="eastAsia"/>
        </w:rPr>
        <w:t>，</w:t>
      </w:r>
      <w:r>
        <w:t>项目已于</w:t>
      </w:r>
      <w:r>
        <w:rPr>
          <w:rFonts w:hint="eastAsia"/>
        </w:rPr>
        <w:t>202</w:t>
      </w:r>
      <w:r>
        <w:t>1</w:t>
      </w:r>
      <w:r>
        <w:rPr>
          <w:rFonts w:hint="eastAsia"/>
        </w:rPr>
        <w:t>年</w:t>
      </w:r>
      <w:r>
        <w:t>10</w:t>
      </w:r>
      <w:r>
        <w:rPr>
          <w:rFonts w:hint="eastAsia"/>
        </w:rPr>
        <w:t>月28日</w:t>
      </w:r>
      <w:r>
        <w:t>取得《</w:t>
      </w:r>
      <w:r>
        <w:rPr>
          <w:rFonts w:hint="eastAsia"/>
        </w:rPr>
        <w:t>安康市</w:t>
      </w:r>
      <w:r>
        <w:t>恒口示范区（</w:t>
      </w:r>
      <w:r>
        <w:rPr>
          <w:rFonts w:hint="eastAsia"/>
        </w:rPr>
        <w:t>试验区</w:t>
      </w:r>
      <w:r>
        <w:t>）</w:t>
      </w:r>
      <w:r>
        <w:rPr>
          <w:rFonts w:hint="eastAsia"/>
        </w:rPr>
        <w:t>自然</w:t>
      </w:r>
      <w:r>
        <w:t>资源局关于对恒口示范区（</w:t>
      </w:r>
      <w:r>
        <w:rPr>
          <w:rFonts w:hint="eastAsia"/>
        </w:rPr>
        <w:t>试验</w:t>
      </w:r>
      <w:r>
        <w:t>区）</w:t>
      </w:r>
      <w:r>
        <w:rPr>
          <w:rFonts w:hint="eastAsia"/>
        </w:rPr>
        <w:t>综合</w:t>
      </w:r>
      <w:r>
        <w:t>性三级中医医院建设项目用地预审的意见》</w:t>
      </w:r>
      <w:r>
        <w:rPr>
          <w:rFonts w:hint="eastAsia"/>
        </w:rPr>
        <w:t>（安</w:t>
      </w:r>
      <w:r>
        <w:t>恒自然资</w:t>
      </w:r>
      <w:r>
        <w:rPr>
          <w:rFonts w:hint="eastAsia"/>
        </w:rPr>
        <w:t>预字[</w:t>
      </w:r>
      <w:r>
        <w:t>2021</w:t>
      </w:r>
      <w:r>
        <w:rPr>
          <w:rFonts w:hint="eastAsia"/>
        </w:rPr>
        <w:t>]</w:t>
      </w:r>
      <w:r>
        <w:t>17</w:t>
      </w:r>
      <w:r>
        <w:rPr>
          <w:rFonts w:hint="eastAsia"/>
        </w:rPr>
        <w:t>号），2021年10月27日</w:t>
      </w:r>
      <w:r>
        <w:t>取得《</w:t>
      </w:r>
      <w:r>
        <w:rPr>
          <w:rFonts w:hint="eastAsia"/>
        </w:rPr>
        <w:t>安康市</w:t>
      </w:r>
      <w:r>
        <w:t>恒口示范区（</w:t>
      </w:r>
      <w:r>
        <w:rPr>
          <w:rFonts w:hint="eastAsia"/>
        </w:rPr>
        <w:t>试验区</w:t>
      </w:r>
      <w:r>
        <w:t>）</w:t>
      </w:r>
      <w:r>
        <w:rPr>
          <w:rFonts w:hint="eastAsia"/>
        </w:rPr>
        <w:t>住房</w:t>
      </w:r>
      <w:r>
        <w:t>和城乡建设局</w:t>
      </w:r>
      <w:r>
        <w:rPr>
          <w:rFonts w:hint="eastAsia"/>
        </w:rPr>
        <w:t>建设</w:t>
      </w:r>
      <w:r>
        <w:t>项目选址意见书》</w:t>
      </w:r>
      <w:r>
        <w:rPr>
          <w:rFonts w:hint="eastAsia"/>
        </w:rPr>
        <w:t>（安</w:t>
      </w:r>
      <w:r>
        <w:t>恒建意</w:t>
      </w:r>
      <w:r>
        <w:rPr>
          <w:rFonts w:hint="eastAsia"/>
        </w:rPr>
        <w:t>字[</w:t>
      </w:r>
      <w:r>
        <w:t>2021</w:t>
      </w:r>
      <w:r>
        <w:rPr>
          <w:rFonts w:hint="eastAsia"/>
        </w:rPr>
        <w:t>]</w:t>
      </w:r>
      <w:r>
        <w:t>33</w:t>
      </w:r>
      <w:r>
        <w:rPr>
          <w:rFonts w:hint="eastAsia"/>
        </w:rPr>
        <w:t>号），规划</w:t>
      </w:r>
      <w:r>
        <w:t>建设项目用地性质为</w:t>
      </w:r>
      <w:r>
        <w:rPr>
          <w:rFonts w:hint="eastAsia"/>
        </w:rPr>
        <w:t>医疗</w:t>
      </w:r>
      <w:r>
        <w:t>用地。</w:t>
      </w:r>
      <w:r>
        <w:rPr>
          <w:rFonts w:hint="eastAsia"/>
        </w:rPr>
        <w:t>项目</w:t>
      </w:r>
      <w:r>
        <w:t>用地</w:t>
      </w:r>
      <w:r>
        <w:rPr>
          <w:rFonts w:hint="eastAsia"/>
        </w:rPr>
        <w:t>符合</w:t>
      </w:r>
      <w:r>
        <w:t>恒口示范区</w:t>
      </w:r>
      <w:r>
        <w:rPr>
          <w:rFonts w:hint="eastAsia"/>
        </w:rPr>
        <w:t>用地要求</w:t>
      </w:r>
      <w:r>
        <w:t>。</w:t>
      </w:r>
    </w:p>
    <w:p>
      <w:pPr>
        <w:pStyle w:val="40"/>
        <w:ind w:firstLine="482"/>
        <w:rPr>
          <w:b/>
        </w:rPr>
      </w:pPr>
      <w:r>
        <w:rPr>
          <w:b/>
        </w:rPr>
        <w:t>3</w:t>
      </w:r>
      <w:r>
        <w:rPr>
          <w:rFonts w:hint="eastAsia"/>
          <w:b/>
        </w:rPr>
        <w:t>、环境影响</w:t>
      </w:r>
    </w:p>
    <w:p>
      <w:pPr>
        <w:pStyle w:val="40"/>
        <w:ind w:firstLine="480"/>
      </w:pPr>
      <w:r>
        <w:rPr>
          <w:rFonts w:hint="eastAsia"/>
        </w:rPr>
        <w:t>项目所处区域环境空气区划为二类功能区，根据</w:t>
      </w:r>
      <w:r>
        <w:t>收集资料及补充监测，项目区域大气环境</w:t>
      </w:r>
      <w:r>
        <w:rPr>
          <w:rFonts w:hint="eastAsia"/>
        </w:rPr>
        <w:t>能</w:t>
      </w:r>
      <w:r>
        <w:t>满足环境空气质量标准二级要求，区域环境质量较好，</w:t>
      </w:r>
      <w:r>
        <w:rPr>
          <w:rFonts w:hint="eastAsia"/>
        </w:rPr>
        <w:t>根据预测结果项目废气在正常排放情况下对周边环境的影响均很小，最大占标</w:t>
      </w:r>
      <w:r>
        <w:rPr>
          <w:rFonts w:hint="eastAsia"/>
          <w:color w:val="FF0000"/>
        </w:rPr>
        <w:t>率</w:t>
      </w:r>
      <w:r>
        <w:rPr>
          <w:color w:val="FF0000"/>
        </w:rPr>
        <w:t>2.8395</w:t>
      </w:r>
      <w:r>
        <w:rPr>
          <w:rFonts w:hint="eastAsia"/>
          <w:color w:val="FF0000"/>
        </w:rPr>
        <w:t>%</w:t>
      </w:r>
      <w:r>
        <w:rPr>
          <w:rFonts w:hint="eastAsia"/>
        </w:rPr>
        <w:t>为采暖</w:t>
      </w:r>
      <w:r>
        <w:t>锅炉排放的NOx</w:t>
      </w:r>
      <w:r>
        <w:rPr>
          <w:rFonts w:hint="eastAsia"/>
        </w:rPr>
        <w:t>，最大落地浓度</w:t>
      </w:r>
      <w:r>
        <w:rPr>
          <w:color w:val="FF0000"/>
        </w:rPr>
        <w:t>7.0987</w:t>
      </w:r>
      <w:r>
        <w:rPr>
          <w:rFonts w:cs="Times New Roman"/>
          <w:color w:val="FF0000"/>
        </w:rPr>
        <w:t>μ</w:t>
      </w:r>
      <w:r>
        <w:rPr>
          <w:rFonts w:hint="eastAsia"/>
          <w:color w:val="FF0000"/>
        </w:rPr>
        <w:t>g</w:t>
      </w:r>
      <w:r>
        <w:rPr>
          <w:rFonts w:hint="eastAsia"/>
        </w:rPr>
        <w:t>/m</w:t>
      </w:r>
      <w:r>
        <w:rPr>
          <w:rFonts w:hint="eastAsia"/>
          <w:vertAlign w:val="superscript"/>
        </w:rPr>
        <w:t>3</w:t>
      </w:r>
      <w:r>
        <w:rPr>
          <w:rFonts w:hint="eastAsia"/>
        </w:rPr>
        <w:t>，不会造成区域环境质量下降。从大气环境适应性角度分析，项目选址与大气环境功能规划相协调。</w:t>
      </w:r>
    </w:p>
    <w:p>
      <w:pPr>
        <w:pStyle w:val="40"/>
        <w:ind w:firstLine="480"/>
      </w:pPr>
      <w:r>
        <w:rPr>
          <w:rFonts w:hint="eastAsia"/>
        </w:rPr>
        <w:t>项目污水</w:t>
      </w:r>
      <w:r>
        <w:t>经污水处理站处理达到</w:t>
      </w:r>
      <w:r>
        <w:rPr>
          <w:rFonts w:hint="eastAsia"/>
        </w:rPr>
        <w:t>《医疗机构水污染物排放标准》(GB18466-2005)中表2 预处理标准后，</w:t>
      </w:r>
      <w:r>
        <w:t>最终进入安康市恒口示范区污水处理厂处理</w:t>
      </w:r>
      <w:r>
        <w:rPr>
          <w:rFonts w:hint="eastAsia"/>
        </w:rPr>
        <w:t>，不会造成周边地表水环境质量的下降。</w:t>
      </w:r>
    </w:p>
    <w:p>
      <w:pPr>
        <w:pStyle w:val="40"/>
        <w:ind w:firstLine="480"/>
      </w:pPr>
      <w:r>
        <w:rPr>
          <w:rFonts w:hint="eastAsia"/>
        </w:rPr>
        <w:t>项目区域声环境执行《声环境质量标准》（GB3096-2008）2类标准。根据区域声环境质量现状监测结果，项目周边噪声可满足《声环境质量标准》（GB3096-2008）2类标准。根据噪声预测结果，企业采取一定的减振降噪措施后，厂界噪声能够满足《工业企业厂界环境噪声排放标准》（GB12348-2008）2类标准。从声环境适应性角度分析，项目符合声环境功能要求。</w:t>
      </w:r>
    </w:p>
    <w:p>
      <w:pPr>
        <w:pStyle w:val="40"/>
        <w:ind w:firstLine="480"/>
      </w:pPr>
      <w:r>
        <w:rPr>
          <w:rFonts w:hint="eastAsia"/>
        </w:rPr>
        <w:t>项目医疗</w:t>
      </w:r>
      <w:r>
        <w:t>废物暂存后</w:t>
      </w:r>
      <w:r>
        <w:rPr>
          <w:rFonts w:hint="eastAsia"/>
        </w:rPr>
        <w:t>交由有处理资质的单位回收，污染物经过妥善处置后对周边环境影响较小，不会对区域环境质量底线构成影响。</w:t>
      </w:r>
    </w:p>
    <w:p>
      <w:pPr>
        <w:pStyle w:val="40"/>
        <w:ind w:firstLine="482"/>
        <w:rPr>
          <w:b/>
        </w:rPr>
      </w:pPr>
      <w:r>
        <w:rPr>
          <w:b/>
        </w:rPr>
        <w:t>4</w:t>
      </w:r>
      <w:r>
        <w:rPr>
          <w:rFonts w:hint="eastAsia"/>
          <w:b/>
        </w:rPr>
        <w:t>、基础设施</w:t>
      </w:r>
    </w:p>
    <w:p>
      <w:pPr>
        <w:pStyle w:val="40"/>
        <w:ind w:firstLine="480"/>
      </w:pPr>
      <w:r>
        <w:rPr>
          <w:rFonts w:hint="eastAsia"/>
        </w:rPr>
        <w:t>项目厂址位于安康市恒口示范区（试验区），所在地内市政管网、电等基础设施完善，项目可充分利用区内的水源、电源等基础设施，减少企业自身投资成本。</w:t>
      </w:r>
    </w:p>
    <w:p>
      <w:pPr>
        <w:pStyle w:val="40"/>
        <w:ind w:firstLine="482"/>
        <w:rPr>
          <w:b/>
        </w:rPr>
      </w:pPr>
      <w:r>
        <w:rPr>
          <w:b/>
        </w:rPr>
        <w:t>5</w:t>
      </w:r>
      <w:r>
        <w:rPr>
          <w:rFonts w:hint="eastAsia"/>
          <w:b/>
        </w:rPr>
        <w:t>、敏感目标</w:t>
      </w:r>
    </w:p>
    <w:p>
      <w:pPr>
        <w:pStyle w:val="40"/>
        <w:ind w:firstLine="480"/>
      </w:pPr>
      <w:r>
        <w:rPr>
          <w:rFonts w:hint="eastAsia"/>
        </w:rPr>
        <w:t>本项目周边无饮用水水源保护区、自然保护区及其它环境敏感区。项目南侧</w:t>
      </w:r>
      <w:r>
        <w:t>及</w:t>
      </w:r>
      <w:r>
        <w:rPr>
          <w:rFonts w:hint="eastAsia"/>
        </w:rPr>
        <w:t>东</w:t>
      </w:r>
      <w:r>
        <w:t>侧为</w:t>
      </w:r>
      <w:r>
        <w:rPr>
          <w:rFonts w:hint="eastAsia"/>
        </w:rPr>
        <w:t>越南村</w:t>
      </w:r>
      <w:r>
        <w:t>，</w:t>
      </w:r>
      <w:r>
        <w:rPr>
          <w:rFonts w:hint="eastAsia"/>
        </w:rPr>
        <w:t>经预测项目污染物经过妥善处置后对周边敏感点影响很小。根据公众参与调查结果，无人对本工程选址和建设持反对意见。</w:t>
      </w:r>
    </w:p>
    <w:p>
      <w:pPr>
        <w:pStyle w:val="40"/>
        <w:ind w:firstLine="480"/>
      </w:pPr>
      <w:r>
        <w:rPr>
          <w:rFonts w:hint="eastAsia"/>
        </w:rPr>
        <w:t>综上所述，本项目评价范围内无基本农田保护区、自然保护区、风景名胜区、饮用水水源保护区，不在国家、地方规划的重点生态功能区的敏感区域内，自然环境及社会环境条件较为优越，有利于项目建设。在采取相应的污染物防治措施后，项目运营期间各类污染物均能达标排放，对环境的影响可以接受。因此，在严格落实本报告提出的环保措施后，项目的建设和运行不会对外环境产生较大影响，从环保角度分析，项目选址可行。</w:t>
      </w:r>
    </w:p>
    <w:p>
      <w:pPr>
        <w:pStyle w:val="3"/>
      </w:pPr>
      <w:bookmarkStart w:id="3" w:name="_Toc113260411"/>
      <w:r>
        <w:rPr>
          <w:rFonts w:hint="eastAsia"/>
        </w:rPr>
        <w:t>建设</w:t>
      </w:r>
      <w:r>
        <w:t>项目特点</w:t>
      </w:r>
      <w:bookmarkEnd w:id="3"/>
    </w:p>
    <w:p>
      <w:pPr>
        <w:pStyle w:val="71"/>
        <w:ind w:firstLine="480"/>
        <w:rPr>
          <w:color w:val="auto"/>
        </w:rPr>
      </w:pPr>
      <w:r>
        <w:rPr>
          <w:rFonts w:hint="eastAsia"/>
        </w:rPr>
        <w:t>（1）本项目为</w:t>
      </w:r>
      <w:r>
        <w:rPr>
          <w:color w:val="auto"/>
          <w:szCs w:val="24"/>
        </w:rPr>
        <w:t>公共医疗卫生服务公益类项目，属于国家现行产业政策中的鼓励类项目</w:t>
      </w:r>
      <w:r>
        <w:rPr>
          <w:rFonts w:hint="eastAsia"/>
          <w:color w:val="auto"/>
          <w:szCs w:val="24"/>
        </w:rPr>
        <w:t>，周边</w:t>
      </w:r>
      <w:r>
        <w:rPr>
          <w:color w:val="auto"/>
          <w:szCs w:val="24"/>
        </w:rPr>
        <w:t>基础设施</w:t>
      </w:r>
      <w:r>
        <w:rPr>
          <w:rFonts w:hint="eastAsia"/>
          <w:color w:val="auto"/>
          <w:szCs w:val="24"/>
        </w:rPr>
        <w:t>完善</w:t>
      </w:r>
      <w:r>
        <w:rPr>
          <w:color w:val="auto"/>
          <w:szCs w:val="24"/>
        </w:rPr>
        <w:t>，已建成市政</w:t>
      </w:r>
      <w:r>
        <w:rPr>
          <w:rFonts w:hint="eastAsia"/>
          <w:color w:val="auto"/>
          <w:szCs w:val="24"/>
        </w:rPr>
        <w:t>雨</w:t>
      </w:r>
      <w:r>
        <w:rPr>
          <w:color w:val="auto"/>
          <w:szCs w:val="24"/>
        </w:rPr>
        <w:t>、污水管网。</w:t>
      </w:r>
    </w:p>
    <w:p>
      <w:pPr>
        <w:pStyle w:val="40"/>
        <w:ind w:firstLine="480"/>
      </w:pPr>
      <w:r>
        <w:rPr>
          <w:rFonts w:hint="eastAsia"/>
        </w:rPr>
        <w:t>（</w:t>
      </w:r>
      <w:r>
        <w:t>2</w:t>
      </w:r>
      <w:r>
        <w:rPr>
          <w:rFonts w:hint="eastAsia"/>
        </w:rPr>
        <w:t>）本项目医疗服务设施建设项目，其对环境的影响主要为在建成使用中自身产生的废水、废气、噪声、固体废物等排放对外部环境产生的不利影响。</w:t>
      </w:r>
    </w:p>
    <w:p>
      <w:pPr>
        <w:pStyle w:val="40"/>
        <w:ind w:firstLine="480"/>
      </w:pPr>
      <w:r>
        <w:rPr>
          <w:rFonts w:hint="eastAsia"/>
        </w:rPr>
        <w:t>（3）本次</w:t>
      </w:r>
      <w:r>
        <w:t>环评不包括</w:t>
      </w:r>
      <w:r>
        <w:rPr>
          <w:rFonts w:hint="eastAsia"/>
        </w:rPr>
        <w:t>辐射类</w:t>
      </w:r>
      <w:r>
        <w:t>环境影响评价，医院</w:t>
      </w:r>
      <w:r>
        <w:rPr>
          <w:rFonts w:hint="eastAsia"/>
        </w:rPr>
        <w:t>涉及</w:t>
      </w:r>
      <w:r>
        <w:t>的辐射类设备</w:t>
      </w:r>
      <w:r>
        <w:rPr>
          <w:rFonts w:hint="eastAsia"/>
        </w:rPr>
        <w:t>须另行</w:t>
      </w:r>
      <w:r>
        <w:t>环评。</w:t>
      </w:r>
    </w:p>
    <w:p>
      <w:pPr>
        <w:pStyle w:val="3"/>
      </w:pPr>
      <w:bookmarkStart w:id="4" w:name="_Toc113260412"/>
      <w:r>
        <w:rPr>
          <w:rFonts w:hint="eastAsia"/>
        </w:rPr>
        <w:t>环境</w:t>
      </w:r>
      <w:r>
        <w:t>影响评价的工作过程</w:t>
      </w:r>
      <w:bookmarkEnd w:id="4"/>
    </w:p>
    <w:p>
      <w:pPr>
        <w:pStyle w:val="40"/>
        <w:ind w:firstLine="480"/>
        <w:rPr>
          <w:highlight w:val="yellow"/>
        </w:rPr>
      </w:pPr>
      <w:r>
        <w:rPr>
          <w:rFonts w:hint="eastAsia"/>
        </w:rPr>
        <w:t>根据《中华人民共和国环境保护法》、《中华人民共和国环境影响评价法》、《建设项目环境保护管理条例》（国务院令第682号）等有关法律、法规规定，本项目应进行环境影响评价，根据《建设项目环境影响评价分类管理名录》（2021版）（国家环境保护部令第</w:t>
      </w:r>
      <w:r>
        <w:t>16</w:t>
      </w:r>
      <w:r>
        <w:rPr>
          <w:rFonts w:hint="eastAsia"/>
        </w:rPr>
        <w:t>号），本项目属于“四十九、卫生48”：“</w:t>
      </w:r>
      <w:r>
        <w:t>108</w:t>
      </w:r>
      <w:r>
        <w:rPr>
          <w:rFonts w:hint="eastAsia"/>
        </w:rPr>
        <w:t>、医院8</w:t>
      </w:r>
      <w:r>
        <w:t>4</w:t>
      </w:r>
      <w:r>
        <w:rPr>
          <w:rFonts w:hint="eastAsia"/>
        </w:rPr>
        <w:t>1”中的“新建、</w:t>
      </w:r>
      <w:r>
        <w:t>扩建住院床位</w:t>
      </w:r>
      <w:r>
        <w:rPr>
          <w:rFonts w:hint="eastAsia"/>
        </w:rPr>
        <w:t>500张</w:t>
      </w:r>
      <w:r>
        <w:t>及以上</w:t>
      </w:r>
      <w:r>
        <w:rPr>
          <w:rFonts w:hint="eastAsia"/>
        </w:rPr>
        <w:t>”，本项目</w:t>
      </w:r>
      <w:r>
        <w:rPr>
          <w:rFonts w:hint="eastAsia"/>
          <w:color w:val="FF0000"/>
        </w:rPr>
        <w:t>新建</w:t>
      </w:r>
      <w:r>
        <w:rPr>
          <w:color w:val="FF0000"/>
        </w:rPr>
        <w:t>床位</w:t>
      </w:r>
      <w:r>
        <w:rPr>
          <w:rFonts w:hint="eastAsia"/>
          <w:color w:val="FF0000"/>
        </w:rPr>
        <w:t>500张</w:t>
      </w:r>
      <w:r>
        <w:rPr>
          <w:color w:val="FF0000"/>
        </w:rPr>
        <w:t>，</w:t>
      </w:r>
      <w:r>
        <w:rPr>
          <w:rFonts w:hint="eastAsia"/>
        </w:rPr>
        <w:t>因此，应编制环境影响报告书。为此，恒口镇人民政府（卫健局）于202</w:t>
      </w:r>
      <w:r>
        <w:t>2</w:t>
      </w:r>
      <w:r>
        <w:rPr>
          <w:rFonts w:hint="eastAsia"/>
        </w:rPr>
        <w:t>年</w:t>
      </w:r>
      <w:r>
        <w:t>3</w:t>
      </w:r>
      <w:r>
        <w:rPr>
          <w:rFonts w:hint="eastAsia"/>
        </w:rPr>
        <w:t>月</w:t>
      </w:r>
      <w:r>
        <w:t>16</w:t>
      </w:r>
      <w:r>
        <w:rPr>
          <w:rFonts w:hint="eastAsia"/>
        </w:rPr>
        <w:t>日委托西安君润环保科技工程有限公司承担恒口示范区（试验区）综合性三级</w:t>
      </w:r>
      <w:r>
        <w:t>中医医院建设</w:t>
      </w:r>
      <w:r>
        <w:rPr>
          <w:rFonts w:hint="eastAsia"/>
        </w:rPr>
        <w:t>项目的环境影响评价工作（见附件1）。</w:t>
      </w:r>
    </w:p>
    <w:p>
      <w:pPr>
        <w:pStyle w:val="40"/>
        <w:ind w:firstLine="480"/>
        <w:rPr>
          <w:highlight w:val="yellow"/>
        </w:rPr>
      </w:pPr>
      <w:r>
        <w:rPr>
          <w:rFonts w:hint="eastAsia"/>
        </w:rPr>
        <w:t>接受委托后，我单位立即组织相关技术人员开展了深入细致的工作，多次组织专业技术人员对项目所在地及周边区域进行了踏勘和调查，收集了相关的基础资料。随后分三个阶段开展工作，第一阶段为准备阶段，主要工作为研究有关文件，拟定环境现状调查方案，筛选重点评价项目，并明确人员分工；第二阶段为正式工作阶段，其主要工作为做好工程分析和环境现状调查，进行各环境要素环境影响预测与评价及各专题环境影响分析与评价，提出环境保护措施并进行技术经济论证；第三阶段为报告书编制阶段，其主要工作为汇总、分析第二阶段工作所得的各种资料、数据，给出结论，最终完成了《恒口镇人民政府（卫健局）恒口示范区（试验区）综合性三级</w:t>
      </w:r>
      <w:r>
        <w:t>中医医院建设</w:t>
      </w:r>
      <w:r>
        <w:rPr>
          <w:rFonts w:hint="eastAsia"/>
        </w:rPr>
        <w:t>项目环境影响报告书》。</w:t>
      </w:r>
    </w:p>
    <w:p>
      <w:pPr>
        <w:pStyle w:val="40"/>
        <w:ind w:firstLine="480"/>
      </w:pPr>
      <w:r>
        <w:rPr>
          <w:rFonts w:hint="eastAsia"/>
        </w:rPr>
        <w:t>在报告书编制过程中，我们得到了安康市生态环境局、安康市</w:t>
      </w:r>
      <w:r>
        <w:t>恒口示范区</w:t>
      </w:r>
      <w:r>
        <w:rPr>
          <w:rFonts w:hint="eastAsia"/>
        </w:rPr>
        <w:t>生态</w:t>
      </w:r>
      <w:r>
        <w:t>环境局</w:t>
      </w:r>
      <w:r>
        <w:rPr>
          <w:rFonts w:hint="eastAsia"/>
        </w:rPr>
        <w:t>、恒口镇</w:t>
      </w:r>
      <w:r>
        <w:t>人民</w:t>
      </w:r>
      <w:r>
        <w:rPr>
          <w:rFonts w:hint="eastAsia"/>
        </w:rPr>
        <w:t>政府、恒口示范区卫生健康局等相关部门的大力协助，在此一并表示衷心地感谢！</w:t>
      </w:r>
    </w:p>
    <w:p>
      <w:pPr>
        <w:pStyle w:val="3"/>
      </w:pPr>
      <w:bookmarkStart w:id="5" w:name="_Toc113260413"/>
      <w:r>
        <w:rPr>
          <w:rFonts w:hint="eastAsia"/>
        </w:rPr>
        <w:t>关注</w:t>
      </w:r>
      <w:r>
        <w:t>的主要环境问题</w:t>
      </w:r>
      <w:bookmarkEnd w:id="5"/>
    </w:p>
    <w:p>
      <w:pPr>
        <w:pStyle w:val="40"/>
        <w:ind w:firstLine="480"/>
      </w:pPr>
      <w:r>
        <w:rPr>
          <w:rFonts w:hint="eastAsia"/>
        </w:rPr>
        <w:t>本项目周围敏感点对水环境、大气环境、声环境、固体废物环境都有特定的要求，因此本评价关注的主要环境问题是运营期废水、废气、噪声、固废对周围敏感点的影响。</w:t>
      </w:r>
    </w:p>
    <w:p>
      <w:pPr>
        <w:pStyle w:val="40"/>
        <w:ind w:firstLine="480"/>
      </w:pPr>
      <w:r>
        <w:rPr>
          <w:rFonts w:hint="eastAsia"/>
        </w:rPr>
        <w:t>（1）本项目运营期综合废水包括医疗废水和生活污水，主要</w:t>
      </w:r>
      <w:r>
        <w:t>关注污水处理站处理工艺及达标排放情况</w:t>
      </w:r>
      <w:r>
        <w:rPr>
          <w:rFonts w:hint="eastAsia"/>
        </w:rPr>
        <w:t>。</w:t>
      </w:r>
    </w:p>
    <w:p>
      <w:pPr>
        <w:pStyle w:val="40"/>
        <w:ind w:firstLine="480"/>
      </w:pPr>
      <w:r>
        <w:rPr>
          <w:rFonts w:hint="eastAsia"/>
        </w:rPr>
        <w:t>（2）项目废气主要来源于污水处理站臭气、备用发电机</w:t>
      </w:r>
      <w:r>
        <w:t>废气等</w:t>
      </w:r>
      <w:r>
        <w:rPr>
          <w:rFonts w:hint="eastAsia"/>
        </w:rPr>
        <w:t>，</w:t>
      </w:r>
      <w:r>
        <w:t>主要关注各个废气的处理措施</w:t>
      </w:r>
      <w:r>
        <w:rPr>
          <w:rFonts w:hint="eastAsia"/>
        </w:rPr>
        <w:t>以及</w:t>
      </w:r>
      <w:r>
        <w:t>对周围环境</w:t>
      </w:r>
      <w:r>
        <w:rPr>
          <w:rFonts w:hint="eastAsia"/>
        </w:rPr>
        <w:t>敏感点</w:t>
      </w:r>
      <w:r>
        <w:t>的影响。</w:t>
      </w:r>
    </w:p>
    <w:p>
      <w:pPr>
        <w:pStyle w:val="40"/>
        <w:ind w:firstLine="480"/>
      </w:pPr>
      <w:r>
        <w:rPr>
          <w:rFonts w:hint="eastAsia"/>
        </w:rPr>
        <w:t>（3）噪声污染源包括：机电设备（各类水泵、风机等）运行时产生的噪声、就诊人员的社会噪声等，主要</w:t>
      </w:r>
      <w:r>
        <w:t>关注各类机械设备运行时的噪声</w:t>
      </w:r>
      <w:r>
        <w:rPr>
          <w:rFonts w:hint="eastAsia"/>
        </w:rPr>
        <w:t>对周边环境敏感点的影响及采取的污染防治措施。</w:t>
      </w:r>
    </w:p>
    <w:p>
      <w:pPr>
        <w:pStyle w:val="40"/>
        <w:ind w:firstLine="480"/>
      </w:pPr>
      <w:r>
        <w:rPr>
          <w:rFonts w:hint="eastAsia"/>
        </w:rPr>
        <w:t>（4）固体废物主要包括生活垃圾、医疗废物和污水处理站污泥，主要</w:t>
      </w:r>
      <w:r>
        <w:t>关注</w:t>
      </w:r>
      <w:r>
        <w:rPr>
          <w:rFonts w:hint="eastAsia"/>
        </w:rPr>
        <w:t>固体废弃物的暂存处理措施的可行性以及危险</w:t>
      </w:r>
      <w:r>
        <w:t>废物</w:t>
      </w:r>
      <w:r>
        <w:rPr>
          <w:rFonts w:hint="eastAsia"/>
        </w:rPr>
        <w:t>处置方式、最终去向的合理性分析。一般污染防治区及重点污染防治区的防渗措施。</w:t>
      </w:r>
    </w:p>
    <w:p>
      <w:pPr>
        <w:pStyle w:val="3"/>
      </w:pPr>
      <w:bookmarkStart w:id="6" w:name="_Toc113260414"/>
      <w:r>
        <w:rPr>
          <w:rFonts w:hint="eastAsia"/>
        </w:rPr>
        <w:t>报告书</w:t>
      </w:r>
      <w:r>
        <w:t>的主要结论</w:t>
      </w:r>
      <w:bookmarkEnd w:id="6"/>
    </w:p>
    <w:p>
      <w:pPr>
        <w:pStyle w:val="40"/>
        <w:ind w:firstLine="480"/>
        <w:rPr>
          <w:highlight w:val="yellow"/>
        </w:rPr>
      </w:pPr>
      <w:r>
        <w:rPr>
          <w:rFonts w:hint="eastAsia"/>
        </w:rPr>
        <w:t>项目所在区域不存在重大的环境制约因素，项目所在区域环境质量现状较好，在采取了本次环评提出的各项污染防治措施的基础上，污染物排放可以达到相应的排放标准，项目建设和运行不会改变区域的环境功能，项目对环境影响较小，通过公众参与调查，公众对项目无反对意见，项目建成后对当地经济起到促进作用。在认真落实污染物达标排放和总量控制要求，采取严格有效的事故风险防范措施后，项目运营阶段对周围环境的影响在可接受范围内。因此，从环保的角度分析，该项目的建设环境可行。</w:t>
      </w:r>
    </w:p>
    <w:p>
      <w:pPr>
        <w:rPr>
          <w:highlight w:val="yellow"/>
        </w:rPr>
        <w:sectPr>
          <w:headerReference r:id="rId10" w:type="default"/>
          <w:footerReference r:id="rId12" w:type="default"/>
          <w:headerReference r:id="rId11" w:type="even"/>
          <w:pgSz w:w="11906" w:h="16838"/>
          <w:pgMar w:top="1418" w:right="1418" w:bottom="1418" w:left="1588" w:header="851" w:footer="992" w:gutter="0"/>
          <w:pgNumType w:fmt="numberInDash" w:start="1"/>
          <w:cols w:space="425" w:num="1"/>
          <w:docGrid w:type="linesAndChars" w:linePitch="312" w:charSpace="0"/>
        </w:sectPr>
      </w:pPr>
    </w:p>
    <w:p>
      <w:pPr>
        <w:pStyle w:val="2"/>
      </w:pPr>
      <w:bookmarkStart w:id="7" w:name="_Toc113260415"/>
      <w:r>
        <w:rPr>
          <w:rFonts w:hint="eastAsia"/>
        </w:rPr>
        <w:t>总则</w:t>
      </w:r>
      <w:bookmarkEnd w:id="7"/>
    </w:p>
    <w:p>
      <w:pPr>
        <w:pStyle w:val="3"/>
      </w:pPr>
      <w:bookmarkStart w:id="8" w:name="_Toc113260416"/>
      <w:r>
        <w:rPr>
          <w:rFonts w:hint="eastAsia"/>
        </w:rPr>
        <w:t>编制</w:t>
      </w:r>
      <w:r>
        <w:t>依据</w:t>
      </w:r>
      <w:bookmarkEnd w:id="8"/>
    </w:p>
    <w:p>
      <w:pPr>
        <w:pStyle w:val="4"/>
      </w:pPr>
      <w:r>
        <w:rPr>
          <w:rFonts w:hint="eastAsia"/>
        </w:rPr>
        <w:t>相关</w:t>
      </w:r>
      <w:r>
        <w:t>法律法规</w:t>
      </w:r>
    </w:p>
    <w:p>
      <w:pPr>
        <w:pStyle w:val="40"/>
        <w:numPr>
          <w:ilvl w:val="0"/>
          <w:numId w:val="2"/>
        </w:numPr>
        <w:ind w:firstLineChars="0"/>
      </w:pPr>
      <w:r>
        <w:t>《中华人民共和国环境保护法》（2015年1月1日）；</w:t>
      </w:r>
    </w:p>
    <w:p>
      <w:pPr>
        <w:pStyle w:val="40"/>
        <w:numPr>
          <w:ilvl w:val="0"/>
          <w:numId w:val="2"/>
        </w:numPr>
        <w:ind w:firstLineChars="0"/>
      </w:pPr>
      <w:r>
        <w:t>《中华人民共和国环境影响评价法》（修订版）（2018年12月29日）；</w:t>
      </w:r>
    </w:p>
    <w:p>
      <w:pPr>
        <w:pStyle w:val="40"/>
        <w:numPr>
          <w:ilvl w:val="0"/>
          <w:numId w:val="2"/>
        </w:numPr>
        <w:ind w:firstLineChars="0"/>
      </w:pPr>
      <w:r>
        <w:t>《中华人民共和国水污染防治法》(修订版)（2018年1月1日）；</w:t>
      </w:r>
    </w:p>
    <w:p>
      <w:pPr>
        <w:pStyle w:val="40"/>
        <w:numPr>
          <w:ilvl w:val="0"/>
          <w:numId w:val="2"/>
        </w:numPr>
        <w:ind w:firstLineChars="0"/>
      </w:pPr>
      <w:r>
        <w:t>《中华人民共和国大气污染防治法》(修订版)（2018年10月26日）；</w:t>
      </w:r>
    </w:p>
    <w:p>
      <w:pPr>
        <w:pStyle w:val="40"/>
        <w:numPr>
          <w:ilvl w:val="0"/>
          <w:numId w:val="2"/>
        </w:numPr>
        <w:ind w:firstLineChars="0"/>
      </w:pPr>
      <w:r>
        <w:t>《中华人民共和国环境噪声污染防治法》（修订版）（2021年12月24日）；</w:t>
      </w:r>
    </w:p>
    <w:p>
      <w:pPr>
        <w:pStyle w:val="40"/>
        <w:numPr>
          <w:ilvl w:val="0"/>
          <w:numId w:val="2"/>
        </w:numPr>
        <w:ind w:firstLineChars="0"/>
      </w:pPr>
      <w:r>
        <w:t>《中华人民共和国固体废物污染</w:t>
      </w:r>
      <w:r>
        <w:rPr>
          <w:rFonts w:hint="eastAsia"/>
        </w:rPr>
        <w:t>环境</w:t>
      </w:r>
      <w:r>
        <w:t>防治法》（2020年9月1日）；</w:t>
      </w:r>
    </w:p>
    <w:p>
      <w:pPr>
        <w:pStyle w:val="40"/>
        <w:numPr>
          <w:ilvl w:val="0"/>
          <w:numId w:val="2"/>
        </w:numPr>
        <w:ind w:firstLineChars="0"/>
      </w:pPr>
      <w:r>
        <w:t>《中华人民共和国清洁生产促进法》（2012年7月1日）；</w:t>
      </w:r>
    </w:p>
    <w:p>
      <w:pPr>
        <w:pStyle w:val="40"/>
        <w:numPr>
          <w:ilvl w:val="0"/>
          <w:numId w:val="2"/>
        </w:numPr>
        <w:ind w:firstLineChars="0"/>
      </w:pPr>
      <w:r>
        <w:t>《中华人民共和国循环经济促进法》（2009年1月1日）；</w:t>
      </w:r>
    </w:p>
    <w:p>
      <w:pPr>
        <w:pStyle w:val="40"/>
        <w:numPr>
          <w:ilvl w:val="0"/>
          <w:numId w:val="2"/>
        </w:numPr>
        <w:ind w:firstLineChars="0"/>
      </w:pPr>
      <w:r>
        <w:t>《建设项目环境保护管理条例》（2017年10月1日）；</w:t>
      </w:r>
    </w:p>
    <w:p>
      <w:pPr>
        <w:pStyle w:val="40"/>
        <w:numPr>
          <w:ilvl w:val="0"/>
          <w:numId w:val="2"/>
        </w:numPr>
        <w:ind w:firstLineChars="0"/>
      </w:pPr>
      <w:r>
        <w:t>《陕西省循环经济促进条例》（2011年12月1）；</w:t>
      </w:r>
    </w:p>
    <w:p>
      <w:pPr>
        <w:pStyle w:val="40"/>
        <w:numPr>
          <w:ilvl w:val="0"/>
          <w:numId w:val="2"/>
        </w:numPr>
        <w:ind w:firstLineChars="0"/>
      </w:pPr>
      <w:r>
        <w:t>《土壤污染防治行动计划》，国发[2016]31号，2016年5月28日；</w:t>
      </w:r>
    </w:p>
    <w:p>
      <w:pPr>
        <w:pStyle w:val="40"/>
        <w:numPr>
          <w:ilvl w:val="0"/>
          <w:numId w:val="2"/>
        </w:numPr>
        <w:ind w:firstLineChars="0"/>
      </w:pPr>
      <w:r>
        <w:t>《水污染防治行动计划》，国发[2015]17号，2015年4月2日；</w:t>
      </w:r>
    </w:p>
    <w:p>
      <w:pPr>
        <w:pStyle w:val="40"/>
        <w:numPr>
          <w:ilvl w:val="0"/>
          <w:numId w:val="2"/>
        </w:numPr>
        <w:ind w:firstLineChars="0"/>
      </w:pPr>
      <w:r>
        <w:t>《大气污染防治行动计划》，国发[2013]37号，2013年9月10日；</w:t>
      </w:r>
    </w:p>
    <w:p>
      <w:pPr>
        <w:pStyle w:val="40"/>
        <w:numPr>
          <w:ilvl w:val="0"/>
          <w:numId w:val="2"/>
        </w:numPr>
        <w:ind w:firstLineChars="0"/>
      </w:pPr>
      <w:r>
        <w:t>《陕西省地下水条例》（2016年4月1）；</w:t>
      </w:r>
    </w:p>
    <w:p>
      <w:pPr>
        <w:pStyle w:val="40"/>
        <w:numPr>
          <w:ilvl w:val="0"/>
          <w:numId w:val="2"/>
        </w:numPr>
        <w:ind w:firstLineChars="0"/>
      </w:pPr>
      <w:r>
        <w:t>《陕西省固体废物污染环境防治条例》（2015年11月19）；</w:t>
      </w:r>
    </w:p>
    <w:p>
      <w:pPr>
        <w:pStyle w:val="40"/>
        <w:numPr>
          <w:ilvl w:val="0"/>
          <w:numId w:val="2"/>
        </w:numPr>
        <w:ind w:firstLineChars="0"/>
      </w:pPr>
      <w:r>
        <w:t>《陕西省大气污染防治条例（2017修正版）》，2017年7月27日；</w:t>
      </w:r>
    </w:p>
    <w:p>
      <w:pPr>
        <w:pStyle w:val="40"/>
        <w:numPr>
          <w:ilvl w:val="0"/>
          <w:numId w:val="2"/>
        </w:numPr>
        <w:ind w:firstLineChars="0"/>
      </w:pPr>
      <w:r>
        <w:t>《陕西省水污染防治工作方案》，2015年12月30日；</w:t>
      </w:r>
    </w:p>
    <w:p>
      <w:pPr>
        <w:pStyle w:val="40"/>
        <w:numPr>
          <w:ilvl w:val="0"/>
          <w:numId w:val="2"/>
        </w:numPr>
        <w:ind w:firstLineChars="0"/>
      </w:pPr>
      <w:r>
        <w:t>《陕西省土壤污染防治工作》，2017年1月4日。</w:t>
      </w:r>
    </w:p>
    <w:p>
      <w:pPr>
        <w:pStyle w:val="4"/>
      </w:pPr>
      <w:r>
        <w:rPr>
          <w:rFonts w:hint="eastAsia"/>
        </w:rPr>
        <w:t>部门</w:t>
      </w:r>
      <w:r>
        <w:t>规章、地方相关规章</w:t>
      </w:r>
    </w:p>
    <w:p>
      <w:pPr>
        <w:pStyle w:val="40"/>
        <w:numPr>
          <w:ilvl w:val="0"/>
          <w:numId w:val="3"/>
        </w:numPr>
        <w:ind w:firstLineChars="0"/>
      </w:pPr>
      <w:r>
        <w:t>《国家发展和改革委员会产业结构调整指导目录（2019年本）》（2020年1月1日）；</w:t>
      </w:r>
    </w:p>
    <w:p>
      <w:pPr>
        <w:pStyle w:val="40"/>
        <w:numPr>
          <w:ilvl w:val="0"/>
          <w:numId w:val="3"/>
        </w:numPr>
        <w:ind w:firstLineChars="0"/>
      </w:pPr>
      <w:r>
        <w:t>国务院关于发布实施《促进产业结构调整暂行规定》的决定（2005年12月2日起实施）；</w:t>
      </w:r>
    </w:p>
    <w:p>
      <w:pPr>
        <w:pStyle w:val="40"/>
        <w:numPr>
          <w:ilvl w:val="0"/>
          <w:numId w:val="3"/>
        </w:numPr>
        <w:ind w:firstLineChars="0"/>
      </w:pPr>
      <w:r>
        <w:t>《关于防范环境风险加强环境影响评价管理的通知》（环发[2005]152号）；</w:t>
      </w:r>
    </w:p>
    <w:p>
      <w:pPr>
        <w:pStyle w:val="40"/>
        <w:numPr>
          <w:ilvl w:val="0"/>
          <w:numId w:val="3"/>
        </w:numPr>
        <w:ind w:firstLineChars="0"/>
      </w:pPr>
      <w:r>
        <w:t>《关于划定并严守生态保护红线的若干意见》（国务院办公厅，2017年2月7日）；</w:t>
      </w:r>
    </w:p>
    <w:p>
      <w:pPr>
        <w:pStyle w:val="40"/>
        <w:numPr>
          <w:ilvl w:val="0"/>
          <w:numId w:val="3"/>
        </w:numPr>
        <w:ind w:firstLineChars="0"/>
      </w:pPr>
      <w:r>
        <w:t>《关于加强环境保护重点工作的意见》（国发[2011]35号）；</w:t>
      </w:r>
    </w:p>
    <w:p>
      <w:pPr>
        <w:pStyle w:val="40"/>
        <w:numPr>
          <w:ilvl w:val="0"/>
          <w:numId w:val="3"/>
        </w:numPr>
        <w:ind w:firstLineChars="0"/>
      </w:pPr>
      <w:r>
        <w:t>《关于加强西部地区环境影响评价工作的通知》（环发[2011]150号）；</w:t>
      </w:r>
    </w:p>
    <w:p>
      <w:pPr>
        <w:pStyle w:val="40"/>
        <w:numPr>
          <w:ilvl w:val="0"/>
          <w:numId w:val="3"/>
        </w:numPr>
        <w:ind w:firstLineChars="0"/>
      </w:pPr>
      <w:r>
        <w:t>《关于进一步加强环境影响评价管理防范环境风险的通知》（环发[2012]77号）；</w:t>
      </w:r>
    </w:p>
    <w:p>
      <w:pPr>
        <w:pStyle w:val="40"/>
        <w:numPr>
          <w:ilvl w:val="0"/>
          <w:numId w:val="3"/>
        </w:numPr>
        <w:ind w:firstLineChars="0"/>
      </w:pPr>
      <w:r>
        <w:t>《建设项目环境影响评价分类管理名录》</w:t>
      </w:r>
      <w:r>
        <w:rPr>
          <w:rFonts w:hint="eastAsia"/>
        </w:rPr>
        <w:t>（2021版）</w:t>
      </w:r>
      <w:r>
        <w:t>（部令第16号</w:t>
      </w:r>
      <w:r>
        <w:rPr>
          <w:rFonts w:hint="eastAsia"/>
        </w:rPr>
        <w:t>，2021年1月1日</w:t>
      </w:r>
      <w:r>
        <w:t>）；</w:t>
      </w:r>
    </w:p>
    <w:p>
      <w:pPr>
        <w:pStyle w:val="40"/>
        <w:numPr>
          <w:ilvl w:val="0"/>
          <w:numId w:val="3"/>
        </w:numPr>
        <w:ind w:firstLineChars="0"/>
      </w:pPr>
      <w:r>
        <w:t>《医疗卫生机构医疗废物管理办法》（</w:t>
      </w:r>
      <w:r>
        <w:rPr>
          <w:rFonts w:hint="eastAsia"/>
        </w:rPr>
        <w:t>中华人民共和国卫生部令第36号）2003年10月15日；</w:t>
      </w:r>
    </w:p>
    <w:p>
      <w:pPr>
        <w:pStyle w:val="40"/>
        <w:numPr>
          <w:ilvl w:val="0"/>
          <w:numId w:val="3"/>
        </w:numPr>
        <w:ind w:firstLineChars="0"/>
      </w:pPr>
      <w:r>
        <w:rPr>
          <w:rFonts w:hint="eastAsia"/>
        </w:rPr>
        <w:t>《医疗废物分类目录（2021版）》（国卫医函</w:t>
      </w:r>
      <w:r>
        <w:t>[2021]238</w:t>
      </w:r>
      <w:r>
        <w:rPr>
          <w:rFonts w:hint="eastAsia"/>
        </w:rPr>
        <w:t>号，</w:t>
      </w:r>
      <w:r>
        <w:t>2021</w:t>
      </w:r>
      <w:r>
        <w:rPr>
          <w:rFonts w:hint="eastAsia"/>
        </w:rPr>
        <w:t>年</w:t>
      </w:r>
      <w:r>
        <w:t>11</w:t>
      </w:r>
      <w:r>
        <w:rPr>
          <w:rFonts w:hint="eastAsia"/>
        </w:rPr>
        <w:t>月</w:t>
      </w:r>
      <w:r>
        <w:t>25</w:t>
      </w:r>
      <w:r>
        <w:rPr>
          <w:rFonts w:hint="eastAsia"/>
        </w:rPr>
        <w:t>日）；</w:t>
      </w:r>
    </w:p>
    <w:p>
      <w:pPr>
        <w:pStyle w:val="40"/>
        <w:numPr>
          <w:ilvl w:val="0"/>
          <w:numId w:val="3"/>
        </w:numPr>
        <w:ind w:firstLineChars="0"/>
      </w:pPr>
      <w:r>
        <w:t>关于发布《医疗废物集中处置技术规范》的公告（环发</w:t>
      </w:r>
      <w:r>
        <w:rPr>
          <w:rFonts w:hint="eastAsia"/>
        </w:rPr>
        <w:t>[</w:t>
      </w:r>
      <w:r>
        <w:t>2003</w:t>
      </w:r>
      <w:r>
        <w:rPr>
          <w:rFonts w:hint="eastAsia"/>
        </w:rPr>
        <w:t>]</w:t>
      </w:r>
      <w:r>
        <w:t>206号）</w:t>
      </w:r>
      <w:r>
        <w:rPr>
          <w:rFonts w:hint="eastAsia"/>
        </w:rPr>
        <w:t>，2003年12月26日</w:t>
      </w:r>
      <w:r>
        <w:t>；</w:t>
      </w:r>
    </w:p>
    <w:p>
      <w:pPr>
        <w:pStyle w:val="40"/>
        <w:numPr>
          <w:ilvl w:val="0"/>
          <w:numId w:val="3"/>
        </w:numPr>
        <w:ind w:firstLineChars="0"/>
      </w:pPr>
      <w:r>
        <w:t>《医院污水处理技术指南》</w:t>
      </w:r>
      <w:r>
        <w:rPr>
          <w:rFonts w:hint="eastAsia"/>
        </w:rPr>
        <w:t>(</w:t>
      </w:r>
      <w:r>
        <w:t>环发</w:t>
      </w:r>
      <w:r>
        <w:rPr>
          <w:rFonts w:hint="eastAsia"/>
        </w:rPr>
        <w:t>[</w:t>
      </w:r>
      <w:r>
        <w:t>2003</w:t>
      </w:r>
      <w:r>
        <w:rPr>
          <w:rFonts w:hint="eastAsia"/>
        </w:rPr>
        <w:t>]</w:t>
      </w:r>
      <w:r>
        <w:t>197号</w:t>
      </w:r>
      <w:r>
        <w:rPr>
          <w:rFonts w:hint="eastAsia"/>
        </w:rPr>
        <w:t>)</w:t>
      </w:r>
      <w:r>
        <w:t>，2003年12月10日；</w:t>
      </w:r>
    </w:p>
    <w:p>
      <w:pPr>
        <w:pStyle w:val="40"/>
        <w:numPr>
          <w:ilvl w:val="0"/>
          <w:numId w:val="3"/>
        </w:numPr>
        <w:ind w:firstLineChars="0"/>
      </w:pPr>
      <w:r>
        <w:rPr>
          <w:rFonts w:hint="eastAsia"/>
        </w:rPr>
        <w:t>《医疗废物专用包装物、容器标准和警示标识规定》（环发[2003]188号），2003年11月20日；</w:t>
      </w:r>
    </w:p>
    <w:p>
      <w:pPr>
        <w:pStyle w:val="40"/>
        <w:numPr>
          <w:ilvl w:val="0"/>
          <w:numId w:val="3"/>
        </w:numPr>
        <w:ind w:firstLineChars="0"/>
      </w:pPr>
      <w:r>
        <w:rPr>
          <w:rFonts w:hint="eastAsia"/>
          <w:bCs/>
        </w:rPr>
        <w:t>《国务院办公厅</w:t>
      </w:r>
      <w:r>
        <w:rPr>
          <w:bCs/>
        </w:rPr>
        <w:t>关于</w:t>
      </w:r>
      <w:r>
        <w:rPr>
          <w:rFonts w:hint="eastAsia"/>
          <w:bCs/>
        </w:rPr>
        <w:t>印发</w:t>
      </w:r>
      <w:r>
        <w:rPr>
          <w:bCs/>
        </w:rPr>
        <w:t>深化医药卫生</w:t>
      </w:r>
      <w:r>
        <w:rPr>
          <w:rFonts w:hint="eastAsia"/>
          <w:bCs/>
          <w:lang w:eastAsia="zh-CN"/>
        </w:rPr>
        <w:t>体制</w:t>
      </w:r>
      <w:bookmarkStart w:id="108" w:name="_GoBack"/>
      <w:bookmarkEnd w:id="108"/>
      <w:r>
        <w:rPr>
          <w:bCs/>
        </w:rPr>
        <w:t>改革</w:t>
      </w:r>
      <w:r>
        <w:rPr>
          <w:rFonts w:hint="eastAsia"/>
          <w:bCs/>
        </w:rPr>
        <w:t>2021年</w:t>
      </w:r>
      <w:r>
        <w:rPr>
          <w:bCs/>
        </w:rPr>
        <w:t>重点工作任务的通知</w:t>
      </w:r>
      <w:r>
        <w:rPr>
          <w:rFonts w:hint="eastAsia"/>
          <w:bCs/>
        </w:rPr>
        <w:t>》（国</w:t>
      </w:r>
      <w:r>
        <w:rPr>
          <w:bCs/>
        </w:rPr>
        <w:t>办</w:t>
      </w:r>
      <w:r>
        <w:rPr>
          <w:rFonts w:hint="eastAsia"/>
          <w:bCs/>
        </w:rPr>
        <w:t>发[</w:t>
      </w:r>
      <w:r>
        <w:rPr>
          <w:bCs/>
        </w:rPr>
        <w:t>2021</w:t>
      </w:r>
      <w:r>
        <w:rPr>
          <w:rFonts w:hint="eastAsia"/>
          <w:bCs/>
        </w:rPr>
        <w:t>]</w:t>
      </w:r>
      <w:r>
        <w:rPr>
          <w:bCs/>
        </w:rPr>
        <w:t>20</w:t>
      </w:r>
      <w:r>
        <w:rPr>
          <w:rFonts w:hint="eastAsia"/>
          <w:bCs/>
        </w:rPr>
        <w:t>号）；</w:t>
      </w:r>
    </w:p>
    <w:p>
      <w:pPr>
        <w:pStyle w:val="40"/>
        <w:numPr>
          <w:ilvl w:val="0"/>
          <w:numId w:val="3"/>
        </w:numPr>
        <w:ind w:firstLineChars="0"/>
      </w:pPr>
      <w:r>
        <w:t>《关于强化建设项目环境影响评价事中事后监管的实施意见》，环境保护部，环环评[2018]11号；</w:t>
      </w:r>
    </w:p>
    <w:p>
      <w:pPr>
        <w:pStyle w:val="40"/>
        <w:numPr>
          <w:ilvl w:val="0"/>
          <w:numId w:val="3"/>
        </w:numPr>
        <w:ind w:firstLineChars="0"/>
      </w:pPr>
      <w:r>
        <w:rPr>
          <w:rFonts w:hint="eastAsia"/>
        </w:rPr>
        <w:t>《国家危险废物名录》（2021年版）（部令第15号）（2021.1.1实施）；</w:t>
      </w:r>
    </w:p>
    <w:p>
      <w:pPr>
        <w:pStyle w:val="40"/>
        <w:numPr>
          <w:ilvl w:val="0"/>
          <w:numId w:val="3"/>
        </w:numPr>
        <w:ind w:firstLineChars="0"/>
      </w:pPr>
      <w:r>
        <w:rPr>
          <w:bCs/>
        </w:rPr>
        <w:t>《陕西省主体功能区规划》（陕西省人民政府，2013年3月）；</w:t>
      </w:r>
    </w:p>
    <w:p>
      <w:pPr>
        <w:pStyle w:val="40"/>
        <w:numPr>
          <w:ilvl w:val="0"/>
          <w:numId w:val="3"/>
        </w:numPr>
        <w:ind w:firstLineChars="0"/>
      </w:pPr>
      <w:r>
        <w:t>《陕西省生态功能区划》（陕政办发[2004] 115号）；</w:t>
      </w:r>
    </w:p>
    <w:p>
      <w:pPr>
        <w:pStyle w:val="40"/>
        <w:numPr>
          <w:ilvl w:val="0"/>
          <w:numId w:val="3"/>
        </w:numPr>
        <w:ind w:firstLineChars="0"/>
      </w:pPr>
      <w:r>
        <w:t>《行业用水定额》（DB 61/T 943-2020）；</w:t>
      </w:r>
    </w:p>
    <w:p>
      <w:pPr>
        <w:pStyle w:val="40"/>
        <w:numPr>
          <w:ilvl w:val="0"/>
          <w:numId w:val="3"/>
        </w:numPr>
        <w:ind w:firstLineChars="0"/>
      </w:pPr>
      <w:r>
        <w:t>《陕西省水功能区划》（陕政发[2004]100号）；</w:t>
      </w:r>
    </w:p>
    <w:p>
      <w:pPr>
        <w:pStyle w:val="40"/>
        <w:numPr>
          <w:ilvl w:val="0"/>
          <w:numId w:val="3"/>
        </w:numPr>
        <w:ind w:firstLineChars="0"/>
      </w:pPr>
      <w:r>
        <w:t>《陕西省</w:t>
      </w:r>
      <w:r>
        <w:rPr>
          <w:rFonts w:hint="eastAsia"/>
        </w:rPr>
        <w:t>蓝天</w:t>
      </w:r>
      <w:r>
        <w:t>保卫战</w:t>
      </w:r>
      <w:r>
        <w:rPr>
          <w:rFonts w:hint="eastAsia"/>
        </w:rPr>
        <w:t>202</w:t>
      </w:r>
      <w:r>
        <w:t>2</w:t>
      </w:r>
      <w:r>
        <w:rPr>
          <w:rFonts w:hint="eastAsia"/>
        </w:rPr>
        <w:t>年</w:t>
      </w:r>
      <w:r>
        <w:t>行动方案》</w:t>
      </w:r>
      <w:r>
        <w:rPr>
          <w:rFonts w:hint="eastAsia"/>
        </w:rPr>
        <w:t>（2022.3.14）</w:t>
      </w:r>
      <w:r>
        <w:t>；</w:t>
      </w:r>
    </w:p>
    <w:p>
      <w:pPr>
        <w:numPr>
          <w:ilvl w:val="0"/>
          <w:numId w:val="3"/>
        </w:numPr>
        <w:spacing w:line="360" w:lineRule="auto"/>
        <w:jc w:val="left"/>
        <w:rPr>
          <w:rFonts w:ascii="Times New Roman" w:hAnsi="Times New Roman" w:eastAsia="宋体" w:cs="Times New Roman"/>
          <w:color w:val="000000"/>
          <w:sz w:val="24"/>
        </w:rPr>
      </w:pPr>
      <w:r>
        <w:rPr>
          <w:rFonts w:ascii="Times New Roman" w:hAnsi="Times New Roman" w:eastAsia="宋体" w:cs="Times New Roman"/>
          <w:color w:val="000000"/>
          <w:sz w:val="24"/>
        </w:rPr>
        <w:t>《安康市</w:t>
      </w:r>
      <w:r>
        <w:rPr>
          <w:rFonts w:hint="eastAsia" w:ascii="Times New Roman" w:hAnsi="Times New Roman" w:eastAsia="宋体" w:cs="Times New Roman"/>
          <w:color w:val="000000"/>
          <w:sz w:val="24"/>
        </w:rPr>
        <w:t>蓝天</w:t>
      </w:r>
      <w:r>
        <w:rPr>
          <w:rFonts w:ascii="Times New Roman" w:hAnsi="Times New Roman" w:eastAsia="宋体" w:cs="Times New Roman"/>
          <w:color w:val="000000"/>
          <w:sz w:val="24"/>
        </w:rPr>
        <w:t>保卫战</w:t>
      </w:r>
      <w:r>
        <w:rPr>
          <w:rFonts w:hint="eastAsia" w:ascii="Times New Roman" w:hAnsi="Times New Roman" w:eastAsia="宋体" w:cs="Times New Roman"/>
          <w:color w:val="000000"/>
          <w:sz w:val="24"/>
        </w:rPr>
        <w:t>20</w:t>
      </w:r>
      <w:r>
        <w:rPr>
          <w:rFonts w:ascii="Times New Roman" w:hAnsi="Times New Roman" w:eastAsia="宋体" w:cs="Times New Roman"/>
          <w:color w:val="000000"/>
          <w:sz w:val="24"/>
        </w:rPr>
        <w:t>22</w:t>
      </w:r>
      <w:r>
        <w:rPr>
          <w:rFonts w:hint="eastAsia" w:ascii="Times New Roman" w:hAnsi="Times New Roman" w:eastAsia="宋体" w:cs="Times New Roman"/>
          <w:color w:val="000000"/>
          <w:sz w:val="24"/>
        </w:rPr>
        <w:t>年</w:t>
      </w:r>
      <w:r>
        <w:rPr>
          <w:rFonts w:ascii="Times New Roman" w:hAnsi="Times New Roman" w:eastAsia="宋体" w:cs="Times New Roman"/>
          <w:color w:val="000000"/>
          <w:sz w:val="24"/>
        </w:rPr>
        <w:t>工作实施方案</w:t>
      </w:r>
      <w:r>
        <w:rPr>
          <w:rFonts w:hint="eastAsia" w:ascii="Times New Roman" w:hAnsi="Times New Roman" w:eastAsia="宋体" w:cs="Times New Roman"/>
          <w:color w:val="000000"/>
          <w:sz w:val="24"/>
        </w:rPr>
        <w:t>（征求</w:t>
      </w:r>
      <w:r>
        <w:rPr>
          <w:rFonts w:ascii="Times New Roman" w:hAnsi="Times New Roman" w:eastAsia="宋体" w:cs="Times New Roman"/>
          <w:color w:val="000000"/>
          <w:sz w:val="24"/>
        </w:rPr>
        <w:t>意见稿</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w:t>
      </w:r>
    </w:p>
    <w:p>
      <w:pPr>
        <w:numPr>
          <w:ilvl w:val="0"/>
          <w:numId w:val="3"/>
        </w:numPr>
        <w:spacing w:line="360" w:lineRule="auto"/>
        <w:jc w:val="left"/>
        <w:rPr>
          <w:rFonts w:ascii="Times New Roman" w:hAnsi="Times New Roman" w:eastAsia="宋体" w:cs="Times New Roman"/>
          <w:color w:val="000000"/>
          <w:sz w:val="24"/>
        </w:rPr>
      </w:pPr>
      <w:r>
        <w:rPr>
          <w:rFonts w:ascii="Times New Roman" w:hAnsi="Times New Roman" w:eastAsia="宋体" w:cs="Times New Roman"/>
          <w:color w:val="000000"/>
          <w:sz w:val="24"/>
        </w:rPr>
        <w:t>安康市人民政府《关于进一步加强环境保护工作的决定》，安政发</w:t>
      </w:r>
      <w:r>
        <w:rPr>
          <w:rFonts w:hint="eastAsia" w:ascii="Times New Roman" w:eastAsia="宋体" w:cs="Times New Roman"/>
          <w:color w:val="000000"/>
          <w:sz w:val="24"/>
        </w:rPr>
        <w:t>[2013]31号；</w:t>
      </w:r>
    </w:p>
    <w:p>
      <w:pPr>
        <w:numPr>
          <w:ilvl w:val="0"/>
          <w:numId w:val="3"/>
        </w:numPr>
        <w:spacing w:line="360" w:lineRule="auto"/>
        <w:jc w:val="left"/>
        <w:rPr>
          <w:rFonts w:ascii="Times New Roman" w:hAnsi="Times New Roman" w:eastAsia="宋体" w:cs="Times New Roman"/>
          <w:color w:val="000000"/>
          <w:sz w:val="24"/>
        </w:rPr>
      </w:pPr>
      <w:r>
        <w:rPr>
          <w:rFonts w:ascii="Times New Roman" w:hAnsi="Times New Roman" w:eastAsia="宋体" w:cs="Times New Roman"/>
          <w:color w:val="000000"/>
          <w:sz w:val="24"/>
        </w:rPr>
        <w:t>安康市人民政府《关于进一步加强汉江水质保护工作的意见》（安政发</w:t>
      </w:r>
      <w:r>
        <w:rPr>
          <w:rFonts w:hint="eastAsia" w:ascii="Times New Roman" w:eastAsia="宋体" w:cs="Times New Roman"/>
          <w:color w:val="000000"/>
          <w:sz w:val="24"/>
        </w:rPr>
        <w:t>[2013]32</w:t>
      </w:r>
      <w:r>
        <w:rPr>
          <w:rFonts w:ascii="Times New Roman" w:hAnsi="Times New Roman" w:eastAsia="宋体" w:cs="Times New Roman"/>
          <w:color w:val="000000"/>
          <w:sz w:val="24"/>
        </w:rPr>
        <w:t>号）</w:t>
      </w:r>
      <w:r>
        <w:rPr>
          <w:rFonts w:hint="eastAsia" w:ascii="Times New Roman" w:hAnsi="Times New Roman" w:eastAsia="宋体" w:cs="Times New Roman"/>
          <w:color w:val="000000"/>
          <w:sz w:val="24"/>
        </w:rPr>
        <w:t>；</w:t>
      </w:r>
    </w:p>
    <w:p>
      <w:pPr>
        <w:numPr>
          <w:ilvl w:val="0"/>
          <w:numId w:val="3"/>
        </w:numPr>
        <w:spacing w:line="360" w:lineRule="auto"/>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rPr>
        <w:t>《汉滨区</w:t>
      </w:r>
      <w:r>
        <w:rPr>
          <w:rFonts w:ascii="Times New Roman" w:hAnsi="Times New Roman" w:eastAsia="宋体" w:cs="Times New Roman"/>
          <w:color w:val="000000"/>
          <w:sz w:val="24"/>
        </w:rPr>
        <w:t>蓝天</w:t>
      </w:r>
      <w:r>
        <w:rPr>
          <w:rFonts w:hint="eastAsia" w:ascii="Times New Roman" w:hAnsi="Times New Roman" w:eastAsia="宋体" w:cs="Times New Roman"/>
          <w:color w:val="000000"/>
          <w:sz w:val="24"/>
        </w:rPr>
        <w:t>碧水</w:t>
      </w:r>
      <w:r>
        <w:rPr>
          <w:rFonts w:ascii="Times New Roman" w:hAnsi="Times New Roman" w:eastAsia="宋体" w:cs="Times New Roman"/>
          <w:color w:val="000000"/>
          <w:sz w:val="24"/>
        </w:rPr>
        <w:t>净土保卫战</w:t>
      </w:r>
      <w:r>
        <w:rPr>
          <w:rFonts w:hint="eastAsia" w:ascii="Times New Roman" w:hAnsi="Times New Roman" w:eastAsia="宋体" w:cs="Times New Roman"/>
          <w:color w:val="000000"/>
          <w:sz w:val="24"/>
        </w:rPr>
        <w:t>2022年</w:t>
      </w:r>
      <w:r>
        <w:rPr>
          <w:rFonts w:ascii="Times New Roman" w:hAnsi="Times New Roman" w:eastAsia="宋体" w:cs="Times New Roman"/>
          <w:color w:val="000000"/>
          <w:sz w:val="24"/>
        </w:rPr>
        <w:t>工作实施方案</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汉政</w:t>
      </w:r>
      <w:r>
        <w:rPr>
          <w:rFonts w:hint="eastAsia" w:ascii="Times New Roman" w:hAnsi="Times New Roman" w:eastAsia="宋体" w:cs="Times New Roman"/>
          <w:color w:val="000000"/>
          <w:sz w:val="24"/>
        </w:rPr>
        <w:t>办</w:t>
      </w:r>
      <w:r>
        <w:rPr>
          <w:rFonts w:ascii="Times New Roman" w:hAnsi="Times New Roman" w:eastAsia="宋体" w:cs="Times New Roman"/>
          <w:color w:val="000000"/>
          <w:sz w:val="24"/>
        </w:rPr>
        <w:t>发</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2022</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70</w:t>
      </w:r>
      <w:r>
        <w:rPr>
          <w:rFonts w:hint="eastAsia" w:ascii="Times New Roman" w:hAnsi="Times New Roman" w:eastAsia="宋体" w:cs="Times New Roman"/>
          <w:color w:val="000000"/>
          <w:sz w:val="24"/>
        </w:rPr>
        <w:t>号</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2022年7月26日</w:t>
      </w:r>
      <w:r>
        <w:rPr>
          <w:rFonts w:ascii="Times New Roman" w:hAnsi="Times New Roman" w:eastAsia="宋体" w:cs="Times New Roman"/>
          <w:color w:val="000000"/>
          <w:sz w:val="24"/>
        </w:rPr>
        <w:t>；</w:t>
      </w:r>
    </w:p>
    <w:p>
      <w:pPr>
        <w:numPr>
          <w:ilvl w:val="0"/>
          <w:numId w:val="3"/>
        </w:numPr>
        <w:spacing w:line="360" w:lineRule="auto"/>
        <w:jc w:val="left"/>
        <w:rPr>
          <w:rFonts w:ascii="Times New Roman" w:hAnsi="Times New Roman" w:eastAsia="宋体" w:cs="Times New Roman"/>
          <w:sz w:val="24"/>
        </w:rPr>
      </w:pPr>
      <w:r>
        <w:rPr>
          <w:rFonts w:hint="eastAsia" w:ascii="Times New Roman" w:hAnsi="Times New Roman" w:eastAsia="宋体" w:cs="Times New Roman"/>
          <w:sz w:val="24"/>
        </w:rPr>
        <w:t>《恒口示范区（试验区）国民经济和社会发展第十四个五年规划纲要》；</w:t>
      </w:r>
    </w:p>
    <w:p>
      <w:pPr>
        <w:numPr>
          <w:ilvl w:val="0"/>
          <w:numId w:val="3"/>
        </w:numPr>
        <w:spacing w:line="360" w:lineRule="auto"/>
        <w:jc w:val="left"/>
        <w:rPr>
          <w:rFonts w:ascii="Times New Roman" w:hAnsi="Times New Roman" w:eastAsia="宋体" w:cs="Times New Roman"/>
          <w:sz w:val="24"/>
        </w:rPr>
      </w:pPr>
      <w:r>
        <w:rPr>
          <w:rFonts w:hint="eastAsia" w:ascii="Times New Roman" w:hAnsi="Times New Roman" w:eastAsia="宋体" w:cs="Times New Roman"/>
          <w:bCs/>
          <w:sz w:val="24"/>
        </w:rPr>
        <w:t>《恒口</w:t>
      </w:r>
      <w:r>
        <w:rPr>
          <w:rFonts w:ascii="Times New Roman" w:hAnsi="Times New Roman" w:eastAsia="宋体" w:cs="Times New Roman"/>
          <w:bCs/>
          <w:sz w:val="24"/>
        </w:rPr>
        <w:t>示范区（</w:t>
      </w:r>
      <w:r>
        <w:rPr>
          <w:rFonts w:hint="eastAsia" w:ascii="Times New Roman" w:hAnsi="Times New Roman" w:eastAsia="宋体" w:cs="Times New Roman"/>
          <w:bCs/>
          <w:sz w:val="24"/>
        </w:rPr>
        <w:t>试验区</w:t>
      </w:r>
      <w:r>
        <w:rPr>
          <w:rFonts w:ascii="Times New Roman" w:hAnsi="Times New Roman" w:eastAsia="宋体" w:cs="Times New Roman"/>
          <w:bCs/>
          <w:sz w:val="24"/>
        </w:rPr>
        <w:t>）</w:t>
      </w:r>
      <w:r>
        <w:rPr>
          <w:rFonts w:hint="eastAsia" w:ascii="Times New Roman" w:hAnsi="Times New Roman" w:eastAsia="宋体" w:cs="Times New Roman"/>
          <w:bCs/>
          <w:sz w:val="24"/>
        </w:rPr>
        <w:t>“十四五”卫生</w:t>
      </w:r>
      <w:r>
        <w:rPr>
          <w:rFonts w:ascii="Times New Roman" w:hAnsi="Times New Roman" w:eastAsia="宋体" w:cs="Times New Roman"/>
          <w:bCs/>
          <w:sz w:val="24"/>
        </w:rPr>
        <w:t>健康事业发展规划</w:t>
      </w:r>
      <w:r>
        <w:rPr>
          <w:rFonts w:hint="eastAsia" w:ascii="Times New Roman" w:hAnsi="Times New Roman" w:eastAsia="宋体" w:cs="Times New Roman"/>
          <w:bCs/>
          <w:sz w:val="24"/>
        </w:rPr>
        <w:t>》。</w:t>
      </w:r>
    </w:p>
    <w:p>
      <w:pPr>
        <w:pStyle w:val="4"/>
      </w:pPr>
      <w:r>
        <w:rPr>
          <w:rFonts w:hint="eastAsia"/>
        </w:rPr>
        <w:t>技术</w:t>
      </w:r>
      <w:r>
        <w:t>依据</w:t>
      </w:r>
    </w:p>
    <w:p>
      <w:pPr>
        <w:pStyle w:val="40"/>
        <w:numPr>
          <w:ilvl w:val="0"/>
          <w:numId w:val="4"/>
        </w:numPr>
        <w:ind w:firstLineChars="0"/>
      </w:pPr>
      <w:r>
        <w:t>《建设项目环境影响评价技术导则 总纲》（HJ2.1-2016）；</w:t>
      </w:r>
    </w:p>
    <w:p>
      <w:pPr>
        <w:pStyle w:val="40"/>
        <w:numPr>
          <w:ilvl w:val="0"/>
          <w:numId w:val="4"/>
        </w:numPr>
        <w:ind w:firstLineChars="0"/>
      </w:pPr>
      <w:r>
        <w:t>《环境影响评价技术导则 大气环境》（HJ2.2-2018）；</w:t>
      </w:r>
    </w:p>
    <w:p>
      <w:pPr>
        <w:pStyle w:val="40"/>
        <w:numPr>
          <w:ilvl w:val="0"/>
          <w:numId w:val="4"/>
        </w:numPr>
        <w:ind w:firstLineChars="0"/>
      </w:pPr>
      <w:r>
        <w:t>《环境影响评价技术导则 地表水环境》（HJ2.3-2018）；</w:t>
      </w:r>
    </w:p>
    <w:p>
      <w:pPr>
        <w:pStyle w:val="40"/>
        <w:numPr>
          <w:ilvl w:val="0"/>
          <w:numId w:val="4"/>
        </w:numPr>
        <w:ind w:firstLineChars="0"/>
      </w:pPr>
      <w:r>
        <w:rPr>
          <w:rFonts w:hint="eastAsia"/>
        </w:rPr>
        <w:t>《环境</w:t>
      </w:r>
      <w:r>
        <w:t>影响评价技术导则</w:t>
      </w:r>
      <w:r>
        <w:rPr>
          <w:rFonts w:hint="eastAsia"/>
        </w:rPr>
        <w:t xml:space="preserve">  土壤</w:t>
      </w:r>
      <w:r>
        <w:t>环境（</w:t>
      </w:r>
      <w:r>
        <w:rPr>
          <w:rFonts w:hint="eastAsia"/>
        </w:rPr>
        <w:t>试行</w:t>
      </w:r>
      <w:r>
        <w:t>）</w:t>
      </w:r>
      <w:r>
        <w:rPr>
          <w:rFonts w:hint="eastAsia"/>
        </w:rPr>
        <w:t>》（HJ</w:t>
      </w:r>
      <w:r>
        <w:t>964-2018</w:t>
      </w:r>
      <w:r>
        <w:rPr>
          <w:rFonts w:hint="eastAsia"/>
        </w:rPr>
        <w:t>）；</w:t>
      </w:r>
    </w:p>
    <w:p>
      <w:pPr>
        <w:pStyle w:val="40"/>
        <w:numPr>
          <w:ilvl w:val="0"/>
          <w:numId w:val="4"/>
        </w:numPr>
        <w:ind w:firstLineChars="0"/>
      </w:pPr>
      <w:r>
        <w:t>《环境影响评价技术导则 地下水环境》（HJ 610-2016）；</w:t>
      </w:r>
    </w:p>
    <w:p>
      <w:pPr>
        <w:pStyle w:val="40"/>
        <w:numPr>
          <w:ilvl w:val="0"/>
          <w:numId w:val="4"/>
        </w:numPr>
        <w:ind w:firstLineChars="0"/>
      </w:pPr>
      <w:r>
        <w:t>《环境影响评价技术导则 声环境》（HJ2.4-2021）；</w:t>
      </w:r>
    </w:p>
    <w:p>
      <w:pPr>
        <w:pStyle w:val="40"/>
        <w:numPr>
          <w:ilvl w:val="0"/>
          <w:numId w:val="4"/>
        </w:numPr>
        <w:ind w:firstLineChars="0"/>
      </w:pPr>
      <w:r>
        <w:t>《环境影响评价技术导则 生态环境》（HJ19-2022）；</w:t>
      </w:r>
    </w:p>
    <w:p>
      <w:pPr>
        <w:pStyle w:val="40"/>
        <w:numPr>
          <w:ilvl w:val="0"/>
          <w:numId w:val="4"/>
        </w:numPr>
        <w:ind w:firstLineChars="0"/>
      </w:pPr>
      <w:r>
        <w:t>《建设项目环境风险评价技术导则》（HJ 169-2018）；</w:t>
      </w:r>
    </w:p>
    <w:p>
      <w:pPr>
        <w:pStyle w:val="40"/>
        <w:numPr>
          <w:ilvl w:val="0"/>
          <w:numId w:val="4"/>
        </w:numPr>
        <w:ind w:firstLineChars="0"/>
      </w:pPr>
      <w:r>
        <w:t>《环境空气质量功能区划分原则与技术方法》（HJ14-1996）；</w:t>
      </w:r>
    </w:p>
    <w:p>
      <w:pPr>
        <w:pStyle w:val="40"/>
        <w:numPr>
          <w:ilvl w:val="0"/>
          <w:numId w:val="4"/>
        </w:numPr>
        <w:ind w:firstLineChars="0"/>
      </w:pPr>
      <w:r>
        <w:rPr>
          <w:bCs/>
        </w:rPr>
        <w:t>《声环境功能区划分技术规范》（GB/T 15190-2014）；</w:t>
      </w:r>
    </w:p>
    <w:p>
      <w:pPr>
        <w:pStyle w:val="40"/>
        <w:numPr>
          <w:ilvl w:val="0"/>
          <w:numId w:val="4"/>
        </w:numPr>
        <w:ind w:firstLineChars="0"/>
      </w:pPr>
      <w:r>
        <w:rPr>
          <w:kern w:val="0"/>
          <w:szCs w:val="24"/>
        </w:rPr>
        <w:t>《排污单位自行监测技术指南总则》（HJ 819-2017）</w:t>
      </w:r>
      <w:r>
        <w:rPr>
          <w:rFonts w:hint="eastAsia"/>
          <w:kern w:val="0"/>
          <w:szCs w:val="24"/>
        </w:rPr>
        <w:t>；</w:t>
      </w:r>
    </w:p>
    <w:p>
      <w:pPr>
        <w:pStyle w:val="40"/>
        <w:numPr>
          <w:ilvl w:val="0"/>
          <w:numId w:val="4"/>
        </w:numPr>
        <w:ind w:firstLineChars="0"/>
      </w:pPr>
      <w:r>
        <w:rPr>
          <w:rFonts w:hint="eastAsia"/>
        </w:rPr>
        <w:t>《排污许可证</w:t>
      </w:r>
      <w:r>
        <w:t>申请与核发</w:t>
      </w:r>
      <w:r>
        <w:rPr>
          <w:rFonts w:hint="eastAsia"/>
        </w:rPr>
        <w:t>技术</w:t>
      </w:r>
      <w:r>
        <w:t>规范</w:t>
      </w:r>
      <w:r>
        <w:rPr>
          <w:rFonts w:hint="eastAsia"/>
        </w:rPr>
        <w:t xml:space="preserve"> 医疗机构》（HJ</w:t>
      </w:r>
      <w:r>
        <w:t>1105-2020</w:t>
      </w:r>
      <w:r>
        <w:rPr>
          <w:rFonts w:hint="eastAsia"/>
        </w:rPr>
        <w:t>）；</w:t>
      </w:r>
    </w:p>
    <w:p>
      <w:pPr>
        <w:pStyle w:val="40"/>
        <w:numPr>
          <w:ilvl w:val="0"/>
          <w:numId w:val="4"/>
        </w:numPr>
        <w:ind w:firstLineChars="0"/>
      </w:pPr>
      <w:r>
        <w:rPr>
          <w:rFonts w:hint="eastAsia"/>
        </w:rPr>
        <w:t>《污染源</w:t>
      </w:r>
      <w:r>
        <w:t>源强核算技术指南</w:t>
      </w:r>
      <w:r>
        <w:rPr>
          <w:rFonts w:hint="eastAsia"/>
        </w:rPr>
        <w:t xml:space="preserve"> 准则》（HJ</w:t>
      </w:r>
      <w:r>
        <w:t>884-2018</w:t>
      </w:r>
      <w:r>
        <w:rPr>
          <w:rFonts w:hint="eastAsia"/>
        </w:rPr>
        <w:t>）</w:t>
      </w:r>
      <w:r>
        <w:t>。</w:t>
      </w:r>
    </w:p>
    <w:p>
      <w:pPr>
        <w:pStyle w:val="4"/>
      </w:pPr>
      <w:r>
        <w:rPr>
          <w:rFonts w:hint="eastAsia"/>
        </w:rPr>
        <w:t>项目</w:t>
      </w:r>
      <w:r>
        <w:t>相关文件、资料</w:t>
      </w:r>
    </w:p>
    <w:p>
      <w:pPr>
        <w:pStyle w:val="40"/>
        <w:numPr>
          <w:ilvl w:val="0"/>
          <w:numId w:val="5"/>
        </w:numPr>
        <w:ind w:firstLineChars="0"/>
      </w:pPr>
      <w:r>
        <w:rPr>
          <w:rFonts w:hint="eastAsia"/>
        </w:rPr>
        <w:t>《恒口镇人民政府（恒口示范区卫生健康局）恒口示范区（试验区）综合性三级</w:t>
      </w:r>
      <w:r>
        <w:t>中医医院</w:t>
      </w:r>
      <w:r>
        <w:rPr>
          <w:rFonts w:hint="eastAsia"/>
        </w:rPr>
        <w:t>项目</w:t>
      </w:r>
      <w:r>
        <w:t>环评委托书</w:t>
      </w:r>
      <w:r>
        <w:rPr>
          <w:rFonts w:hint="eastAsia"/>
        </w:rPr>
        <w:t>》，202</w:t>
      </w:r>
      <w:r>
        <w:t>2</w:t>
      </w:r>
      <w:r>
        <w:rPr>
          <w:rFonts w:hint="eastAsia"/>
        </w:rPr>
        <w:t>.</w:t>
      </w:r>
      <w:r>
        <w:t>3</w:t>
      </w:r>
      <w:r>
        <w:rPr>
          <w:rFonts w:hint="eastAsia"/>
        </w:rPr>
        <w:t>.</w:t>
      </w:r>
      <w:r>
        <w:t>16；</w:t>
      </w:r>
    </w:p>
    <w:p>
      <w:pPr>
        <w:pStyle w:val="40"/>
        <w:numPr>
          <w:ilvl w:val="0"/>
          <w:numId w:val="5"/>
        </w:numPr>
        <w:ind w:firstLineChars="0"/>
      </w:pPr>
      <w:r>
        <w:rPr>
          <w:rFonts w:hint="eastAsia"/>
        </w:rPr>
        <w:t>安康市恒口示范区（试验区）经济发展与招商局《关于恒口示范区（试验区）综合性三级中医医院项目项目建议书的</w:t>
      </w:r>
      <w:r>
        <w:t>批复</w:t>
      </w:r>
      <w:r>
        <w:rPr>
          <w:rFonts w:hint="eastAsia"/>
        </w:rPr>
        <w:t>》（安恒</w:t>
      </w:r>
      <w:r>
        <w:t>经发</w:t>
      </w:r>
      <w:r>
        <w:rPr>
          <w:rFonts w:hint="eastAsia"/>
        </w:rPr>
        <w:t>[20</w:t>
      </w:r>
      <w:r>
        <w:t>21</w:t>
      </w:r>
      <w:r>
        <w:rPr>
          <w:rFonts w:hint="eastAsia"/>
        </w:rPr>
        <w:t>]</w:t>
      </w:r>
      <w:r>
        <w:t>160</w:t>
      </w:r>
      <w:r>
        <w:rPr>
          <w:rFonts w:hint="eastAsia"/>
        </w:rPr>
        <w:t>号）（项目编号2110-610962-04-01-863241）</w:t>
      </w:r>
      <w:r>
        <w:t>；</w:t>
      </w:r>
    </w:p>
    <w:p>
      <w:pPr>
        <w:pStyle w:val="40"/>
        <w:numPr>
          <w:ilvl w:val="0"/>
          <w:numId w:val="5"/>
        </w:numPr>
        <w:ind w:firstLineChars="0"/>
      </w:pPr>
      <w:r>
        <w:rPr>
          <w:rFonts w:hint="eastAsia"/>
        </w:rPr>
        <w:t>安康市恒口示范区经济发展与招商局《关于恒口示范区（试验区）综合性三级中医医院项目项目建议书的</w:t>
      </w:r>
      <w:r>
        <w:t>批复</w:t>
      </w:r>
      <w:r>
        <w:rPr>
          <w:rFonts w:hint="eastAsia"/>
        </w:rPr>
        <w:t>》（安恒</w:t>
      </w:r>
      <w:r>
        <w:t>经发</w:t>
      </w:r>
      <w:r>
        <w:rPr>
          <w:rFonts w:hint="eastAsia"/>
        </w:rPr>
        <w:t>[20</w:t>
      </w:r>
      <w:r>
        <w:t>22</w:t>
      </w:r>
      <w:r>
        <w:rPr>
          <w:rFonts w:hint="eastAsia"/>
        </w:rPr>
        <w:t>]</w:t>
      </w:r>
      <w:r>
        <w:t>8</w:t>
      </w:r>
      <w:r>
        <w:rPr>
          <w:rFonts w:hint="eastAsia"/>
        </w:rPr>
        <w:t>号）（项目编号2110-610962-04-01-863241）</w:t>
      </w:r>
      <w:r>
        <w:t>；</w:t>
      </w:r>
    </w:p>
    <w:p>
      <w:pPr>
        <w:pStyle w:val="40"/>
        <w:numPr>
          <w:ilvl w:val="0"/>
          <w:numId w:val="5"/>
        </w:numPr>
        <w:ind w:firstLineChars="0"/>
      </w:pPr>
      <w:r>
        <w:rPr>
          <w:rFonts w:hint="eastAsia"/>
        </w:rPr>
        <w:t>《恒口示范区（试验区）综合性三级中医医院建设项目可行性</w:t>
      </w:r>
      <w:r>
        <w:t>研究报告</w:t>
      </w:r>
      <w:r>
        <w:rPr>
          <w:rFonts w:hint="eastAsia"/>
        </w:rPr>
        <w:t>》华诚博远</w:t>
      </w:r>
      <w:r>
        <w:t>工程咨询有限公司；</w:t>
      </w:r>
    </w:p>
    <w:p>
      <w:pPr>
        <w:pStyle w:val="40"/>
        <w:numPr>
          <w:ilvl w:val="0"/>
          <w:numId w:val="5"/>
        </w:numPr>
        <w:ind w:firstLineChars="0"/>
      </w:pPr>
      <w:r>
        <w:rPr>
          <w:rFonts w:hint="eastAsia"/>
        </w:rPr>
        <w:t>《恒口镇人民</w:t>
      </w:r>
      <w:r>
        <w:t>政府</w:t>
      </w:r>
      <w:r>
        <w:rPr>
          <w:rFonts w:hint="eastAsia"/>
        </w:rPr>
        <w:t>（恒口示范区卫生健康局）恒口</w:t>
      </w:r>
      <w:r>
        <w:t>示范区</w:t>
      </w:r>
      <w:r>
        <w:rPr>
          <w:rFonts w:hint="eastAsia"/>
        </w:rPr>
        <w:t>综合性三级中医医院建设项目环境</w:t>
      </w:r>
      <w:r>
        <w:t>质量现状监测》</w:t>
      </w:r>
      <w:r>
        <w:rPr>
          <w:rFonts w:hint="eastAsia"/>
        </w:rPr>
        <w:t>，</w:t>
      </w:r>
      <w:r>
        <w:t>陕西</w:t>
      </w:r>
      <w:r>
        <w:rPr>
          <w:rFonts w:hint="eastAsia"/>
        </w:rPr>
        <w:t>华准通</w:t>
      </w:r>
      <w:r>
        <w:t>检测技术有限公司</w:t>
      </w:r>
      <w:r>
        <w:rPr>
          <w:rFonts w:hint="eastAsia"/>
        </w:rPr>
        <w:t>（H</w:t>
      </w:r>
      <w:r>
        <w:t>ZT20121001-ZH</w:t>
      </w:r>
      <w:r>
        <w:rPr>
          <w:rFonts w:hint="eastAsia"/>
        </w:rPr>
        <w:t>）</w:t>
      </w:r>
      <w:r>
        <w:t>；</w:t>
      </w:r>
    </w:p>
    <w:p>
      <w:pPr>
        <w:pStyle w:val="40"/>
        <w:numPr>
          <w:ilvl w:val="0"/>
          <w:numId w:val="5"/>
        </w:numPr>
        <w:ind w:firstLineChars="0"/>
      </w:pPr>
      <w:r>
        <w:t>建设单位提供的其它有关技术资料。</w:t>
      </w:r>
    </w:p>
    <w:p>
      <w:pPr>
        <w:pStyle w:val="3"/>
      </w:pPr>
      <w:bookmarkStart w:id="9" w:name="_Toc113260417"/>
      <w:r>
        <w:rPr>
          <w:rFonts w:hint="eastAsia"/>
        </w:rPr>
        <w:t>评价</w:t>
      </w:r>
      <w:r>
        <w:t>目的和原则</w:t>
      </w:r>
      <w:bookmarkEnd w:id="9"/>
    </w:p>
    <w:p>
      <w:pPr>
        <w:pStyle w:val="4"/>
      </w:pPr>
      <w:r>
        <w:rPr>
          <w:rFonts w:hint="eastAsia"/>
        </w:rPr>
        <w:t>评价</w:t>
      </w:r>
      <w:r>
        <w:t>目的</w:t>
      </w:r>
    </w:p>
    <w:p>
      <w:pPr>
        <w:pStyle w:val="40"/>
        <w:ind w:firstLine="480"/>
      </w:pPr>
      <w:r>
        <w:rPr>
          <w:rFonts w:hint="eastAsia"/>
        </w:rPr>
        <w:t>（1）通过对项目拟建地和周围环境现状的调查，掌握项目区环境特征、功能区划和自然环境概况。</w:t>
      </w:r>
    </w:p>
    <w:p>
      <w:pPr>
        <w:pStyle w:val="40"/>
        <w:ind w:firstLine="480"/>
      </w:pPr>
      <w:r>
        <w:rPr>
          <w:rFonts w:hint="eastAsia"/>
        </w:rPr>
        <w:t>（2）通过工程分析，确定生产工艺中污染物排放特征。</w:t>
      </w:r>
    </w:p>
    <w:p>
      <w:pPr>
        <w:pStyle w:val="40"/>
        <w:ind w:firstLine="480"/>
      </w:pPr>
      <w:r>
        <w:rPr>
          <w:rFonts w:hint="eastAsia"/>
        </w:rPr>
        <w:t>（3）根据环境特征和建设项目污染物排放特征，预测建设项目对区域自然、生态环境的影响程度、范围和环境质量可能发生的变化。</w:t>
      </w:r>
    </w:p>
    <w:p>
      <w:pPr>
        <w:pStyle w:val="40"/>
        <w:ind w:firstLine="480"/>
      </w:pPr>
      <w:r>
        <w:rPr>
          <w:rFonts w:hint="eastAsia"/>
        </w:rPr>
        <w:t>（4）提出消除或减少不利影响的对策；同时根据达标排放、总量控制的要求，论述项目环保措施的合理性、可靠性和经济性。</w:t>
      </w:r>
    </w:p>
    <w:p>
      <w:pPr>
        <w:pStyle w:val="4"/>
      </w:pPr>
      <w:r>
        <w:rPr>
          <w:rFonts w:hint="eastAsia"/>
        </w:rPr>
        <w:t>评价</w:t>
      </w:r>
      <w:r>
        <w:t>原则</w:t>
      </w:r>
    </w:p>
    <w:p>
      <w:pPr>
        <w:pStyle w:val="40"/>
        <w:ind w:firstLine="480"/>
      </w:pPr>
      <w:r>
        <w:rPr>
          <w:rFonts w:hint="eastAsia"/>
        </w:rPr>
        <w:t>突出环境影响评价的源头预防作用，坚持保护和改善环境质量。</w:t>
      </w:r>
    </w:p>
    <w:p>
      <w:pPr>
        <w:pStyle w:val="40"/>
        <w:ind w:firstLine="480"/>
      </w:pPr>
      <w:r>
        <w:rPr>
          <w:rFonts w:hint="eastAsia"/>
        </w:rPr>
        <w:t>（1）依法评价</w:t>
      </w:r>
    </w:p>
    <w:p>
      <w:pPr>
        <w:pStyle w:val="40"/>
        <w:ind w:firstLine="480"/>
      </w:pPr>
      <w:r>
        <w:rPr>
          <w:rFonts w:hint="eastAsia"/>
        </w:rPr>
        <w:t>贯彻执行我国环境保护相关法律法规、标准、政策和规划等，优化项目建设，服务环境管理。</w:t>
      </w:r>
    </w:p>
    <w:p>
      <w:pPr>
        <w:pStyle w:val="40"/>
        <w:ind w:firstLine="480"/>
      </w:pPr>
      <w:r>
        <w:rPr>
          <w:rFonts w:hint="eastAsia"/>
        </w:rPr>
        <w:t>（2）科学评价</w:t>
      </w:r>
    </w:p>
    <w:p>
      <w:pPr>
        <w:pStyle w:val="40"/>
        <w:ind w:firstLine="480"/>
      </w:pPr>
      <w:r>
        <w:rPr>
          <w:rFonts w:hint="eastAsia"/>
        </w:rPr>
        <w:t>规范环境影响评价方法，科学分析项目建设对环境质量的影响。</w:t>
      </w:r>
    </w:p>
    <w:p>
      <w:pPr>
        <w:pStyle w:val="40"/>
        <w:ind w:firstLine="480"/>
      </w:pPr>
      <w:r>
        <w:rPr>
          <w:rFonts w:hint="eastAsia"/>
        </w:rPr>
        <w:t>（3）突出重点</w:t>
      </w:r>
    </w:p>
    <w:p>
      <w:pPr>
        <w:pStyle w:val="40"/>
        <w:ind w:firstLine="480"/>
      </w:pPr>
      <w:r>
        <w:rPr>
          <w:rFonts w:hint="eastAsia"/>
        </w:rPr>
        <w:t>根据建设项目的工程内容及其特点，明确与环境要素间的作用效应关系，对建设项目主要环境影响予以重点分析和评价。</w:t>
      </w:r>
    </w:p>
    <w:p>
      <w:pPr>
        <w:pStyle w:val="3"/>
      </w:pPr>
      <w:bookmarkStart w:id="10" w:name="_Toc113260418"/>
      <w:r>
        <w:rPr>
          <w:rFonts w:hint="eastAsia"/>
        </w:rPr>
        <w:t>环境</w:t>
      </w:r>
      <w:r>
        <w:t>影响识别与评价因子筛选</w:t>
      </w:r>
      <w:bookmarkEnd w:id="10"/>
    </w:p>
    <w:p>
      <w:pPr>
        <w:pStyle w:val="4"/>
      </w:pPr>
      <w:r>
        <w:rPr>
          <w:rFonts w:hint="eastAsia"/>
        </w:rPr>
        <w:t>环境</w:t>
      </w:r>
      <w:r>
        <w:t>影响识别</w:t>
      </w:r>
    </w:p>
    <w:p>
      <w:pPr>
        <w:pStyle w:val="40"/>
        <w:ind w:firstLine="480"/>
      </w:pPr>
      <w:r>
        <w:rPr>
          <w:rFonts w:hint="eastAsia"/>
        </w:rPr>
        <w:t>根据项目特点和区域环境特征，进行环境影响因子识别，以确定项目对自然环境及生态环境等的影响情况，项目建设对周围环境影响因素与影响程度主要从运营期对当地自然环境和生态环境进行识别分析，项目运营期产生的废气、废水、固废、设备噪声会对周围环境产生一定的影响。根据现场调查，项目环境影响因素识别内容见表2.3</w:t>
      </w:r>
      <w:r>
        <w:t>-</w:t>
      </w:r>
      <w:r>
        <w:rPr>
          <w:rFonts w:hint="eastAsia"/>
        </w:rPr>
        <w:t>1。</w:t>
      </w:r>
    </w:p>
    <w:p>
      <w:pPr>
        <w:pStyle w:val="22"/>
      </w:pPr>
      <w:bookmarkStart w:id="11" w:name="_Ref27042096"/>
    </w:p>
    <w:p>
      <w:pPr>
        <w:pStyle w:val="22"/>
        <w:rPr>
          <w:szCs w:val="21"/>
        </w:rPr>
      </w:pPr>
      <w:r>
        <w:t>表</w:t>
      </w:r>
      <w:r>
        <w:fldChar w:fldCharType="begin"/>
      </w:r>
      <w:r>
        <w:instrText xml:space="preserve"> STYLEREF 2 \s </w:instrText>
      </w:r>
      <w:r>
        <w:fldChar w:fldCharType="separate"/>
      </w:r>
      <w:r>
        <w:t>2.3</w:t>
      </w:r>
      <w:r>
        <w:fldChar w:fldCharType="end"/>
      </w:r>
      <w:r>
        <w:noBreakHyphen/>
      </w:r>
      <w:r>
        <w:fldChar w:fldCharType="begin"/>
      </w:r>
      <w:r>
        <w:instrText xml:space="preserve"> SEQ 表 \* ARABIC \s 2 </w:instrText>
      </w:r>
      <w:r>
        <w:fldChar w:fldCharType="separate"/>
      </w:r>
      <w:r>
        <w:t>1</w:t>
      </w:r>
      <w:r>
        <w:fldChar w:fldCharType="end"/>
      </w:r>
      <w:bookmarkEnd w:id="11"/>
      <w:r>
        <w:t xml:space="preserve">  </w:t>
      </w:r>
      <w:r>
        <w:rPr>
          <w:szCs w:val="21"/>
        </w:rPr>
        <w:t>环境影响因素识别表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5"/>
        <w:gridCol w:w="1833"/>
        <w:gridCol w:w="706"/>
        <w:gridCol w:w="944"/>
        <w:gridCol w:w="917"/>
        <w:gridCol w:w="915"/>
        <w:gridCol w:w="763"/>
        <w:gridCol w:w="763"/>
        <w:gridCol w:w="763"/>
        <w:gridCol w:w="7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38" w:type="dxa"/>
            <w:gridSpan w:val="2"/>
            <w:tcBorders>
              <w:top w:val="single" w:color="auto" w:sz="12" w:space="0"/>
              <w:left w:val="single" w:color="auto" w:sz="12" w:space="0"/>
              <w:bottom w:val="single" w:color="auto" w:sz="6" w:space="0"/>
              <w:tl2br w:val="single" w:color="auto" w:sz="6" w:space="0"/>
            </w:tcBorders>
            <w:vAlign w:val="center"/>
          </w:tcPr>
          <w:p>
            <w:pPr>
              <w:pStyle w:val="47"/>
            </w:pPr>
            <w:r>
              <w:t>环境要素</w:t>
            </w:r>
          </w:p>
          <w:p>
            <w:pPr>
              <w:pStyle w:val="47"/>
            </w:pPr>
            <w:r>
              <w:t>污染源</w:t>
            </w:r>
          </w:p>
        </w:tc>
        <w:tc>
          <w:tcPr>
            <w:tcW w:w="706" w:type="dxa"/>
            <w:tcBorders>
              <w:top w:val="single" w:color="auto" w:sz="12" w:space="0"/>
              <w:bottom w:val="single" w:color="auto" w:sz="6" w:space="0"/>
            </w:tcBorders>
            <w:vAlign w:val="center"/>
          </w:tcPr>
          <w:p>
            <w:pPr>
              <w:pStyle w:val="47"/>
            </w:pPr>
            <w:r>
              <w:t>大气</w:t>
            </w:r>
          </w:p>
          <w:p>
            <w:pPr>
              <w:pStyle w:val="47"/>
            </w:pPr>
            <w:r>
              <w:t>环境</w:t>
            </w:r>
          </w:p>
        </w:tc>
        <w:tc>
          <w:tcPr>
            <w:tcW w:w="944" w:type="dxa"/>
            <w:tcBorders>
              <w:top w:val="single" w:color="auto" w:sz="12" w:space="0"/>
              <w:bottom w:val="single" w:color="auto" w:sz="6" w:space="0"/>
            </w:tcBorders>
            <w:vAlign w:val="center"/>
          </w:tcPr>
          <w:p>
            <w:pPr>
              <w:pStyle w:val="47"/>
            </w:pPr>
            <w:r>
              <w:t>地表水</w:t>
            </w:r>
          </w:p>
          <w:p>
            <w:pPr>
              <w:pStyle w:val="47"/>
            </w:pPr>
            <w:r>
              <w:t>环境</w:t>
            </w:r>
          </w:p>
        </w:tc>
        <w:tc>
          <w:tcPr>
            <w:tcW w:w="917" w:type="dxa"/>
            <w:tcBorders>
              <w:top w:val="single" w:color="auto" w:sz="12" w:space="0"/>
              <w:bottom w:val="single" w:color="auto" w:sz="6" w:space="0"/>
            </w:tcBorders>
            <w:vAlign w:val="center"/>
          </w:tcPr>
          <w:p>
            <w:pPr>
              <w:pStyle w:val="47"/>
            </w:pPr>
            <w:r>
              <w:t>地下水环境</w:t>
            </w:r>
          </w:p>
        </w:tc>
        <w:tc>
          <w:tcPr>
            <w:tcW w:w="915" w:type="dxa"/>
            <w:tcBorders>
              <w:top w:val="single" w:color="auto" w:sz="12" w:space="0"/>
              <w:bottom w:val="single" w:color="auto" w:sz="6" w:space="0"/>
            </w:tcBorders>
            <w:vAlign w:val="center"/>
          </w:tcPr>
          <w:p>
            <w:pPr>
              <w:pStyle w:val="47"/>
            </w:pPr>
            <w:r>
              <w:t>声环境</w:t>
            </w:r>
          </w:p>
        </w:tc>
        <w:tc>
          <w:tcPr>
            <w:tcW w:w="763" w:type="dxa"/>
            <w:tcBorders>
              <w:top w:val="single" w:color="auto" w:sz="12" w:space="0"/>
              <w:bottom w:val="single" w:color="auto" w:sz="6" w:space="0"/>
            </w:tcBorders>
            <w:vAlign w:val="center"/>
          </w:tcPr>
          <w:p>
            <w:pPr>
              <w:pStyle w:val="47"/>
            </w:pPr>
            <w:r>
              <w:t>固废</w:t>
            </w:r>
          </w:p>
        </w:tc>
        <w:tc>
          <w:tcPr>
            <w:tcW w:w="763" w:type="dxa"/>
            <w:tcBorders>
              <w:top w:val="single" w:color="auto" w:sz="12" w:space="0"/>
              <w:bottom w:val="single" w:color="auto" w:sz="6" w:space="0"/>
            </w:tcBorders>
            <w:vAlign w:val="center"/>
          </w:tcPr>
          <w:p>
            <w:pPr>
              <w:pStyle w:val="47"/>
            </w:pPr>
            <w:r>
              <w:t>生态</w:t>
            </w:r>
          </w:p>
          <w:p>
            <w:pPr>
              <w:pStyle w:val="47"/>
            </w:pPr>
            <w:r>
              <w:t>环境</w:t>
            </w:r>
          </w:p>
        </w:tc>
        <w:tc>
          <w:tcPr>
            <w:tcW w:w="763" w:type="dxa"/>
            <w:tcBorders>
              <w:top w:val="single" w:color="auto" w:sz="12" w:space="0"/>
              <w:bottom w:val="single" w:color="auto" w:sz="6" w:space="0"/>
            </w:tcBorders>
            <w:vAlign w:val="center"/>
          </w:tcPr>
          <w:p>
            <w:pPr>
              <w:pStyle w:val="47"/>
            </w:pPr>
            <w:r>
              <w:t>土壤环境</w:t>
            </w:r>
          </w:p>
        </w:tc>
        <w:tc>
          <w:tcPr>
            <w:tcW w:w="761" w:type="dxa"/>
            <w:tcBorders>
              <w:top w:val="single" w:color="auto" w:sz="12" w:space="0"/>
              <w:bottom w:val="single" w:color="auto" w:sz="6" w:space="0"/>
              <w:right w:val="single" w:color="auto" w:sz="12" w:space="0"/>
            </w:tcBorders>
            <w:vAlign w:val="center"/>
          </w:tcPr>
          <w:p>
            <w:pPr>
              <w:pStyle w:val="47"/>
            </w:pPr>
            <w:r>
              <w:t>人体健康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restart"/>
            <w:tcBorders>
              <w:top w:val="single" w:color="auto" w:sz="6" w:space="0"/>
              <w:left w:val="single" w:color="auto" w:sz="12" w:space="0"/>
              <w:bottom w:val="single" w:color="auto" w:sz="6" w:space="0"/>
            </w:tcBorders>
            <w:vAlign w:val="center"/>
          </w:tcPr>
          <w:p>
            <w:pPr>
              <w:pStyle w:val="47"/>
            </w:pPr>
            <w:r>
              <w:t>施</w:t>
            </w:r>
          </w:p>
          <w:p>
            <w:pPr>
              <w:pStyle w:val="47"/>
            </w:pPr>
            <w:r>
              <w:t>工</w:t>
            </w:r>
          </w:p>
          <w:p>
            <w:pPr>
              <w:pStyle w:val="47"/>
            </w:pPr>
            <w:r>
              <w:t>期</w:t>
            </w:r>
          </w:p>
        </w:tc>
        <w:tc>
          <w:tcPr>
            <w:tcW w:w="1833" w:type="dxa"/>
            <w:tcBorders>
              <w:top w:val="single" w:color="auto" w:sz="6" w:space="0"/>
              <w:bottom w:val="single" w:color="auto" w:sz="6" w:space="0"/>
            </w:tcBorders>
            <w:vAlign w:val="center"/>
          </w:tcPr>
          <w:p>
            <w:pPr>
              <w:pStyle w:val="47"/>
            </w:pPr>
            <w:r>
              <w:t>材料运输</w:t>
            </w:r>
          </w:p>
        </w:tc>
        <w:tc>
          <w:tcPr>
            <w:tcW w:w="706" w:type="dxa"/>
            <w:tcBorders>
              <w:top w:val="single" w:color="auto" w:sz="6" w:space="0"/>
              <w:bottom w:val="single" w:color="auto" w:sz="6" w:space="0"/>
            </w:tcBorders>
            <w:vAlign w:val="center"/>
          </w:tcPr>
          <w:p>
            <w:pPr>
              <w:pStyle w:val="47"/>
            </w:pPr>
            <w:r>
              <w:t>-1D</w:t>
            </w:r>
          </w:p>
        </w:tc>
        <w:tc>
          <w:tcPr>
            <w:tcW w:w="944" w:type="dxa"/>
            <w:tcBorders>
              <w:top w:val="single" w:color="auto" w:sz="6" w:space="0"/>
              <w:bottom w:val="single" w:color="auto" w:sz="6" w:space="0"/>
            </w:tcBorders>
            <w:vAlign w:val="center"/>
          </w:tcPr>
          <w:p>
            <w:pPr>
              <w:pStyle w:val="47"/>
            </w:pPr>
          </w:p>
        </w:tc>
        <w:tc>
          <w:tcPr>
            <w:tcW w:w="917" w:type="dxa"/>
            <w:tcBorders>
              <w:top w:val="single" w:color="auto" w:sz="6" w:space="0"/>
              <w:bottom w:val="single" w:color="auto" w:sz="6" w:space="0"/>
            </w:tcBorders>
            <w:vAlign w:val="center"/>
          </w:tcPr>
          <w:p>
            <w:pPr>
              <w:pStyle w:val="47"/>
            </w:pPr>
          </w:p>
        </w:tc>
        <w:tc>
          <w:tcPr>
            <w:tcW w:w="915" w:type="dxa"/>
            <w:tcBorders>
              <w:top w:val="single" w:color="auto" w:sz="6" w:space="0"/>
              <w:bottom w:val="single" w:color="auto" w:sz="6" w:space="0"/>
            </w:tcBorders>
            <w:vAlign w:val="center"/>
          </w:tcPr>
          <w:p>
            <w:pPr>
              <w:pStyle w:val="47"/>
            </w:pPr>
            <w:r>
              <w:t>-2D</w:t>
            </w: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r>
              <w:t>-1D</w:t>
            </w:r>
          </w:p>
        </w:tc>
        <w:tc>
          <w:tcPr>
            <w:tcW w:w="763" w:type="dxa"/>
            <w:tcBorders>
              <w:top w:val="single" w:color="auto" w:sz="6" w:space="0"/>
              <w:bottom w:val="single" w:color="auto" w:sz="6" w:space="0"/>
            </w:tcBorders>
            <w:vAlign w:val="center"/>
          </w:tcPr>
          <w:p>
            <w:pPr>
              <w:pStyle w:val="47"/>
            </w:pPr>
          </w:p>
        </w:tc>
        <w:tc>
          <w:tcPr>
            <w:tcW w:w="761" w:type="dxa"/>
            <w:tcBorders>
              <w:top w:val="single" w:color="auto" w:sz="6" w:space="0"/>
              <w:bottom w:val="single" w:color="auto" w:sz="6" w:space="0"/>
              <w:right w:val="single" w:color="auto" w:sz="12" w:space="0"/>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6" w:space="0"/>
            </w:tcBorders>
            <w:vAlign w:val="center"/>
          </w:tcPr>
          <w:p>
            <w:pPr>
              <w:pStyle w:val="47"/>
            </w:pPr>
          </w:p>
        </w:tc>
        <w:tc>
          <w:tcPr>
            <w:tcW w:w="1833" w:type="dxa"/>
            <w:tcBorders>
              <w:top w:val="single" w:color="auto" w:sz="6" w:space="0"/>
              <w:bottom w:val="single" w:color="auto" w:sz="6" w:space="0"/>
            </w:tcBorders>
            <w:vAlign w:val="center"/>
          </w:tcPr>
          <w:p>
            <w:pPr>
              <w:pStyle w:val="47"/>
            </w:pPr>
            <w:r>
              <w:t>材料堆放</w:t>
            </w:r>
          </w:p>
        </w:tc>
        <w:tc>
          <w:tcPr>
            <w:tcW w:w="706" w:type="dxa"/>
            <w:tcBorders>
              <w:top w:val="single" w:color="auto" w:sz="6" w:space="0"/>
              <w:bottom w:val="single" w:color="auto" w:sz="6" w:space="0"/>
            </w:tcBorders>
            <w:vAlign w:val="center"/>
          </w:tcPr>
          <w:p>
            <w:pPr>
              <w:pStyle w:val="47"/>
            </w:pPr>
            <w:r>
              <w:t>-2D</w:t>
            </w:r>
          </w:p>
        </w:tc>
        <w:tc>
          <w:tcPr>
            <w:tcW w:w="944" w:type="dxa"/>
            <w:tcBorders>
              <w:top w:val="single" w:color="auto" w:sz="6" w:space="0"/>
              <w:bottom w:val="single" w:color="auto" w:sz="6" w:space="0"/>
            </w:tcBorders>
            <w:vAlign w:val="center"/>
          </w:tcPr>
          <w:p>
            <w:pPr>
              <w:pStyle w:val="47"/>
            </w:pPr>
          </w:p>
        </w:tc>
        <w:tc>
          <w:tcPr>
            <w:tcW w:w="917" w:type="dxa"/>
            <w:tcBorders>
              <w:top w:val="single" w:color="auto" w:sz="6" w:space="0"/>
              <w:bottom w:val="single" w:color="auto" w:sz="6" w:space="0"/>
            </w:tcBorders>
            <w:vAlign w:val="center"/>
          </w:tcPr>
          <w:p>
            <w:pPr>
              <w:pStyle w:val="47"/>
            </w:pPr>
          </w:p>
        </w:tc>
        <w:tc>
          <w:tcPr>
            <w:tcW w:w="915"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r>
              <w:t>-2D</w:t>
            </w: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1" w:type="dxa"/>
            <w:tcBorders>
              <w:top w:val="single" w:color="auto" w:sz="6" w:space="0"/>
              <w:bottom w:val="single" w:color="auto" w:sz="6" w:space="0"/>
              <w:right w:val="single" w:color="auto" w:sz="12" w:space="0"/>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6" w:space="0"/>
            </w:tcBorders>
            <w:vAlign w:val="center"/>
          </w:tcPr>
          <w:p>
            <w:pPr>
              <w:pStyle w:val="47"/>
            </w:pPr>
          </w:p>
        </w:tc>
        <w:tc>
          <w:tcPr>
            <w:tcW w:w="1833" w:type="dxa"/>
            <w:tcBorders>
              <w:top w:val="single" w:color="auto" w:sz="6" w:space="0"/>
              <w:bottom w:val="single" w:color="auto" w:sz="6" w:space="0"/>
            </w:tcBorders>
            <w:vAlign w:val="center"/>
          </w:tcPr>
          <w:p>
            <w:pPr>
              <w:pStyle w:val="47"/>
            </w:pPr>
            <w:r>
              <w:t>土建工程</w:t>
            </w:r>
          </w:p>
        </w:tc>
        <w:tc>
          <w:tcPr>
            <w:tcW w:w="706" w:type="dxa"/>
            <w:tcBorders>
              <w:top w:val="single" w:color="auto" w:sz="6" w:space="0"/>
              <w:bottom w:val="single" w:color="auto" w:sz="6" w:space="0"/>
            </w:tcBorders>
            <w:vAlign w:val="center"/>
          </w:tcPr>
          <w:p>
            <w:pPr>
              <w:pStyle w:val="47"/>
            </w:pPr>
            <w:r>
              <w:t>-2D</w:t>
            </w:r>
          </w:p>
        </w:tc>
        <w:tc>
          <w:tcPr>
            <w:tcW w:w="944" w:type="dxa"/>
            <w:tcBorders>
              <w:top w:val="single" w:color="auto" w:sz="6" w:space="0"/>
              <w:bottom w:val="single" w:color="auto" w:sz="6" w:space="0"/>
            </w:tcBorders>
            <w:vAlign w:val="center"/>
          </w:tcPr>
          <w:p>
            <w:pPr>
              <w:pStyle w:val="47"/>
            </w:pPr>
          </w:p>
        </w:tc>
        <w:tc>
          <w:tcPr>
            <w:tcW w:w="917" w:type="dxa"/>
            <w:tcBorders>
              <w:top w:val="single" w:color="auto" w:sz="6" w:space="0"/>
              <w:bottom w:val="single" w:color="auto" w:sz="6" w:space="0"/>
            </w:tcBorders>
            <w:vAlign w:val="center"/>
          </w:tcPr>
          <w:p>
            <w:pPr>
              <w:pStyle w:val="47"/>
            </w:pPr>
          </w:p>
        </w:tc>
        <w:tc>
          <w:tcPr>
            <w:tcW w:w="915" w:type="dxa"/>
            <w:tcBorders>
              <w:top w:val="single" w:color="auto" w:sz="6" w:space="0"/>
              <w:bottom w:val="single" w:color="auto" w:sz="6" w:space="0"/>
            </w:tcBorders>
            <w:vAlign w:val="center"/>
          </w:tcPr>
          <w:p>
            <w:pPr>
              <w:pStyle w:val="47"/>
            </w:pPr>
            <w:r>
              <w:t>-2D</w:t>
            </w:r>
          </w:p>
        </w:tc>
        <w:tc>
          <w:tcPr>
            <w:tcW w:w="763" w:type="dxa"/>
            <w:tcBorders>
              <w:top w:val="single" w:color="auto" w:sz="6" w:space="0"/>
              <w:bottom w:val="single" w:color="auto" w:sz="6" w:space="0"/>
            </w:tcBorders>
            <w:vAlign w:val="center"/>
          </w:tcPr>
          <w:p>
            <w:pPr>
              <w:pStyle w:val="47"/>
            </w:pPr>
            <w:r>
              <w:t>-2D</w:t>
            </w: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r>
              <w:t>-1D</w:t>
            </w:r>
          </w:p>
        </w:tc>
        <w:tc>
          <w:tcPr>
            <w:tcW w:w="761" w:type="dxa"/>
            <w:tcBorders>
              <w:top w:val="single" w:color="auto" w:sz="6" w:space="0"/>
              <w:bottom w:val="single" w:color="auto" w:sz="6" w:space="0"/>
              <w:right w:val="single" w:color="auto" w:sz="12" w:space="0"/>
            </w:tcBorders>
            <w:vAlign w:val="center"/>
          </w:tcPr>
          <w:p>
            <w:pPr>
              <w:pStyle w:val="47"/>
            </w:pPr>
            <w:r>
              <w:t>-1D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restart"/>
            <w:tcBorders>
              <w:top w:val="single" w:color="auto" w:sz="6" w:space="0"/>
              <w:left w:val="single" w:color="auto" w:sz="12" w:space="0"/>
              <w:bottom w:val="single" w:color="auto" w:sz="6" w:space="0"/>
            </w:tcBorders>
            <w:vAlign w:val="center"/>
          </w:tcPr>
          <w:p>
            <w:pPr>
              <w:pStyle w:val="47"/>
            </w:pPr>
            <w:r>
              <w:t>运</w:t>
            </w:r>
          </w:p>
          <w:p>
            <w:pPr>
              <w:pStyle w:val="47"/>
            </w:pPr>
            <w:r>
              <w:t>营</w:t>
            </w:r>
          </w:p>
          <w:p>
            <w:pPr>
              <w:pStyle w:val="47"/>
            </w:pPr>
            <w:r>
              <w:t>期</w:t>
            </w:r>
          </w:p>
        </w:tc>
        <w:tc>
          <w:tcPr>
            <w:tcW w:w="1833" w:type="dxa"/>
            <w:tcBorders>
              <w:top w:val="single" w:color="auto" w:sz="6" w:space="0"/>
              <w:bottom w:val="single" w:color="auto" w:sz="6" w:space="0"/>
            </w:tcBorders>
            <w:vAlign w:val="center"/>
          </w:tcPr>
          <w:p>
            <w:pPr>
              <w:pStyle w:val="47"/>
            </w:pPr>
            <w:r>
              <w:rPr>
                <w:rFonts w:hint="eastAsia"/>
              </w:rPr>
              <w:t>污水</w:t>
            </w:r>
            <w:r>
              <w:t>处理站废气</w:t>
            </w:r>
            <w:r>
              <w:rPr>
                <w:rFonts w:hint="eastAsia"/>
              </w:rPr>
              <w:t>排放</w:t>
            </w:r>
          </w:p>
        </w:tc>
        <w:tc>
          <w:tcPr>
            <w:tcW w:w="706" w:type="dxa"/>
            <w:tcBorders>
              <w:top w:val="single" w:color="auto" w:sz="6" w:space="0"/>
              <w:bottom w:val="single" w:color="auto" w:sz="6" w:space="0"/>
            </w:tcBorders>
            <w:vAlign w:val="center"/>
          </w:tcPr>
          <w:p>
            <w:pPr>
              <w:pStyle w:val="47"/>
            </w:pPr>
            <w:r>
              <w:t>-1C</w:t>
            </w:r>
          </w:p>
        </w:tc>
        <w:tc>
          <w:tcPr>
            <w:tcW w:w="944" w:type="dxa"/>
            <w:tcBorders>
              <w:top w:val="single" w:color="auto" w:sz="6" w:space="0"/>
              <w:bottom w:val="single" w:color="auto" w:sz="6" w:space="0"/>
            </w:tcBorders>
            <w:vAlign w:val="center"/>
          </w:tcPr>
          <w:p>
            <w:pPr>
              <w:pStyle w:val="47"/>
            </w:pPr>
          </w:p>
        </w:tc>
        <w:tc>
          <w:tcPr>
            <w:tcW w:w="917" w:type="dxa"/>
            <w:tcBorders>
              <w:top w:val="single" w:color="auto" w:sz="6" w:space="0"/>
              <w:bottom w:val="single" w:color="auto" w:sz="6" w:space="0"/>
            </w:tcBorders>
            <w:vAlign w:val="center"/>
          </w:tcPr>
          <w:p>
            <w:pPr>
              <w:pStyle w:val="47"/>
            </w:pPr>
          </w:p>
        </w:tc>
        <w:tc>
          <w:tcPr>
            <w:tcW w:w="915"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1" w:type="dxa"/>
            <w:tcBorders>
              <w:top w:val="single" w:color="auto" w:sz="6" w:space="0"/>
              <w:bottom w:val="single" w:color="auto" w:sz="6" w:space="0"/>
              <w:right w:val="single" w:color="auto" w:sz="12" w:space="0"/>
            </w:tcBorders>
            <w:vAlign w:val="center"/>
          </w:tcPr>
          <w:p>
            <w:pPr>
              <w:pStyle w:val="47"/>
            </w:pPr>
            <w:r>
              <w:t>-1C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6" w:space="0"/>
            </w:tcBorders>
            <w:vAlign w:val="center"/>
          </w:tcPr>
          <w:p>
            <w:pPr>
              <w:pStyle w:val="47"/>
            </w:pPr>
          </w:p>
        </w:tc>
        <w:tc>
          <w:tcPr>
            <w:tcW w:w="1833" w:type="dxa"/>
            <w:tcBorders>
              <w:top w:val="single" w:color="auto" w:sz="6" w:space="0"/>
              <w:bottom w:val="single" w:color="auto" w:sz="6" w:space="0"/>
            </w:tcBorders>
            <w:vAlign w:val="center"/>
          </w:tcPr>
          <w:p>
            <w:pPr>
              <w:pStyle w:val="47"/>
            </w:pPr>
            <w:r>
              <w:rPr>
                <w:rFonts w:hint="eastAsia"/>
              </w:rPr>
              <w:t>医疗</w:t>
            </w:r>
            <w:r>
              <w:t>废水</w:t>
            </w:r>
          </w:p>
        </w:tc>
        <w:tc>
          <w:tcPr>
            <w:tcW w:w="706" w:type="dxa"/>
            <w:tcBorders>
              <w:top w:val="single" w:color="auto" w:sz="6" w:space="0"/>
              <w:bottom w:val="single" w:color="auto" w:sz="6" w:space="0"/>
            </w:tcBorders>
            <w:vAlign w:val="center"/>
          </w:tcPr>
          <w:p>
            <w:pPr>
              <w:pStyle w:val="47"/>
            </w:pPr>
          </w:p>
        </w:tc>
        <w:tc>
          <w:tcPr>
            <w:tcW w:w="944" w:type="dxa"/>
            <w:tcBorders>
              <w:top w:val="single" w:color="auto" w:sz="6" w:space="0"/>
              <w:bottom w:val="single" w:color="auto" w:sz="6" w:space="0"/>
            </w:tcBorders>
            <w:vAlign w:val="center"/>
          </w:tcPr>
          <w:p>
            <w:pPr>
              <w:pStyle w:val="47"/>
            </w:pPr>
            <w:r>
              <w:t>-1C</w:t>
            </w:r>
          </w:p>
        </w:tc>
        <w:tc>
          <w:tcPr>
            <w:tcW w:w="917" w:type="dxa"/>
            <w:tcBorders>
              <w:top w:val="single" w:color="auto" w:sz="6" w:space="0"/>
              <w:bottom w:val="single" w:color="auto" w:sz="6" w:space="0"/>
            </w:tcBorders>
            <w:vAlign w:val="center"/>
          </w:tcPr>
          <w:p>
            <w:pPr>
              <w:pStyle w:val="47"/>
            </w:pPr>
            <w:r>
              <w:t>-1C</w:t>
            </w:r>
          </w:p>
        </w:tc>
        <w:tc>
          <w:tcPr>
            <w:tcW w:w="915"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r>
              <w:t>-1C</w:t>
            </w:r>
          </w:p>
        </w:tc>
        <w:tc>
          <w:tcPr>
            <w:tcW w:w="761" w:type="dxa"/>
            <w:tcBorders>
              <w:top w:val="single" w:color="auto" w:sz="6" w:space="0"/>
              <w:bottom w:val="single" w:color="auto" w:sz="6" w:space="0"/>
              <w:right w:val="single" w:color="auto" w:sz="12" w:space="0"/>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6" w:space="0"/>
            </w:tcBorders>
            <w:vAlign w:val="center"/>
          </w:tcPr>
          <w:p>
            <w:pPr>
              <w:pStyle w:val="47"/>
            </w:pPr>
          </w:p>
        </w:tc>
        <w:tc>
          <w:tcPr>
            <w:tcW w:w="1833" w:type="dxa"/>
            <w:tcBorders>
              <w:top w:val="single" w:color="auto" w:sz="6" w:space="0"/>
              <w:bottom w:val="single" w:color="auto" w:sz="6" w:space="0"/>
            </w:tcBorders>
            <w:vAlign w:val="center"/>
          </w:tcPr>
          <w:p>
            <w:pPr>
              <w:pStyle w:val="47"/>
            </w:pPr>
            <w:r>
              <w:t>生活废水</w:t>
            </w:r>
          </w:p>
        </w:tc>
        <w:tc>
          <w:tcPr>
            <w:tcW w:w="706" w:type="dxa"/>
            <w:tcBorders>
              <w:top w:val="single" w:color="auto" w:sz="6" w:space="0"/>
              <w:bottom w:val="single" w:color="auto" w:sz="6" w:space="0"/>
            </w:tcBorders>
            <w:vAlign w:val="center"/>
          </w:tcPr>
          <w:p>
            <w:pPr>
              <w:pStyle w:val="47"/>
            </w:pPr>
          </w:p>
        </w:tc>
        <w:tc>
          <w:tcPr>
            <w:tcW w:w="944" w:type="dxa"/>
            <w:tcBorders>
              <w:top w:val="single" w:color="auto" w:sz="6" w:space="0"/>
              <w:bottom w:val="single" w:color="auto" w:sz="6" w:space="0"/>
            </w:tcBorders>
            <w:vAlign w:val="center"/>
          </w:tcPr>
          <w:p>
            <w:pPr>
              <w:pStyle w:val="47"/>
            </w:pPr>
            <w:r>
              <w:t>-1C</w:t>
            </w:r>
          </w:p>
        </w:tc>
        <w:tc>
          <w:tcPr>
            <w:tcW w:w="917" w:type="dxa"/>
            <w:tcBorders>
              <w:top w:val="single" w:color="auto" w:sz="6" w:space="0"/>
              <w:bottom w:val="single" w:color="auto" w:sz="6" w:space="0"/>
            </w:tcBorders>
            <w:vAlign w:val="center"/>
          </w:tcPr>
          <w:p>
            <w:pPr>
              <w:pStyle w:val="47"/>
            </w:pPr>
            <w:r>
              <w:t>-1C</w:t>
            </w:r>
          </w:p>
        </w:tc>
        <w:tc>
          <w:tcPr>
            <w:tcW w:w="915"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p>
        </w:tc>
        <w:tc>
          <w:tcPr>
            <w:tcW w:w="761" w:type="dxa"/>
            <w:tcBorders>
              <w:top w:val="single" w:color="auto" w:sz="6" w:space="0"/>
              <w:bottom w:val="single" w:color="auto" w:sz="6" w:space="0"/>
              <w:right w:val="single" w:color="auto" w:sz="12" w:space="0"/>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6" w:space="0"/>
            </w:tcBorders>
            <w:vAlign w:val="center"/>
          </w:tcPr>
          <w:p>
            <w:pPr>
              <w:pStyle w:val="47"/>
            </w:pPr>
          </w:p>
        </w:tc>
        <w:tc>
          <w:tcPr>
            <w:tcW w:w="1833" w:type="dxa"/>
            <w:tcBorders>
              <w:top w:val="single" w:color="auto" w:sz="6" w:space="0"/>
              <w:bottom w:val="single" w:color="auto" w:sz="6" w:space="0"/>
            </w:tcBorders>
            <w:vAlign w:val="center"/>
          </w:tcPr>
          <w:p>
            <w:pPr>
              <w:pStyle w:val="47"/>
            </w:pPr>
            <w:r>
              <w:rPr>
                <w:rFonts w:hint="eastAsia"/>
              </w:rPr>
              <w:t>医疗废物</w:t>
            </w:r>
            <w:r>
              <w:t>、生活垃圾</w:t>
            </w:r>
          </w:p>
        </w:tc>
        <w:tc>
          <w:tcPr>
            <w:tcW w:w="706" w:type="dxa"/>
            <w:tcBorders>
              <w:top w:val="single" w:color="auto" w:sz="6" w:space="0"/>
              <w:bottom w:val="single" w:color="auto" w:sz="6" w:space="0"/>
            </w:tcBorders>
            <w:vAlign w:val="center"/>
          </w:tcPr>
          <w:p>
            <w:pPr>
              <w:pStyle w:val="47"/>
            </w:pPr>
          </w:p>
        </w:tc>
        <w:tc>
          <w:tcPr>
            <w:tcW w:w="944" w:type="dxa"/>
            <w:tcBorders>
              <w:top w:val="single" w:color="auto" w:sz="6" w:space="0"/>
              <w:bottom w:val="single" w:color="auto" w:sz="6" w:space="0"/>
            </w:tcBorders>
            <w:vAlign w:val="center"/>
          </w:tcPr>
          <w:p>
            <w:pPr>
              <w:pStyle w:val="47"/>
            </w:pPr>
          </w:p>
        </w:tc>
        <w:tc>
          <w:tcPr>
            <w:tcW w:w="917" w:type="dxa"/>
            <w:tcBorders>
              <w:top w:val="single" w:color="auto" w:sz="6" w:space="0"/>
              <w:bottom w:val="single" w:color="auto" w:sz="6" w:space="0"/>
            </w:tcBorders>
            <w:vAlign w:val="center"/>
          </w:tcPr>
          <w:p>
            <w:pPr>
              <w:pStyle w:val="47"/>
            </w:pPr>
          </w:p>
        </w:tc>
        <w:tc>
          <w:tcPr>
            <w:tcW w:w="915" w:type="dxa"/>
            <w:tcBorders>
              <w:top w:val="single" w:color="auto" w:sz="6" w:space="0"/>
              <w:bottom w:val="single" w:color="auto" w:sz="6" w:space="0"/>
            </w:tcBorders>
            <w:vAlign w:val="center"/>
          </w:tcPr>
          <w:p>
            <w:pPr>
              <w:pStyle w:val="47"/>
            </w:pPr>
          </w:p>
        </w:tc>
        <w:tc>
          <w:tcPr>
            <w:tcW w:w="763" w:type="dxa"/>
            <w:tcBorders>
              <w:top w:val="single" w:color="auto" w:sz="6" w:space="0"/>
              <w:bottom w:val="single" w:color="auto" w:sz="6" w:space="0"/>
            </w:tcBorders>
            <w:vAlign w:val="center"/>
          </w:tcPr>
          <w:p>
            <w:pPr>
              <w:pStyle w:val="47"/>
            </w:pPr>
            <w:r>
              <w:t>-2C</w:t>
            </w:r>
          </w:p>
        </w:tc>
        <w:tc>
          <w:tcPr>
            <w:tcW w:w="763" w:type="dxa"/>
            <w:tcBorders>
              <w:top w:val="single" w:color="auto" w:sz="6" w:space="0"/>
              <w:bottom w:val="single" w:color="auto" w:sz="6" w:space="0"/>
            </w:tcBorders>
            <w:vAlign w:val="center"/>
          </w:tcPr>
          <w:p>
            <w:pPr>
              <w:pStyle w:val="47"/>
            </w:pPr>
            <w:r>
              <w:t>-1C</w:t>
            </w:r>
          </w:p>
        </w:tc>
        <w:tc>
          <w:tcPr>
            <w:tcW w:w="763" w:type="dxa"/>
            <w:tcBorders>
              <w:top w:val="single" w:color="auto" w:sz="6" w:space="0"/>
              <w:bottom w:val="single" w:color="auto" w:sz="6" w:space="0"/>
            </w:tcBorders>
            <w:vAlign w:val="center"/>
          </w:tcPr>
          <w:p>
            <w:pPr>
              <w:pStyle w:val="47"/>
            </w:pPr>
            <w:r>
              <w:t>-1C</w:t>
            </w:r>
          </w:p>
        </w:tc>
        <w:tc>
          <w:tcPr>
            <w:tcW w:w="761" w:type="dxa"/>
            <w:tcBorders>
              <w:top w:val="single" w:color="auto" w:sz="6" w:space="0"/>
              <w:bottom w:val="single" w:color="auto" w:sz="6" w:space="0"/>
              <w:right w:val="single" w:color="auto" w:sz="12" w:space="0"/>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05" w:type="dxa"/>
            <w:vMerge w:val="continue"/>
            <w:tcBorders>
              <w:top w:val="single" w:color="auto" w:sz="6" w:space="0"/>
              <w:left w:val="single" w:color="auto" w:sz="12" w:space="0"/>
              <w:bottom w:val="single" w:color="auto" w:sz="12" w:space="0"/>
            </w:tcBorders>
            <w:vAlign w:val="center"/>
          </w:tcPr>
          <w:p>
            <w:pPr>
              <w:pStyle w:val="47"/>
            </w:pPr>
          </w:p>
        </w:tc>
        <w:tc>
          <w:tcPr>
            <w:tcW w:w="1833" w:type="dxa"/>
            <w:tcBorders>
              <w:top w:val="single" w:color="auto" w:sz="6" w:space="0"/>
              <w:bottom w:val="single" w:color="auto" w:sz="12" w:space="0"/>
            </w:tcBorders>
            <w:vAlign w:val="center"/>
          </w:tcPr>
          <w:p>
            <w:pPr>
              <w:pStyle w:val="47"/>
            </w:pPr>
            <w:r>
              <w:t>产噪设备</w:t>
            </w:r>
          </w:p>
        </w:tc>
        <w:tc>
          <w:tcPr>
            <w:tcW w:w="706" w:type="dxa"/>
            <w:tcBorders>
              <w:top w:val="single" w:color="auto" w:sz="6" w:space="0"/>
              <w:bottom w:val="single" w:color="auto" w:sz="12" w:space="0"/>
            </w:tcBorders>
            <w:vAlign w:val="center"/>
          </w:tcPr>
          <w:p>
            <w:pPr>
              <w:pStyle w:val="47"/>
            </w:pPr>
          </w:p>
        </w:tc>
        <w:tc>
          <w:tcPr>
            <w:tcW w:w="944" w:type="dxa"/>
            <w:tcBorders>
              <w:top w:val="single" w:color="auto" w:sz="6" w:space="0"/>
              <w:bottom w:val="single" w:color="auto" w:sz="12" w:space="0"/>
            </w:tcBorders>
            <w:vAlign w:val="center"/>
          </w:tcPr>
          <w:p>
            <w:pPr>
              <w:pStyle w:val="47"/>
            </w:pPr>
          </w:p>
        </w:tc>
        <w:tc>
          <w:tcPr>
            <w:tcW w:w="917" w:type="dxa"/>
            <w:tcBorders>
              <w:top w:val="single" w:color="auto" w:sz="6" w:space="0"/>
              <w:bottom w:val="single" w:color="auto" w:sz="12" w:space="0"/>
            </w:tcBorders>
            <w:vAlign w:val="center"/>
          </w:tcPr>
          <w:p>
            <w:pPr>
              <w:pStyle w:val="47"/>
            </w:pPr>
          </w:p>
        </w:tc>
        <w:tc>
          <w:tcPr>
            <w:tcW w:w="915" w:type="dxa"/>
            <w:tcBorders>
              <w:top w:val="single" w:color="auto" w:sz="6" w:space="0"/>
              <w:bottom w:val="single" w:color="auto" w:sz="12" w:space="0"/>
            </w:tcBorders>
            <w:vAlign w:val="center"/>
          </w:tcPr>
          <w:p>
            <w:pPr>
              <w:pStyle w:val="47"/>
            </w:pPr>
            <w:r>
              <w:t>-1C</w:t>
            </w:r>
          </w:p>
        </w:tc>
        <w:tc>
          <w:tcPr>
            <w:tcW w:w="763" w:type="dxa"/>
            <w:tcBorders>
              <w:top w:val="single" w:color="auto" w:sz="6" w:space="0"/>
              <w:bottom w:val="single" w:color="auto" w:sz="12" w:space="0"/>
            </w:tcBorders>
            <w:vAlign w:val="center"/>
          </w:tcPr>
          <w:p>
            <w:pPr>
              <w:pStyle w:val="47"/>
            </w:pPr>
          </w:p>
        </w:tc>
        <w:tc>
          <w:tcPr>
            <w:tcW w:w="763" w:type="dxa"/>
            <w:tcBorders>
              <w:top w:val="single" w:color="auto" w:sz="6" w:space="0"/>
              <w:bottom w:val="single" w:color="auto" w:sz="12" w:space="0"/>
            </w:tcBorders>
            <w:vAlign w:val="center"/>
          </w:tcPr>
          <w:p>
            <w:pPr>
              <w:pStyle w:val="47"/>
            </w:pPr>
          </w:p>
        </w:tc>
        <w:tc>
          <w:tcPr>
            <w:tcW w:w="763" w:type="dxa"/>
            <w:tcBorders>
              <w:top w:val="single" w:color="auto" w:sz="6" w:space="0"/>
              <w:bottom w:val="single" w:color="auto" w:sz="12" w:space="0"/>
            </w:tcBorders>
            <w:vAlign w:val="center"/>
          </w:tcPr>
          <w:p>
            <w:pPr>
              <w:pStyle w:val="47"/>
            </w:pPr>
          </w:p>
        </w:tc>
        <w:tc>
          <w:tcPr>
            <w:tcW w:w="761" w:type="dxa"/>
            <w:tcBorders>
              <w:top w:val="single" w:color="auto" w:sz="6" w:space="0"/>
              <w:bottom w:val="single" w:color="auto" w:sz="12" w:space="0"/>
              <w:right w:val="single" w:color="auto" w:sz="12" w:space="0"/>
            </w:tcBorders>
            <w:vAlign w:val="center"/>
          </w:tcPr>
          <w:p>
            <w:pPr>
              <w:pStyle w:val="47"/>
            </w:pPr>
            <w:r>
              <w:t>-1C</w:t>
            </w:r>
          </w:p>
        </w:tc>
      </w:tr>
    </w:tbl>
    <w:p>
      <w:pPr>
        <w:pStyle w:val="40"/>
        <w:ind w:firstLine="480"/>
      </w:pPr>
      <w:r>
        <w:rPr>
          <w:rFonts w:hint="eastAsia"/>
        </w:rPr>
        <w:t>项目建设对环境的影响是多方面的，既存在短期、局部及可恢复的或正或负的影响，也存在长期的或正或负的影响。施工期主要表现在对自然环境要素产生一定程度的负面影响，施工期的影响是局部的、短期的，且随着施工期的结束而消失；本项目营运期对周围环境影响主要体现在医疗废水对水环境的影响，污水处理站恶臭及实验室废气对大气环境的影响，以及医疗废物的影响。</w:t>
      </w:r>
    </w:p>
    <w:p>
      <w:pPr>
        <w:pStyle w:val="4"/>
      </w:pPr>
      <w:r>
        <w:rPr>
          <w:rFonts w:hint="eastAsia"/>
        </w:rPr>
        <w:t>评价</w:t>
      </w:r>
      <w:r>
        <w:t>因子筛选</w:t>
      </w:r>
    </w:p>
    <w:p>
      <w:pPr>
        <w:pStyle w:val="40"/>
        <w:ind w:firstLine="480"/>
      </w:pPr>
      <w:r>
        <w:rPr>
          <w:rFonts w:hint="eastAsia"/>
        </w:rPr>
        <w:t>根据本项目污染源分析识别出的环境影响因子，依据国家有关环保标准、规定所列控制指标，并结合项目所处区域环境特征，筛选出本项目评价因子具体见表2.3</w:t>
      </w:r>
      <w:r>
        <w:t>-</w:t>
      </w:r>
      <w:r>
        <w:rPr>
          <w:rFonts w:hint="eastAsia"/>
        </w:rPr>
        <w:t>2。</w:t>
      </w:r>
    </w:p>
    <w:p>
      <w:pPr>
        <w:pStyle w:val="22"/>
      </w:pPr>
      <w:bookmarkStart w:id="12" w:name="_Ref27042121"/>
      <w:r>
        <w:t>表</w:t>
      </w:r>
      <w:r>
        <w:fldChar w:fldCharType="begin"/>
      </w:r>
      <w:r>
        <w:instrText xml:space="preserve"> STYLEREF 2 \s </w:instrText>
      </w:r>
      <w:r>
        <w:fldChar w:fldCharType="separate"/>
      </w:r>
      <w:r>
        <w:t>2.3</w:t>
      </w:r>
      <w:r>
        <w:fldChar w:fldCharType="end"/>
      </w:r>
      <w:r>
        <w:noBreakHyphen/>
      </w:r>
      <w:r>
        <w:fldChar w:fldCharType="begin"/>
      </w:r>
      <w:r>
        <w:instrText xml:space="preserve"> SEQ 表 \* ARABIC \s 2 </w:instrText>
      </w:r>
      <w:r>
        <w:fldChar w:fldCharType="separate"/>
      </w:r>
      <w:r>
        <w:t>2</w:t>
      </w:r>
      <w:r>
        <w:fldChar w:fldCharType="end"/>
      </w:r>
      <w:bookmarkEnd w:id="12"/>
      <w:r>
        <w:t xml:space="preserve">  项目评价因子一览表</w:t>
      </w:r>
    </w:p>
    <w:tbl>
      <w:tblPr>
        <w:tblStyle w:val="25"/>
        <w:tblW w:w="879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3497"/>
        <w:gridCol w:w="40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项目</w:t>
            </w:r>
          </w:p>
        </w:tc>
        <w:tc>
          <w:tcPr>
            <w:tcW w:w="3497"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现状评价因子</w:t>
            </w:r>
          </w:p>
        </w:tc>
        <w:tc>
          <w:tcPr>
            <w:tcW w:w="4000"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影响评价因子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环境空气</w:t>
            </w:r>
          </w:p>
        </w:tc>
        <w:tc>
          <w:tcPr>
            <w:tcW w:w="3497"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10</w:t>
            </w:r>
            <w:r>
              <w:rPr>
                <w:rFonts w:ascii="Times New Roman" w:hAnsi="Times New Roman" w:eastAsia="宋体" w:cs="Times New Roman"/>
                <w:kern w:val="0"/>
                <w:szCs w:val="21"/>
              </w:rPr>
              <w:t>、PM</w:t>
            </w:r>
            <w:r>
              <w:rPr>
                <w:rFonts w:ascii="Times New Roman" w:hAnsi="Times New Roman" w:eastAsia="宋体" w:cs="Times New Roman"/>
                <w:kern w:val="0"/>
                <w:szCs w:val="21"/>
                <w:vertAlign w:val="subscript"/>
              </w:rPr>
              <w:t>2.5</w:t>
            </w:r>
            <w:r>
              <w:rPr>
                <w:rFonts w:ascii="Times New Roman" w:hAnsi="Times New Roman" w:eastAsia="宋体" w:cs="Times New Roman"/>
                <w:kern w:val="0"/>
                <w:szCs w:val="21"/>
              </w:rPr>
              <w:t>、SO</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、NO</w:t>
            </w:r>
            <w:r>
              <w:rPr>
                <w:rFonts w:ascii="Times New Roman" w:hAnsi="Times New Roman" w:eastAsia="宋体" w:cs="Times New Roman"/>
                <w:kern w:val="0"/>
                <w:szCs w:val="21"/>
                <w:vertAlign w:val="subscript"/>
              </w:rPr>
              <w:t>2</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CO、O</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NH</w:t>
            </w:r>
            <w:r>
              <w:rPr>
                <w:rFonts w:hint="eastAsia" w:ascii="Times New Roman" w:hAnsi="Times New Roman" w:eastAsia="宋体" w:cs="Times New Roman"/>
                <w:kern w:val="0"/>
                <w:szCs w:val="21"/>
                <w:vertAlign w:val="subscript"/>
              </w:rPr>
              <w:t>3</w:t>
            </w:r>
            <w:r>
              <w:rPr>
                <w:rFonts w:ascii="Times New Roman" w:hAnsi="Times New Roman" w:eastAsia="宋体" w:cs="Times New Roman"/>
                <w:kern w:val="0"/>
                <w:szCs w:val="21"/>
              </w:rPr>
              <w:t>、H</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S</w:t>
            </w:r>
          </w:p>
        </w:tc>
        <w:tc>
          <w:tcPr>
            <w:tcW w:w="4000"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hint="eastAsia" w:ascii="Times New Roman" w:hAnsi="Times New Roman" w:eastAsia="宋体" w:cs="Times New Roman"/>
                <w:kern w:val="0"/>
                <w:szCs w:val="21"/>
              </w:rPr>
              <w:t>NH</w:t>
            </w:r>
            <w:r>
              <w:rPr>
                <w:rFonts w:hint="eastAsia" w:ascii="Times New Roman" w:hAnsi="Times New Roman" w:eastAsia="宋体" w:cs="Times New Roman"/>
                <w:kern w:val="0"/>
                <w:szCs w:val="21"/>
                <w:vertAlign w:val="subscript"/>
              </w:rPr>
              <w:t>3</w:t>
            </w:r>
            <w:r>
              <w:rPr>
                <w:rFonts w:ascii="Times New Roman" w:hAnsi="Times New Roman" w:eastAsia="宋体" w:cs="Times New Roman"/>
                <w:kern w:val="0"/>
                <w:szCs w:val="21"/>
              </w:rPr>
              <w:t>、H</w:t>
            </w:r>
            <w:r>
              <w:rPr>
                <w:rFonts w:ascii="Times New Roman" w:hAnsi="Times New Roman" w:eastAsia="宋体" w:cs="Times New Roman"/>
                <w:kern w:val="0"/>
                <w:szCs w:val="21"/>
                <w:vertAlign w:val="subscript"/>
              </w:rPr>
              <w:t>2</w:t>
            </w:r>
            <w:r>
              <w:rPr>
                <w:rFonts w:ascii="Times New Roman" w:hAnsi="Times New Roman" w:eastAsia="宋体" w:cs="Times New Roman"/>
                <w:kern w:val="0"/>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地表水</w:t>
            </w:r>
          </w:p>
        </w:tc>
        <w:tc>
          <w:tcPr>
            <w:tcW w:w="3497"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4000"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仅对地表水环境影响进行简要分析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声环境</w:t>
            </w:r>
          </w:p>
        </w:tc>
        <w:tc>
          <w:tcPr>
            <w:tcW w:w="7497" w:type="dxa"/>
            <w:gridSpan w:val="2"/>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连续等效A声级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bookmarkStart w:id="13" w:name="_Toc431286073"/>
            <w:r>
              <w:rPr>
                <w:rFonts w:ascii="Times New Roman" w:hAnsi="Times New Roman" w:eastAsia="宋体" w:cs="Times New Roman"/>
                <w:kern w:val="0"/>
                <w:szCs w:val="21"/>
              </w:rPr>
              <w:t>固废</w:t>
            </w:r>
          </w:p>
        </w:tc>
        <w:tc>
          <w:tcPr>
            <w:tcW w:w="3497"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4000"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hint="eastAsia" w:ascii="Times New Roman" w:hAnsi="Times New Roman" w:eastAsia="宋体" w:cs="Times New Roman"/>
                <w:kern w:val="0"/>
                <w:szCs w:val="21"/>
              </w:rPr>
              <w:t>医疗废物、生活垃圾、污水处理站污泥、废包装材料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98" w:type="dxa"/>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风险</w:t>
            </w:r>
          </w:p>
        </w:tc>
        <w:tc>
          <w:tcPr>
            <w:tcW w:w="7497" w:type="dxa"/>
            <w:gridSpan w:val="2"/>
            <w:vAlign w:val="center"/>
          </w:tcPr>
          <w:p>
            <w:pPr>
              <w:autoSpaceDE w:val="0"/>
              <w:autoSpaceDN w:val="0"/>
              <w:adjustRightInd w:val="0"/>
              <w:jc w:val="center"/>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简单事故风险</w:t>
            </w:r>
          </w:p>
        </w:tc>
      </w:tr>
      <w:bookmarkEnd w:id="13"/>
    </w:tbl>
    <w:p>
      <w:pPr>
        <w:pStyle w:val="3"/>
      </w:pPr>
      <w:bookmarkStart w:id="14" w:name="_Toc113260419"/>
      <w:r>
        <w:rPr>
          <w:rFonts w:hint="eastAsia"/>
        </w:rPr>
        <w:t>评价</w:t>
      </w:r>
      <w:r>
        <w:t>工作等级和评价范围</w:t>
      </w:r>
      <w:bookmarkEnd w:id="14"/>
    </w:p>
    <w:p>
      <w:pPr>
        <w:pStyle w:val="40"/>
        <w:ind w:firstLine="480"/>
      </w:pPr>
      <w:r>
        <w:rPr>
          <w:rFonts w:hint="eastAsia"/>
        </w:rPr>
        <w:t>根据项目特点及所在地区的环境状况，确定本项目环境影响评价包括环境空气、地表水环境、地下水环境、声环境、土壤环境、环境风险以及生态环境，各评价要素的评价等级与评价范围依据《环境影响评价技术导则》（以下简称“导则”）的具体要求确定。</w:t>
      </w:r>
    </w:p>
    <w:p>
      <w:pPr>
        <w:pStyle w:val="4"/>
      </w:pPr>
      <w:r>
        <w:rPr>
          <w:rFonts w:hint="eastAsia"/>
        </w:rPr>
        <w:t>大气</w:t>
      </w:r>
      <w:r>
        <w:t>环境影响</w:t>
      </w:r>
      <w:r>
        <w:rPr>
          <w:rFonts w:hint="eastAsia"/>
        </w:rPr>
        <w:t>评价</w:t>
      </w:r>
      <w:r>
        <w:t>工作</w:t>
      </w:r>
      <w:r>
        <w:rPr>
          <w:rFonts w:hint="eastAsia"/>
        </w:rPr>
        <w:t>等级及</w:t>
      </w:r>
      <w:r>
        <w:t>评价范围</w:t>
      </w:r>
    </w:p>
    <w:p>
      <w:pPr>
        <w:pStyle w:val="5"/>
      </w:pPr>
      <w:r>
        <w:rPr>
          <w:rFonts w:hint="eastAsia"/>
        </w:rPr>
        <w:t>评价</w:t>
      </w:r>
      <w:r>
        <w:t>等级</w:t>
      </w:r>
    </w:p>
    <w:p>
      <w:pPr>
        <w:pStyle w:val="40"/>
        <w:ind w:firstLine="480"/>
      </w:pPr>
      <w:r>
        <w:rPr>
          <w:rFonts w:hint="eastAsia"/>
        </w:rPr>
        <w:t>选择《环境影响评价技术导则-大气环境》（HJ2.2-2018）中的有关规定，将大气环境影响评价工作分为一、二、三级，划分依据见表2.4</w:t>
      </w:r>
      <w:r>
        <w:t>-</w:t>
      </w:r>
      <w:r>
        <w:rPr>
          <w:rFonts w:hint="eastAsia"/>
        </w:rPr>
        <w:t>1。</w:t>
      </w:r>
    </w:p>
    <w:p>
      <w:pPr>
        <w:pStyle w:val="22"/>
      </w:pPr>
      <w:bookmarkStart w:id="15" w:name="_Ref27042141"/>
      <w:r>
        <w:t>表</w:t>
      </w:r>
      <w:r>
        <w:fldChar w:fldCharType="begin"/>
      </w:r>
      <w:r>
        <w:instrText xml:space="preserve"> STYLEREF 2 \s </w:instrText>
      </w:r>
      <w:r>
        <w:fldChar w:fldCharType="separate"/>
      </w:r>
      <w:r>
        <w:t>2.4</w:t>
      </w:r>
      <w:r>
        <w:fldChar w:fldCharType="end"/>
      </w:r>
      <w:r>
        <w:noBreakHyphen/>
      </w:r>
      <w:r>
        <w:fldChar w:fldCharType="begin"/>
      </w:r>
      <w:r>
        <w:instrText xml:space="preserve"> SEQ 表 \* ARABIC \s 2 </w:instrText>
      </w:r>
      <w:r>
        <w:fldChar w:fldCharType="separate"/>
      </w:r>
      <w:r>
        <w:t>1</w:t>
      </w:r>
      <w:r>
        <w:fldChar w:fldCharType="end"/>
      </w:r>
      <w:bookmarkEnd w:id="15"/>
      <w:r>
        <w:t xml:space="preserve">  评价工作等级判断标准</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6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评价工作等级</w:t>
            </w:r>
          </w:p>
        </w:tc>
        <w:tc>
          <w:tcPr>
            <w:tcW w:w="625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一级</w:t>
            </w:r>
          </w:p>
        </w:tc>
        <w:tc>
          <w:tcPr>
            <w:tcW w:w="625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snapToGrid w:val="0"/>
                <w:kern w:val="0"/>
                <w:szCs w:val="20"/>
              </w:rPr>
              <w:t>P</w:t>
            </w:r>
            <w:r>
              <w:rPr>
                <w:rFonts w:ascii="Times New Roman" w:hAnsi="Times New Roman" w:eastAsia="宋体" w:cs="Times New Roman"/>
                <w:snapToGrid w:val="0"/>
                <w:kern w:val="0"/>
                <w:szCs w:val="20"/>
                <w:vertAlign w:val="subscript"/>
              </w:rPr>
              <w:t>max</w:t>
            </w:r>
            <w:r>
              <w:rPr>
                <w:rFonts w:ascii="Times New Roman" w:hAnsi="Times New Roman" w:eastAsia="宋体" w:cs="Times New Roman"/>
                <w:snapToGrid w:val="0"/>
                <w:kern w:val="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二级</w:t>
            </w:r>
          </w:p>
        </w:tc>
        <w:tc>
          <w:tcPr>
            <w:tcW w:w="625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snapToGrid w:val="0"/>
                <w:kern w:val="0"/>
                <w:szCs w:val="20"/>
              </w:rPr>
              <w:t>1%≤P</w:t>
            </w:r>
            <w:r>
              <w:rPr>
                <w:rFonts w:ascii="Times New Roman" w:hAnsi="Times New Roman" w:eastAsia="宋体" w:cs="Times New Roman"/>
                <w:snapToGrid w:val="0"/>
                <w:kern w:val="0"/>
                <w:szCs w:val="20"/>
                <w:vertAlign w:val="subscript"/>
              </w:rPr>
              <w:t>max</w:t>
            </w:r>
            <w:r>
              <w:rPr>
                <w:rFonts w:ascii="Times New Roman" w:hAnsi="Times New Roman" w:eastAsia="宋体" w:cs="Times New Roman"/>
                <w:snapToGrid w:val="0"/>
                <w:kern w:val="0"/>
                <w:szCs w:val="20"/>
              </w:rPr>
              <w:t>&lt;10%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2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三级</w:t>
            </w:r>
          </w:p>
        </w:tc>
        <w:tc>
          <w:tcPr>
            <w:tcW w:w="625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snapToGrid w:val="0"/>
                <w:kern w:val="0"/>
                <w:szCs w:val="20"/>
              </w:rPr>
              <w:t>P</w:t>
            </w:r>
            <w:r>
              <w:rPr>
                <w:rFonts w:ascii="Times New Roman" w:hAnsi="Times New Roman" w:eastAsia="宋体" w:cs="Times New Roman"/>
                <w:snapToGrid w:val="0"/>
                <w:kern w:val="0"/>
                <w:szCs w:val="20"/>
                <w:vertAlign w:val="subscript"/>
              </w:rPr>
              <w:t>max</w:t>
            </w:r>
            <w:r>
              <w:rPr>
                <w:rFonts w:ascii="Times New Roman" w:hAnsi="Times New Roman" w:eastAsia="宋体" w:cs="Times New Roman"/>
                <w:snapToGrid w:val="0"/>
                <w:kern w:val="0"/>
                <w:szCs w:val="20"/>
              </w:rPr>
              <w:t>&lt;1%</w:t>
            </w:r>
          </w:p>
        </w:tc>
      </w:tr>
    </w:tbl>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经过对建设项目的初步工程分析，项目运营期废气主要</w:t>
      </w:r>
      <w:r>
        <w:rPr>
          <w:rFonts w:hint="eastAsia" w:ascii="Times New Roman" w:hAnsi="Times New Roman" w:eastAsia="宋体" w:cs="Times New Roman"/>
          <w:sz w:val="24"/>
        </w:rPr>
        <w:t>锅炉废气颗粒物</w:t>
      </w:r>
      <w:r>
        <w:rPr>
          <w:rFonts w:ascii="Times New Roman" w:hAnsi="Times New Roman" w:eastAsia="宋体" w:cs="Times New Roman"/>
          <w:sz w:val="24"/>
        </w:rPr>
        <w:t>、SO</w:t>
      </w:r>
      <w:r>
        <w:rPr>
          <w:rFonts w:ascii="Times New Roman" w:hAnsi="Times New Roman" w:eastAsia="宋体" w:cs="Times New Roman"/>
          <w:sz w:val="24"/>
          <w:vertAlign w:val="subscript"/>
        </w:rPr>
        <w:t>2</w:t>
      </w:r>
      <w:r>
        <w:rPr>
          <w:rFonts w:ascii="Times New Roman" w:hAnsi="Times New Roman" w:eastAsia="宋体" w:cs="Times New Roman"/>
          <w:sz w:val="24"/>
        </w:rPr>
        <w:t>、NOx</w:t>
      </w:r>
      <w:r>
        <w:rPr>
          <w:rFonts w:hint="eastAsia" w:ascii="Times New Roman" w:hAnsi="Times New Roman" w:eastAsia="宋体" w:cs="Times New Roman"/>
          <w:sz w:val="24"/>
        </w:rPr>
        <w:t>以及污水处理站产生</w:t>
      </w:r>
      <w:r>
        <w:rPr>
          <w:rFonts w:ascii="Times New Roman" w:hAnsi="Times New Roman" w:eastAsia="宋体" w:cs="Times New Roman"/>
          <w:sz w:val="24"/>
        </w:rPr>
        <w:t>的</w:t>
      </w:r>
      <w:r>
        <w:rPr>
          <w:rFonts w:hint="eastAsia" w:ascii="Times New Roman" w:hAnsi="Times New Roman" w:eastAsia="宋体" w:cs="Times New Roman"/>
          <w:sz w:val="24"/>
        </w:rPr>
        <w:t>NH</w:t>
      </w:r>
      <w:r>
        <w:rPr>
          <w:rFonts w:hint="eastAsia" w:ascii="Times New Roman" w:hAnsi="Times New Roman" w:eastAsia="宋体" w:cs="Times New Roman"/>
          <w:sz w:val="24"/>
          <w:vertAlign w:val="sub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S废气。根据导则规定，选取推荐模式中的AERSCREEN 模型对项目的大气环境评价工作进行分级。</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项目污染物的最大地面浓度占标率Pi及其地面浓度达标准限值10%时所对应的最远距离D10%，其中Pi定义为：</w:t>
      </w:r>
    </w:p>
    <w:p>
      <w:pPr>
        <w:adjustRightInd w:val="0"/>
        <w:snapToGrid w:val="0"/>
        <w:spacing w:line="360" w:lineRule="auto"/>
        <w:ind w:firstLine="480" w:firstLineChars="200"/>
        <w:jc w:val="center"/>
        <w:rPr>
          <w:rFonts w:ascii="Times New Roman" w:hAnsi="Times New Roman" w:eastAsia="宋体" w:cs="Times New Roman"/>
          <w:sz w:val="24"/>
          <w:lang w:val="pt-BR"/>
        </w:rPr>
      </w:pPr>
      <w:r>
        <w:rPr>
          <w:rFonts w:ascii="Times New Roman" w:hAnsi="Times New Roman" w:eastAsia="宋体" w:cs="Times New Roman"/>
          <w:sz w:val="24"/>
          <w:lang w:val="pt-BR"/>
        </w:rPr>
        <w:t>P</w:t>
      </w:r>
      <w:r>
        <w:rPr>
          <w:rFonts w:ascii="Times New Roman" w:hAnsi="Times New Roman" w:eastAsia="宋体" w:cs="Times New Roman"/>
          <w:sz w:val="24"/>
          <w:vertAlign w:val="subscript"/>
          <w:lang w:val="pt-BR"/>
        </w:rPr>
        <w:t>i</w:t>
      </w:r>
      <w:r>
        <w:rPr>
          <w:rFonts w:ascii="Times New Roman" w:hAnsi="Times New Roman" w:eastAsia="宋体" w:cs="Times New Roman"/>
          <w:sz w:val="24"/>
          <w:lang w:val="pt-BR"/>
        </w:rPr>
        <w:t>=(C</w:t>
      </w:r>
      <w:r>
        <w:rPr>
          <w:rFonts w:ascii="Times New Roman" w:hAnsi="Times New Roman" w:eastAsia="宋体" w:cs="Times New Roman"/>
          <w:sz w:val="24"/>
          <w:vertAlign w:val="subscript"/>
          <w:lang w:val="pt-BR"/>
        </w:rPr>
        <w:t>i</w:t>
      </w:r>
      <w:r>
        <w:rPr>
          <w:rFonts w:ascii="Times New Roman" w:hAnsi="Times New Roman" w:eastAsia="宋体" w:cs="Times New Roman"/>
          <w:sz w:val="24"/>
          <w:lang w:val="pt-BR"/>
        </w:rPr>
        <w:t>/C</w:t>
      </w:r>
      <w:r>
        <w:rPr>
          <w:rFonts w:ascii="Times New Roman" w:hAnsi="Times New Roman" w:eastAsia="宋体" w:cs="Times New Roman"/>
          <w:sz w:val="24"/>
          <w:vertAlign w:val="subscript"/>
          <w:lang w:val="pt-BR"/>
        </w:rPr>
        <w:t>oi</w:t>
      </w:r>
      <w:r>
        <w:rPr>
          <w:rFonts w:ascii="Times New Roman" w:hAnsi="Times New Roman" w:eastAsia="宋体" w:cs="Times New Roman"/>
          <w:sz w:val="24"/>
          <w:lang w:val="pt-BR"/>
        </w:rPr>
        <w:t>)×100%</w:t>
      </w:r>
    </w:p>
    <w:p>
      <w:pPr>
        <w:adjustRightInd w:val="0"/>
        <w:snapToGrid w:val="0"/>
        <w:spacing w:line="360" w:lineRule="auto"/>
        <w:ind w:firstLine="480" w:firstLineChars="200"/>
        <w:rPr>
          <w:rFonts w:ascii="Times New Roman" w:hAnsi="Times New Roman" w:eastAsia="宋体" w:cs="Times New Roman"/>
          <w:sz w:val="24"/>
          <w:lang w:val="fr-FR"/>
        </w:rPr>
      </w:pPr>
      <w:r>
        <w:rPr>
          <w:rFonts w:ascii="Times New Roman" w:hAnsi="Times New Roman" w:eastAsia="宋体" w:cs="Times New Roman"/>
          <w:sz w:val="24"/>
        </w:rPr>
        <w:t>式中</w:t>
      </w:r>
      <w:r>
        <w:rPr>
          <w:rFonts w:ascii="Times New Roman" w:hAnsi="Times New Roman" w:eastAsia="宋体" w:cs="Times New Roman"/>
          <w:sz w:val="24"/>
          <w:lang w:val="fr-FR"/>
        </w:rPr>
        <w:t>：</w:t>
      </w:r>
    </w:p>
    <w:p>
      <w:pPr>
        <w:adjustRightInd w:val="0"/>
        <w:snapToGrid w:val="0"/>
        <w:spacing w:line="360" w:lineRule="auto"/>
        <w:ind w:firstLine="1080" w:firstLineChars="450"/>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i</w:t>
      </w:r>
      <w:r>
        <w:rPr>
          <w:rFonts w:ascii="Times New Roman" w:hAnsi="Times New Roman" w:eastAsia="宋体" w:cs="Times New Roman"/>
          <w:sz w:val="24"/>
        </w:rPr>
        <w:t>—第i个污染物的最大地面浓度占标率，%；</w:t>
      </w:r>
    </w:p>
    <w:p>
      <w:pPr>
        <w:adjustRightInd w:val="0"/>
        <w:snapToGrid w:val="0"/>
        <w:spacing w:line="360" w:lineRule="auto"/>
        <w:ind w:firstLine="1080" w:firstLineChars="450"/>
        <w:rPr>
          <w:rFonts w:ascii="Times New Roman" w:hAnsi="Times New Roman" w:eastAsia="宋体" w:cs="Times New Roman"/>
          <w:sz w:val="24"/>
          <w:vertAlign w:val="superscript"/>
          <w:lang w:val="en-GB"/>
        </w:rPr>
      </w:pPr>
      <w:r>
        <w:rPr>
          <w:rFonts w:ascii="Times New Roman" w:hAnsi="Times New Roman" w:eastAsia="宋体" w:cs="Times New Roman"/>
          <w:sz w:val="24"/>
        </w:rPr>
        <w:t>C</w:t>
      </w:r>
      <w:r>
        <w:rPr>
          <w:rFonts w:ascii="Times New Roman" w:hAnsi="Times New Roman" w:eastAsia="宋体" w:cs="Times New Roman"/>
          <w:sz w:val="24"/>
          <w:vertAlign w:val="subscript"/>
        </w:rPr>
        <w:t>i</w:t>
      </w:r>
      <w:r>
        <w:rPr>
          <w:rFonts w:ascii="Times New Roman" w:hAnsi="Times New Roman" w:eastAsia="宋体" w:cs="Times New Roman"/>
          <w:sz w:val="24"/>
        </w:rPr>
        <w:t>—采用估算模式计算出的第i个污染物的最大地面浓度，</w:t>
      </w:r>
      <w:r>
        <w:rPr>
          <w:rFonts w:ascii="Times New Roman" w:hAnsi="Times New Roman" w:eastAsia="宋体" w:cs="Times New Roman"/>
          <w:sz w:val="24"/>
          <w:lang w:val="en-GB"/>
        </w:rPr>
        <w:t>μg/m</w:t>
      </w:r>
      <w:r>
        <w:rPr>
          <w:rFonts w:ascii="Times New Roman" w:hAnsi="Times New Roman" w:eastAsia="宋体" w:cs="Times New Roman"/>
          <w:sz w:val="24"/>
          <w:vertAlign w:val="superscript"/>
          <w:lang w:val="en-GB"/>
        </w:rPr>
        <w:t>3</w:t>
      </w:r>
      <w:r>
        <w:rPr>
          <w:rFonts w:ascii="Times New Roman" w:hAnsi="Times New Roman" w:eastAsia="宋体" w:cs="Times New Roman"/>
          <w:sz w:val="24"/>
        </w:rPr>
        <w:t>；</w:t>
      </w:r>
    </w:p>
    <w:p>
      <w:pPr>
        <w:adjustRightInd w:val="0"/>
        <w:snapToGrid w:val="0"/>
        <w:spacing w:line="360" w:lineRule="auto"/>
        <w:ind w:firstLine="1080" w:firstLineChars="450"/>
        <w:rPr>
          <w:rFonts w:ascii="Times New Roman" w:hAnsi="Times New Roman" w:eastAsia="宋体" w:cs="Times New Roman"/>
          <w:sz w:val="24"/>
        </w:rPr>
      </w:pPr>
      <w:r>
        <w:rPr>
          <w:rFonts w:ascii="Times New Roman" w:hAnsi="Times New Roman" w:eastAsia="宋体" w:cs="Times New Roman"/>
          <w:sz w:val="24"/>
        </w:rPr>
        <w:t>C</w:t>
      </w:r>
      <w:r>
        <w:rPr>
          <w:rFonts w:ascii="Times New Roman" w:hAnsi="Times New Roman" w:eastAsia="宋体" w:cs="Times New Roman"/>
          <w:sz w:val="24"/>
          <w:vertAlign w:val="subscript"/>
        </w:rPr>
        <w:t>oi</w:t>
      </w:r>
      <w:r>
        <w:rPr>
          <w:rFonts w:ascii="Times New Roman" w:hAnsi="Times New Roman" w:eastAsia="宋体" w:cs="Times New Roman"/>
          <w:sz w:val="24"/>
        </w:rPr>
        <w:t>—第i个污染物的环境空气质量标准，</w:t>
      </w:r>
      <w:r>
        <w:rPr>
          <w:rFonts w:ascii="Times New Roman" w:hAnsi="Times New Roman" w:eastAsia="宋体" w:cs="Times New Roman"/>
          <w:sz w:val="24"/>
          <w:lang w:val="en-GB"/>
        </w:rPr>
        <w:t>μ</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ascii="Times New Roman" w:hAnsi="Times New Roman" w:eastAsia="宋体" w:cs="Times New Roman"/>
          <w:sz w:val="24"/>
        </w:rPr>
        <w:t>。C0i 一般选取GB3095 中1h平均质量浓度的二级浓度限值，使用5.2确定的各评价因子1h平均质量浓度限值。对仅有的8h平均质量浓度限值、日平均质量浓度限值或年平均质量浓度限值的，可分别按2倍、3倍、6倍折算为1h平均质量浓度限值。</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根据估算模式计算本项目大气污染物的最大地面浓度及占标率见</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REF _Ref27042154 \h  \* MERGEFORMAT </w:instrText>
      </w:r>
      <w:r>
        <w:rPr>
          <w:rFonts w:ascii="Times New Roman" w:hAnsi="Times New Roman" w:eastAsia="宋体" w:cs="Times New Roman"/>
          <w:sz w:val="24"/>
        </w:rPr>
        <w:fldChar w:fldCharType="separate"/>
      </w:r>
      <w:r>
        <w:rPr>
          <w:rFonts w:ascii="Times New Roman" w:hAnsi="Times New Roman" w:eastAsia="宋体" w:cs="Times New Roman"/>
          <w:sz w:val="24"/>
          <w:szCs w:val="24"/>
        </w:rPr>
        <w:t>表2.4</w:t>
      </w:r>
      <w:r>
        <w:rPr>
          <w:rFonts w:ascii="Times New Roman" w:hAnsi="Times New Roman" w:eastAsia="宋体" w:cs="Times New Roman"/>
          <w:sz w:val="24"/>
          <w:szCs w:val="24"/>
        </w:rPr>
        <w:noBreakHyphen/>
      </w:r>
      <w:r>
        <w:rPr>
          <w:rFonts w:ascii="Times New Roman" w:hAnsi="Times New Roman" w:eastAsia="宋体" w:cs="Times New Roman"/>
          <w:sz w:val="24"/>
          <w:szCs w:val="24"/>
        </w:rPr>
        <w:t>2</w:t>
      </w:r>
      <w:r>
        <w:rPr>
          <w:rFonts w:ascii="Times New Roman" w:hAnsi="Times New Roman" w:eastAsia="宋体" w:cs="Times New Roman"/>
          <w:sz w:val="24"/>
        </w:rPr>
        <w:fldChar w:fldCharType="end"/>
      </w:r>
      <w:r>
        <w:rPr>
          <w:rFonts w:ascii="Times New Roman" w:hAnsi="Times New Roman" w:eastAsia="宋体" w:cs="Times New Roman"/>
          <w:sz w:val="24"/>
        </w:rPr>
        <w:t>。</w:t>
      </w:r>
    </w:p>
    <w:p>
      <w:pPr>
        <w:pStyle w:val="22"/>
      </w:pPr>
      <w:bookmarkStart w:id="16" w:name="_Ref27042154"/>
      <w:r>
        <w:t>表</w:t>
      </w:r>
      <w:r>
        <w:fldChar w:fldCharType="begin"/>
      </w:r>
      <w:r>
        <w:instrText xml:space="preserve"> STYLEREF 2 \s </w:instrText>
      </w:r>
      <w:r>
        <w:fldChar w:fldCharType="separate"/>
      </w:r>
      <w:r>
        <w:t>2.4</w:t>
      </w:r>
      <w:r>
        <w:fldChar w:fldCharType="end"/>
      </w:r>
      <w:r>
        <w:noBreakHyphen/>
      </w:r>
      <w:r>
        <w:fldChar w:fldCharType="begin"/>
      </w:r>
      <w:r>
        <w:instrText xml:space="preserve"> SEQ 表 \* ARABIC \s 2 </w:instrText>
      </w:r>
      <w:r>
        <w:fldChar w:fldCharType="separate"/>
      </w:r>
      <w:r>
        <w:t>2</w:t>
      </w:r>
      <w:r>
        <w:fldChar w:fldCharType="end"/>
      </w:r>
      <w:bookmarkEnd w:id="16"/>
      <w:r>
        <w:t xml:space="preserve">  本项目各污染物因子Pi值计算结果</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224"/>
        <w:gridCol w:w="1545"/>
        <w:gridCol w:w="1545"/>
        <w:gridCol w:w="1545"/>
        <w:gridCol w:w="1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2697" w:type="dxa"/>
            <w:gridSpan w:val="2"/>
            <w:vAlign w:val="center"/>
          </w:tcPr>
          <w:p>
            <w:pPr>
              <w:adjustRightInd w:val="0"/>
              <w:snapToGrid w:val="0"/>
              <w:ind w:firstLine="420" w:firstLineChars="20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污染源名称</w:t>
            </w:r>
          </w:p>
        </w:tc>
        <w:tc>
          <w:tcPr>
            <w:tcW w:w="1545" w:type="dxa"/>
            <w:vAlign w:val="center"/>
          </w:tcPr>
          <w:p>
            <w:pPr>
              <w:adjustRightInd w:val="0"/>
              <w:snapToGrid w:val="0"/>
              <w:jc w:val="center"/>
              <w:rPr>
                <w:rFonts w:ascii="Times New Roman" w:hAnsi="Times New Roman" w:eastAsia="宋体" w:cs="Times New Roman"/>
                <w:color w:val="000000" w:themeColor="text1"/>
                <w:szCs w:val="21"/>
                <w:vertAlign w:val="subscript"/>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w:t>
            </w:r>
            <w:r>
              <w:rPr>
                <w:rFonts w:ascii="Times New Roman" w:hAnsi="Times New Roman" w:eastAsia="宋体" w:cs="Times New Roman"/>
                <w:color w:val="000000" w:themeColor="text1"/>
                <w:szCs w:val="21"/>
                <w:vertAlign w:val="subscript"/>
                <w14:textFill>
                  <w14:solidFill>
                    <w14:schemeClr w14:val="tx1"/>
                  </w14:solidFill>
                </w14:textFill>
              </w:rPr>
              <w:t>i</w:t>
            </w:r>
            <w:r>
              <w:rPr>
                <w:rFonts w:ascii="Times New Roman" w:hAnsi="Times New Roman" w:eastAsia="宋体" w:cs="Times New Roman"/>
                <w:color w:val="000000" w:themeColor="text1"/>
                <w:szCs w:val="21"/>
                <w14:textFill>
                  <w14:solidFill>
                    <w14:schemeClr w14:val="tx1"/>
                  </w14:solidFill>
                </w14:textFill>
              </w:rPr>
              <w:t>（μg /m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54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C</w:t>
            </w:r>
            <w:r>
              <w:rPr>
                <w:rFonts w:ascii="Times New Roman" w:hAnsi="Times New Roman" w:eastAsia="宋体" w:cs="Times New Roman"/>
                <w:color w:val="000000" w:themeColor="text1"/>
                <w:szCs w:val="21"/>
                <w:vertAlign w:val="subscript"/>
                <w14:textFill>
                  <w14:solidFill>
                    <w14:schemeClr w14:val="tx1"/>
                  </w14:solidFill>
                </w14:textFill>
              </w:rPr>
              <w:t>0</w:t>
            </w:r>
            <w:r>
              <w:rPr>
                <w:rFonts w:ascii="Times New Roman" w:hAnsi="Times New Roman" w:eastAsia="宋体" w:cs="Times New Roman"/>
                <w:color w:val="000000" w:themeColor="text1"/>
                <w:szCs w:val="21"/>
                <w14:textFill>
                  <w14:solidFill>
                    <w14:schemeClr w14:val="tx1"/>
                  </w14:solidFill>
                </w14:textFill>
              </w:rPr>
              <w:t>（μg/m</w:t>
            </w:r>
            <w:r>
              <w:rPr>
                <w:rFonts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p>
        </w:tc>
        <w:tc>
          <w:tcPr>
            <w:tcW w:w="1545"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w:t>
            </w:r>
            <w:r>
              <w:rPr>
                <w:rFonts w:ascii="Times New Roman" w:hAnsi="Times New Roman" w:eastAsia="宋体" w:cs="Times New Roman"/>
                <w:color w:val="000000" w:themeColor="text1"/>
                <w:szCs w:val="21"/>
                <w:vertAlign w:val="subscript"/>
                <w14:textFill>
                  <w14:solidFill>
                    <w14:schemeClr w14:val="tx1"/>
                  </w14:solidFill>
                </w14:textFill>
              </w:rPr>
              <w:t>i</w:t>
            </w:r>
            <w:r>
              <w:rPr>
                <w:rFonts w:ascii="Times New Roman" w:hAnsi="Times New Roman" w:eastAsia="宋体" w:cs="Times New Roman"/>
                <w:color w:val="000000" w:themeColor="text1"/>
                <w:szCs w:val="21"/>
                <w14:textFill>
                  <w14:solidFill>
                    <w14:schemeClr w14:val="tx1"/>
                  </w14:solidFill>
                </w14:textFill>
              </w:rPr>
              <w:t>（%）</w:t>
            </w:r>
          </w:p>
        </w:tc>
        <w:tc>
          <w:tcPr>
            <w:tcW w:w="1538" w:type="dxa"/>
            <w:vAlign w:val="center"/>
          </w:tcPr>
          <w:p>
            <w:pPr>
              <w:adjustRightInd w:val="0"/>
              <w:snapToGrid w:val="0"/>
              <w:jc w:val="center"/>
              <w:rPr>
                <w:rFonts w:ascii="Times New Roman" w:hAnsi="Times New Roman" w:eastAsia="宋体" w:cs="Times New Roman"/>
                <w:color w:val="000000" w:themeColor="text1"/>
                <w:szCs w:val="21"/>
                <w:vertAlign w:val="subscript"/>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D</w:t>
            </w:r>
            <w:r>
              <w:rPr>
                <w:rFonts w:ascii="Times New Roman" w:hAnsi="Times New Roman" w:eastAsia="宋体" w:cs="Times New Roman"/>
                <w:color w:val="000000" w:themeColor="text1"/>
                <w:szCs w:val="21"/>
                <w:vertAlign w:val="subscript"/>
                <w14:textFill>
                  <w14:solidFill>
                    <w14:schemeClr w14:val="tx1"/>
                  </w14:solidFill>
                </w14:textFill>
              </w:rPr>
              <w:t>10%</w:t>
            </w:r>
          </w:p>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restart"/>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采暖</w:t>
            </w:r>
            <w:r>
              <w:rPr>
                <w:color w:val="000000" w:themeColor="text1"/>
                <w14:textFill>
                  <w14:solidFill>
                    <w14:schemeClr w14:val="tx1"/>
                  </w14:solidFill>
                </w14:textFill>
              </w:rPr>
              <w:t>锅炉</w:t>
            </w: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45" w:type="dxa"/>
            <w:vAlign w:val="center"/>
          </w:tcPr>
          <w:p>
            <w:pPr>
              <w:pStyle w:val="43"/>
              <w:rPr>
                <w:color w:val="FF0000"/>
              </w:rPr>
            </w:pPr>
            <w:r>
              <w:rPr>
                <w:rFonts w:hint="eastAsia"/>
                <w:color w:val="FF0000"/>
              </w:rPr>
              <w:t>2.8083</w:t>
            </w:r>
          </w:p>
        </w:tc>
        <w:tc>
          <w:tcPr>
            <w:tcW w:w="1545" w:type="dxa"/>
            <w:vAlign w:val="center"/>
          </w:tcPr>
          <w:p>
            <w:pPr>
              <w:pStyle w:val="43"/>
            </w:pPr>
            <w:r>
              <w:t>450.0</w:t>
            </w:r>
          </w:p>
        </w:tc>
        <w:tc>
          <w:tcPr>
            <w:tcW w:w="1545" w:type="dxa"/>
            <w:vAlign w:val="center"/>
          </w:tcPr>
          <w:p>
            <w:pPr>
              <w:pStyle w:val="43"/>
              <w:rPr>
                <w:color w:val="FF0000"/>
              </w:rPr>
            </w:pPr>
            <w:r>
              <w:rPr>
                <w:color w:val="FF0000"/>
              </w:rPr>
              <w:t>0.6240</w:t>
            </w:r>
          </w:p>
        </w:tc>
        <w:tc>
          <w:tcPr>
            <w:tcW w:w="153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continue"/>
            <w:vAlign w:val="center"/>
          </w:tcPr>
          <w:p>
            <w:pPr>
              <w:pStyle w:val="43"/>
              <w:rPr>
                <w:color w:val="000000" w:themeColor="text1"/>
                <w14:textFill>
                  <w14:solidFill>
                    <w14:schemeClr w14:val="tx1"/>
                  </w14:solidFill>
                </w14:textFill>
              </w:rPr>
            </w:pP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1545" w:type="dxa"/>
            <w:vAlign w:val="center"/>
          </w:tcPr>
          <w:p>
            <w:pPr>
              <w:pStyle w:val="43"/>
              <w:rPr>
                <w:color w:val="FF0000"/>
              </w:rPr>
            </w:pPr>
            <w:r>
              <w:rPr>
                <w:rFonts w:hint="eastAsia"/>
                <w:color w:val="FF0000"/>
              </w:rPr>
              <w:t>4.6804</w:t>
            </w:r>
          </w:p>
        </w:tc>
        <w:tc>
          <w:tcPr>
            <w:tcW w:w="1545" w:type="dxa"/>
            <w:vAlign w:val="center"/>
          </w:tcPr>
          <w:p>
            <w:pPr>
              <w:pStyle w:val="43"/>
            </w:pPr>
            <w:r>
              <w:t>500.0</w:t>
            </w:r>
          </w:p>
        </w:tc>
        <w:tc>
          <w:tcPr>
            <w:tcW w:w="1545" w:type="dxa"/>
            <w:vAlign w:val="center"/>
          </w:tcPr>
          <w:p>
            <w:pPr>
              <w:pStyle w:val="43"/>
              <w:rPr>
                <w:color w:val="FF0000"/>
              </w:rPr>
            </w:pPr>
            <w:r>
              <w:rPr>
                <w:color w:val="FF0000"/>
              </w:rPr>
              <w:t>0.9361</w:t>
            </w:r>
          </w:p>
        </w:tc>
        <w:tc>
          <w:tcPr>
            <w:tcW w:w="1538" w:type="dxa"/>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continue"/>
            <w:vAlign w:val="center"/>
          </w:tcPr>
          <w:p>
            <w:pPr>
              <w:pStyle w:val="43"/>
              <w:rPr>
                <w:color w:val="000000" w:themeColor="text1"/>
                <w14:textFill>
                  <w14:solidFill>
                    <w14:schemeClr w14:val="tx1"/>
                  </w14:solidFill>
                </w14:textFill>
              </w:rPr>
            </w:pP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x</w:t>
            </w:r>
          </w:p>
        </w:tc>
        <w:tc>
          <w:tcPr>
            <w:tcW w:w="1545" w:type="dxa"/>
            <w:vAlign w:val="center"/>
          </w:tcPr>
          <w:p>
            <w:pPr>
              <w:pStyle w:val="43"/>
              <w:rPr>
                <w:color w:val="FF0000"/>
              </w:rPr>
            </w:pPr>
            <w:r>
              <w:rPr>
                <w:rFonts w:hint="eastAsia"/>
                <w:color w:val="FF0000"/>
              </w:rPr>
              <w:t>7.0987</w:t>
            </w:r>
          </w:p>
        </w:tc>
        <w:tc>
          <w:tcPr>
            <w:tcW w:w="1545" w:type="dxa"/>
            <w:vAlign w:val="center"/>
          </w:tcPr>
          <w:p>
            <w:pPr>
              <w:pStyle w:val="43"/>
            </w:pPr>
            <w:r>
              <w:t>250.0</w:t>
            </w:r>
          </w:p>
        </w:tc>
        <w:tc>
          <w:tcPr>
            <w:tcW w:w="1545" w:type="dxa"/>
            <w:vAlign w:val="center"/>
          </w:tcPr>
          <w:p>
            <w:pPr>
              <w:pStyle w:val="43"/>
              <w:rPr>
                <w:color w:val="FF0000"/>
              </w:rPr>
            </w:pPr>
            <w:r>
              <w:rPr>
                <w:color w:val="FF0000"/>
              </w:rPr>
              <w:t>2.8395</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热水</w:t>
            </w:r>
            <w:r>
              <w:rPr>
                <w:rFonts w:ascii="Times New Roman" w:hAnsi="Times New Roman" w:eastAsia="宋体" w:cs="Times New Roman"/>
                <w:color w:val="000000" w:themeColor="text1"/>
                <w:szCs w:val="21"/>
                <w14:textFill>
                  <w14:solidFill>
                    <w14:schemeClr w14:val="tx1"/>
                  </w14:solidFill>
                </w14:textFill>
              </w:rPr>
              <w:t>锅炉</w:t>
            </w: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1545" w:type="dxa"/>
            <w:vAlign w:val="center"/>
          </w:tcPr>
          <w:p>
            <w:pPr>
              <w:pStyle w:val="43"/>
            </w:pPr>
            <w:r>
              <w:t>1.3041</w:t>
            </w:r>
          </w:p>
        </w:tc>
        <w:tc>
          <w:tcPr>
            <w:tcW w:w="1545" w:type="dxa"/>
            <w:vAlign w:val="center"/>
          </w:tcPr>
          <w:p>
            <w:pPr>
              <w:pStyle w:val="43"/>
            </w:pPr>
            <w:r>
              <w:t>450.0</w:t>
            </w:r>
          </w:p>
        </w:tc>
        <w:tc>
          <w:tcPr>
            <w:tcW w:w="1545" w:type="dxa"/>
            <w:vAlign w:val="center"/>
          </w:tcPr>
          <w:p>
            <w:pPr>
              <w:pStyle w:val="43"/>
            </w:pPr>
            <w:r>
              <w:t>0.2898</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p>
        </w:tc>
        <w:tc>
          <w:tcPr>
            <w:tcW w:w="1545" w:type="dxa"/>
            <w:vAlign w:val="center"/>
          </w:tcPr>
          <w:p>
            <w:pPr>
              <w:pStyle w:val="43"/>
            </w:pPr>
            <w:r>
              <w:t>2.1735</w:t>
            </w:r>
          </w:p>
        </w:tc>
        <w:tc>
          <w:tcPr>
            <w:tcW w:w="1545" w:type="dxa"/>
            <w:vAlign w:val="center"/>
          </w:tcPr>
          <w:p>
            <w:pPr>
              <w:pStyle w:val="43"/>
            </w:pPr>
            <w:r>
              <w:t>500.0</w:t>
            </w:r>
          </w:p>
        </w:tc>
        <w:tc>
          <w:tcPr>
            <w:tcW w:w="1545" w:type="dxa"/>
            <w:vAlign w:val="center"/>
          </w:tcPr>
          <w:p>
            <w:pPr>
              <w:pStyle w:val="43"/>
            </w:pPr>
            <w:r>
              <w:t>0.4347</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224" w:type="dxa"/>
            <w:vAlign w:val="center"/>
          </w:tcPr>
          <w:p>
            <w:pPr>
              <w:pStyle w:val="43"/>
              <w:rPr>
                <w:color w:val="000000" w:themeColor="text1"/>
                <w14:textFill>
                  <w14:solidFill>
                    <w14:schemeClr w14:val="tx1"/>
                  </w14:solidFill>
                </w14:textFill>
              </w:rPr>
            </w:pPr>
            <w:r>
              <w:rPr>
                <w:rFonts w:hint="eastAsia"/>
                <w:color w:val="000000" w:themeColor="text1"/>
                <w14:textFill>
                  <w14:solidFill>
                    <w14:schemeClr w14:val="tx1"/>
                  </w14:solidFill>
                </w14:textFill>
              </w:rPr>
              <w:t>N</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x</w:t>
            </w:r>
          </w:p>
        </w:tc>
        <w:tc>
          <w:tcPr>
            <w:tcW w:w="1545" w:type="dxa"/>
            <w:vAlign w:val="center"/>
          </w:tcPr>
          <w:p>
            <w:pPr>
              <w:pStyle w:val="43"/>
            </w:pPr>
            <w:r>
              <w:t>3.2844</w:t>
            </w:r>
          </w:p>
        </w:tc>
        <w:tc>
          <w:tcPr>
            <w:tcW w:w="1545" w:type="dxa"/>
            <w:vAlign w:val="center"/>
          </w:tcPr>
          <w:p>
            <w:pPr>
              <w:pStyle w:val="43"/>
            </w:pPr>
            <w:r>
              <w:t>250.0</w:t>
            </w:r>
          </w:p>
        </w:tc>
        <w:tc>
          <w:tcPr>
            <w:tcW w:w="1545" w:type="dxa"/>
            <w:vAlign w:val="center"/>
          </w:tcPr>
          <w:p>
            <w:pPr>
              <w:pStyle w:val="43"/>
            </w:pPr>
            <w:r>
              <w:t>1.3138</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restart"/>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污水</w:t>
            </w:r>
            <w:r>
              <w:rPr>
                <w:rFonts w:ascii="Times New Roman" w:hAnsi="Times New Roman" w:eastAsia="宋体" w:cs="Times New Roman"/>
                <w:color w:val="000000" w:themeColor="text1"/>
                <w:szCs w:val="21"/>
                <w14:textFill>
                  <w14:solidFill>
                    <w14:schemeClr w14:val="tx1"/>
                  </w14:solidFill>
                </w14:textFill>
              </w:rPr>
              <w:t>处理站</w:t>
            </w:r>
          </w:p>
        </w:tc>
        <w:tc>
          <w:tcPr>
            <w:tcW w:w="1224" w:type="dxa"/>
            <w:vAlign w:val="center"/>
          </w:tcPr>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p>
        </w:tc>
        <w:tc>
          <w:tcPr>
            <w:tcW w:w="1545" w:type="dxa"/>
            <w:vAlign w:val="center"/>
          </w:tcPr>
          <w:p>
            <w:pPr>
              <w:pStyle w:val="43"/>
            </w:pPr>
            <w:r>
              <w:t>0.3612</w:t>
            </w:r>
          </w:p>
        </w:tc>
        <w:tc>
          <w:tcPr>
            <w:tcW w:w="1545" w:type="dxa"/>
            <w:vAlign w:val="center"/>
          </w:tcPr>
          <w:p>
            <w:pPr>
              <w:pStyle w:val="43"/>
            </w:pPr>
            <w:r>
              <w:t>200.0</w:t>
            </w:r>
          </w:p>
        </w:tc>
        <w:tc>
          <w:tcPr>
            <w:tcW w:w="1545" w:type="dxa"/>
            <w:vAlign w:val="center"/>
          </w:tcPr>
          <w:p>
            <w:pPr>
              <w:pStyle w:val="43"/>
            </w:pPr>
            <w:r>
              <w:t>0.1806</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473" w:type="dxa"/>
            <w:vMerge w:val="continue"/>
            <w:vAlign w:val="center"/>
          </w:tcPr>
          <w:p>
            <w:pPr>
              <w:adjustRightInd w:val="0"/>
              <w:snapToGrid w:val="0"/>
              <w:jc w:val="center"/>
              <w:rPr>
                <w:rFonts w:ascii="Times New Roman" w:hAnsi="Times New Roman" w:eastAsia="宋体" w:cs="Times New Roman"/>
                <w:color w:val="000000" w:themeColor="text1"/>
                <w:szCs w:val="21"/>
                <w14:textFill>
                  <w14:solidFill>
                    <w14:schemeClr w14:val="tx1"/>
                  </w14:solidFill>
                </w14:textFill>
              </w:rPr>
            </w:pPr>
          </w:p>
        </w:tc>
        <w:tc>
          <w:tcPr>
            <w:tcW w:w="1224" w:type="dxa"/>
            <w:vAlign w:val="center"/>
          </w:tcPr>
          <w:p>
            <w:pPr>
              <w:pStyle w:val="78"/>
              <w:rPr>
                <w:color w:val="000000" w:themeColor="text1"/>
                <w14:textFill>
                  <w14:solidFill>
                    <w14:schemeClr w14:val="tx1"/>
                  </w14:solidFill>
                </w14:textFill>
              </w:rPr>
            </w:pP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S</w:t>
            </w:r>
          </w:p>
        </w:tc>
        <w:tc>
          <w:tcPr>
            <w:tcW w:w="1545" w:type="dxa"/>
            <w:vAlign w:val="center"/>
          </w:tcPr>
          <w:p>
            <w:pPr>
              <w:pStyle w:val="43"/>
            </w:pPr>
            <w:r>
              <w:t>0.0120</w:t>
            </w:r>
          </w:p>
        </w:tc>
        <w:tc>
          <w:tcPr>
            <w:tcW w:w="1545" w:type="dxa"/>
            <w:vAlign w:val="center"/>
          </w:tcPr>
          <w:p>
            <w:pPr>
              <w:pStyle w:val="43"/>
            </w:pPr>
            <w:r>
              <w:t>10.0</w:t>
            </w:r>
          </w:p>
        </w:tc>
        <w:tc>
          <w:tcPr>
            <w:tcW w:w="1545" w:type="dxa"/>
            <w:vAlign w:val="center"/>
          </w:tcPr>
          <w:p>
            <w:pPr>
              <w:pStyle w:val="43"/>
            </w:pPr>
            <w:r>
              <w:t>0.1204</w:t>
            </w:r>
          </w:p>
        </w:tc>
        <w:tc>
          <w:tcPr>
            <w:tcW w:w="1538" w:type="dxa"/>
            <w:vAlign w:val="center"/>
          </w:tcPr>
          <w:p>
            <w:pPr>
              <w:adjustRightInd w:val="0"/>
              <w:snapToGrid w:val="0"/>
              <w:jc w:val="center"/>
              <w:textAlignment w:val="baseline"/>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w:t>
            </w:r>
          </w:p>
        </w:tc>
      </w:tr>
    </w:tbl>
    <w:p>
      <w:pPr>
        <w:pStyle w:val="40"/>
        <w:ind w:firstLine="480"/>
      </w:pPr>
      <w:r>
        <w:t>根据表2.4-2可知，项目</w:t>
      </w:r>
      <w:r>
        <w:rPr>
          <w:rFonts w:hint="eastAsia"/>
        </w:rPr>
        <w:t>建成后</w:t>
      </w:r>
      <w:r>
        <w:t>，各污染源排放的污染物下风向最大落地浓度Pmax</w:t>
      </w:r>
      <w:r>
        <w:rPr>
          <w:rFonts w:hint="eastAsia"/>
        </w:rPr>
        <w:t>出现</w:t>
      </w:r>
      <w:r>
        <w:t>为</w:t>
      </w:r>
      <w:r>
        <w:rPr>
          <w:rFonts w:hint="eastAsia"/>
        </w:rPr>
        <w:t>采暖</w:t>
      </w:r>
      <w:r>
        <w:t>锅炉</w:t>
      </w:r>
      <w:r>
        <w:rPr>
          <w:color w:val="000000" w:themeColor="text1"/>
          <w14:textFill>
            <w14:solidFill>
              <w14:schemeClr w14:val="tx1"/>
            </w14:solidFill>
          </w14:textFill>
        </w:rPr>
        <w:t>排气筒P1排放的NOx</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Pmax=2.8395%&lt;10%。</w:t>
      </w:r>
      <w:r>
        <w:t>根据表2.4-1的评价工作等级评定依据，确定本次环境空气评价工作等级为</w:t>
      </w:r>
      <w:r>
        <w:rPr>
          <w:rFonts w:hint="eastAsia"/>
        </w:rPr>
        <w:t>二</w:t>
      </w:r>
      <w:r>
        <w:t>级。</w:t>
      </w:r>
    </w:p>
    <w:p>
      <w:pPr>
        <w:pStyle w:val="5"/>
      </w:pPr>
      <w:r>
        <w:rPr>
          <w:rFonts w:hint="eastAsia"/>
        </w:rPr>
        <w:t>评价</w:t>
      </w:r>
      <w:r>
        <w:t>范围</w:t>
      </w:r>
    </w:p>
    <w:p>
      <w:pPr>
        <w:pStyle w:val="40"/>
        <w:ind w:firstLine="480"/>
      </w:pPr>
      <w:r>
        <w:rPr>
          <w:rFonts w:hint="eastAsia"/>
        </w:rPr>
        <w:t>根据《环境影响评价技术导则-大气环境》（HJ2.2-2018）有关规定，当D10%小于2.5km时，评价范围为厂界外边长5km的矩形区域。</w:t>
      </w:r>
    </w:p>
    <w:p>
      <w:pPr>
        <w:pStyle w:val="4"/>
      </w:pPr>
      <w:r>
        <w:rPr>
          <w:rFonts w:hint="eastAsia"/>
        </w:rPr>
        <w:t>地表水</w:t>
      </w:r>
      <w:r>
        <w:t>环境影响评价工作等级</w:t>
      </w:r>
    </w:p>
    <w:p>
      <w:pPr>
        <w:pStyle w:val="40"/>
        <w:ind w:firstLine="480"/>
      </w:pPr>
      <w:r>
        <w:rPr>
          <w:rFonts w:hint="eastAsia"/>
        </w:rPr>
        <w:t>本项目废水</w:t>
      </w:r>
      <w:r>
        <w:t>主要为</w:t>
      </w:r>
      <w:r>
        <w:rPr>
          <w:rFonts w:hint="eastAsia"/>
        </w:rPr>
        <w:t>食堂</w:t>
      </w:r>
      <w:r>
        <w:t>废水、生活污水和医疗废水</w:t>
      </w:r>
      <w:r>
        <w:rPr>
          <w:rFonts w:hint="eastAsia"/>
        </w:rPr>
        <w:t>，进入</w:t>
      </w:r>
      <w:r>
        <w:t>污水处理站</w:t>
      </w:r>
      <w:r>
        <w:rPr>
          <w:rFonts w:hint="eastAsia"/>
        </w:rPr>
        <w:t>废水的排放量为</w:t>
      </w:r>
      <w:r>
        <w:t>195.32</w:t>
      </w:r>
      <w:r>
        <w:rPr>
          <w:rFonts w:hint="eastAsia"/>
        </w:rPr>
        <w:t>m</w:t>
      </w:r>
      <w:r>
        <w:rPr>
          <w:rFonts w:hint="eastAsia"/>
          <w:vertAlign w:val="superscript"/>
        </w:rPr>
        <w:t>3</w:t>
      </w:r>
      <w:r>
        <w:rPr>
          <w:rFonts w:hint="eastAsia"/>
        </w:rPr>
        <w:t>/d，食堂</w:t>
      </w:r>
      <w:r>
        <w:t>废水经隔油池</w:t>
      </w:r>
      <w:r>
        <w:rPr>
          <w:rFonts w:hint="eastAsia"/>
        </w:rPr>
        <w:t>预处理</w:t>
      </w:r>
      <w:r>
        <w:t>后、</w:t>
      </w:r>
      <w:r>
        <w:rPr>
          <w:rFonts w:hint="eastAsia"/>
        </w:rPr>
        <w:t>生活污水经化粪池预处理后，与医疗废水一同汇入自建污水处理站进行处理，达到《医疗机构水污染物排放标准》（GB18466-2005）预处理标准后，排入市政污水管网，进入安康市恒口示范区污水处理厂进一步处理。</w:t>
      </w:r>
    </w:p>
    <w:p>
      <w:pPr>
        <w:pStyle w:val="40"/>
        <w:ind w:firstLine="480"/>
      </w:pPr>
      <w:r>
        <w:rPr>
          <w:rFonts w:hint="eastAsia"/>
        </w:rPr>
        <w:t>本项目属于水污染影响型建设项目，废水排放方式属于间接排放，按照《环境影响评价技术导则  地面水环境》（HJ2.3-2018）中关于地面水环境影响评价分级判据，水环境影响评价等级为三级B，本次评价主要说明用排水量、水质状况，重点分析废水处理</w:t>
      </w:r>
      <w:r>
        <w:t>站措施可行性及</w:t>
      </w:r>
      <w:r>
        <w:rPr>
          <w:rFonts w:hint="eastAsia"/>
        </w:rPr>
        <w:t>依托污水处理厂的可行性。</w:t>
      </w:r>
    </w:p>
    <w:p>
      <w:pPr>
        <w:pStyle w:val="4"/>
      </w:pPr>
      <w:r>
        <w:rPr>
          <w:rFonts w:hint="eastAsia"/>
        </w:rPr>
        <w:t>地下水环境</w:t>
      </w:r>
      <w:r>
        <w:t>影响评价</w:t>
      </w:r>
      <w:r>
        <w:rPr>
          <w:rFonts w:hint="eastAsia"/>
        </w:rPr>
        <w:t>等级及</w:t>
      </w:r>
      <w:r>
        <w:t>评价范围</w:t>
      </w:r>
    </w:p>
    <w:p>
      <w:pPr>
        <w:pStyle w:val="40"/>
        <w:ind w:firstLine="480"/>
        <w:rPr>
          <w:highlight w:val="yellow"/>
        </w:rPr>
      </w:pPr>
      <w:r>
        <w:rPr>
          <w:rFonts w:hint="eastAsia"/>
        </w:rPr>
        <w:t>根据《环境影响评价技术导则 地下水环境》（HJ610-2016）附录A地下水环境影响评价行业分类表，确定本项目的类别为“</w:t>
      </w:r>
      <w:r>
        <w:t>V</w:t>
      </w:r>
      <w:r>
        <w:rPr>
          <w:rFonts w:hint="eastAsia"/>
        </w:rPr>
        <w:t>社会</w:t>
      </w:r>
      <w:r>
        <w:t>事业与服务业158</w:t>
      </w:r>
      <w:r>
        <w:rPr>
          <w:rFonts w:hint="eastAsia"/>
        </w:rPr>
        <w:t>、医院</w:t>
      </w:r>
      <w:r>
        <w:t>——</w:t>
      </w:r>
      <w:r>
        <w:rPr>
          <w:rFonts w:hint="eastAsia"/>
        </w:rPr>
        <w:t>新建</w:t>
      </w:r>
      <w:r>
        <w:t>、扩建</w:t>
      </w:r>
      <w:r>
        <w:rPr>
          <w:rFonts w:hint="eastAsia"/>
        </w:rPr>
        <w:t>报告书三甲</w:t>
      </w:r>
      <w:r>
        <w:t>为III</w:t>
      </w:r>
      <w:r>
        <w:rPr>
          <w:rFonts w:hint="eastAsia"/>
        </w:rPr>
        <w:t>类</w:t>
      </w:r>
      <w:r>
        <w:t>，其余为</w:t>
      </w:r>
      <w:r>
        <w:rPr>
          <w:rFonts w:hint="eastAsia"/>
        </w:rPr>
        <w:t>Ⅳ类</w:t>
      </w:r>
      <w:r>
        <w:t>”</w:t>
      </w:r>
      <w:r>
        <w:rPr>
          <w:rFonts w:hint="eastAsia"/>
        </w:rPr>
        <w:t>，项目为</w:t>
      </w:r>
      <w:r>
        <w:t>三级非</w:t>
      </w:r>
      <w:r>
        <w:rPr>
          <w:rFonts w:hint="eastAsia"/>
        </w:rPr>
        <w:t>三甲医院</w:t>
      </w:r>
      <w:r>
        <w:t>，</w:t>
      </w:r>
      <w:r>
        <w:rPr>
          <w:rFonts w:hint="eastAsia"/>
        </w:rPr>
        <w:t>地下水环境影响评价项目类别为Ⅳ类。</w:t>
      </w:r>
    </w:p>
    <w:p>
      <w:pPr>
        <w:pStyle w:val="40"/>
        <w:ind w:firstLine="480"/>
      </w:pPr>
      <w:r>
        <w:rPr>
          <w:rFonts w:hint="eastAsia"/>
        </w:rPr>
        <w:t>根据《环境影响评价技术导则 地下水环境》（HJ610-2016）第4.1条，Ⅳ类建设项目不开展地下水环境影响评价。</w:t>
      </w:r>
    </w:p>
    <w:p>
      <w:pPr>
        <w:pStyle w:val="4"/>
      </w:pPr>
      <w:r>
        <w:rPr>
          <w:rFonts w:hint="eastAsia"/>
        </w:rPr>
        <w:t>声环境影响</w:t>
      </w:r>
      <w:r>
        <w:t>评价</w:t>
      </w:r>
      <w:r>
        <w:rPr>
          <w:rFonts w:hint="eastAsia"/>
        </w:rPr>
        <w:t>等级及</w:t>
      </w:r>
      <w:r>
        <w:t>评价范围</w:t>
      </w:r>
    </w:p>
    <w:p>
      <w:pPr>
        <w:pStyle w:val="5"/>
      </w:pPr>
      <w:r>
        <w:rPr>
          <w:rFonts w:hint="eastAsia"/>
        </w:rPr>
        <w:t>评价</w:t>
      </w:r>
      <w:r>
        <w:t>等级</w:t>
      </w:r>
    </w:p>
    <w:p>
      <w:pPr>
        <w:pStyle w:val="40"/>
        <w:ind w:firstLine="480"/>
      </w:pPr>
      <w:r>
        <w:rPr>
          <w:rFonts w:hint="eastAsia"/>
        </w:rPr>
        <w:t>本项目位于《声环境质量标准》（GB3096-2008）规定的2类区，依据《环境影响评价技术导则  声环境》（HJ2.4-20</w:t>
      </w:r>
      <w:r>
        <w:t>21</w:t>
      </w:r>
      <w:r>
        <w:rPr>
          <w:rFonts w:hint="eastAsia"/>
        </w:rPr>
        <w:t>）中的有关规定，确定环境噪声评价工作级别见表2.4</w:t>
      </w:r>
      <w:r>
        <w:t>-3</w:t>
      </w:r>
      <w:r>
        <w:rPr>
          <w:rFonts w:hint="eastAsia"/>
        </w:rPr>
        <w:t>。</w:t>
      </w:r>
    </w:p>
    <w:p>
      <w:pPr>
        <w:pStyle w:val="22"/>
        <w:rPr>
          <w:kern w:val="0"/>
          <w:szCs w:val="20"/>
        </w:rPr>
      </w:pPr>
      <w:bookmarkStart w:id="17" w:name="_Ref27042202"/>
      <w:r>
        <w:t>表</w:t>
      </w:r>
      <w:r>
        <w:fldChar w:fldCharType="begin"/>
      </w:r>
      <w:r>
        <w:instrText xml:space="preserve"> STYLEREF 2 \s </w:instrText>
      </w:r>
      <w:r>
        <w:fldChar w:fldCharType="separate"/>
      </w:r>
      <w:r>
        <w:t>2.4</w:t>
      </w:r>
      <w:r>
        <w:fldChar w:fldCharType="end"/>
      </w:r>
      <w:r>
        <w:noBreakHyphen/>
      </w:r>
      <w:bookmarkEnd w:id="17"/>
      <w:r>
        <w:t>3</w:t>
      </w:r>
      <w:r>
        <w:rPr>
          <w:kern w:val="0"/>
          <w:szCs w:val="20"/>
        </w:rPr>
        <w:t xml:space="preserve">  声环境影响评价等级判定结果</w:t>
      </w:r>
    </w:p>
    <w:tbl>
      <w:tblPr>
        <w:tblStyle w:val="25"/>
        <w:tblW w:w="887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827"/>
        <w:gridCol w:w="1277"/>
        <w:gridCol w:w="1134"/>
        <w:gridCol w:w="1701"/>
        <w:gridCol w:w="29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12" w:space="0"/>
              <w:left w:val="single" w:color="auto" w:sz="12" w:space="0"/>
              <w:bottom w:val="single" w:color="auto" w:sz="4"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判别依据</w:t>
            </w:r>
          </w:p>
        </w:tc>
        <w:tc>
          <w:tcPr>
            <w:tcW w:w="1277" w:type="dxa"/>
            <w:tcBorders>
              <w:top w:val="single" w:color="auto" w:sz="12" w:space="0"/>
              <w:left w:val="single" w:color="auto" w:sz="6" w:space="0"/>
              <w:bottom w:val="single" w:color="auto" w:sz="4"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声环境功能区</w:t>
            </w:r>
          </w:p>
        </w:tc>
        <w:tc>
          <w:tcPr>
            <w:tcW w:w="1134" w:type="dxa"/>
            <w:tcBorders>
              <w:top w:val="single" w:color="auto" w:sz="12" w:space="0"/>
              <w:left w:val="single" w:color="auto" w:sz="6" w:space="0"/>
              <w:bottom w:val="single" w:color="auto" w:sz="4"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敏感目标噪声级增量</w:t>
            </w:r>
          </w:p>
        </w:tc>
        <w:tc>
          <w:tcPr>
            <w:tcW w:w="1701" w:type="dxa"/>
            <w:tcBorders>
              <w:top w:val="single" w:color="auto" w:sz="12" w:space="0"/>
              <w:left w:val="single" w:color="auto" w:sz="6" w:space="0"/>
              <w:bottom w:val="single" w:color="auto" w:sz="4"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受噪声影响范围内的人口数量</w:t>
            </w:r>
          </w:p>
        </w:tc>
        <w:tc>
          <w:tcPr>
            <w:tcW w:w="2931" w:type="dxa"/>
            <w:tcBorders>
              <w:top w:val="single" w:color="auto" w:sz="12" w:space="0"/>
              <w:left w:val="single" w:color="auto" w:sz="6" w:space="0"/>
              <w:bottom w:val="single" w:color="auto" w:sz="4"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4" w:space="0"/>
              <w:left w:val="single" w:color="auto" w:sz="12"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一级评价标准判据</w:t>
            </w:r>
          </w:p>
        </w:tc>
        <w:tc>
          <w:tcPr>
            <w:tcW w:w="1277"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0类及以上</w:t>
            </w:r>
          </w:p>
        </w:tc>
        <w:tc>
          <w:tcPr>
            <w:tcW w:w="1134"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 xml:space="preserve"> ＞</w:t>
            </w:r>
            <w:r>
              <w:rPr>
                <w:rFonts w:ascii="Times New Roman" w:hAnsi="Times New Roman" w:eastAsia="宋体" w:cs="Times New Roman"/>
                <w:kern w:val="0"/>
                <w:szCs w:val="20"/>
              </w:rPr>
              <w:t>5dB(A)</w:t>
            </w:r>
          </w:p>
        </w:tc>
        <w:tc>
          <w:tcPr>
            <w:tcW w:w="170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显着增多</w:t>
            </w:r>
          </w:p>
        </w:tc>
        <w:tc>
          <w:tcPr>
            <w:tcW w:w="2931" w:type="dxa"/>
            <w:vMerge w:val="restart"/>
            <w:tcBorders>
              <w:top w:val="single" w:color="auto" w:sz="4" w:space="0"/>
              <w:left w:val="single" w:color="auto" w:sz="6" w:space="0"/>
              <w:bottom w:val="single" w:color="auto" w:sz="6" w:space="0"/>
              <w:right w:val="single" w:color="auto" w:sz="12" w:space="0"/>
            </w:tcBorders>
            <w:vAlign w:val="center"/>
          </w:tcPr>
          <w:p>
            <w:pPr>
              <w:autoSpaceDE w:val="0"/>
              <w:autoSpaceDN w:val="0"/>
              <w:adjustRightInd w:val="0"/>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1、判断项目建设后声级增高的具体地点为距该项目声源最近的敏感目标处。</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二级评价标准判据</w:t>
            </w:r>
          </w:p>
        </w:tc>
        <w:tc>
          <w:tcPr>
            <w:tcW w:w="127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1类、2类</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3~5dB(A)</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增加较多</w:t>
            </w:r>
          </w:p>
        </w:tc>
        <w:tc>
          <w:tcPr>
            <w:tcW w:w="2931" w:type="dxa"/>
            <w:vMerge w:val="continue"/>
            <w:tcBorders>
              <w:top w:val="single" w:color="auto" w:sz="4" w:space="0"/>
              <w:left w:val="single" w:color="auto" w:sz="6" w:space="0"/>
              <w:bottom w:val="single" w:color="auto" w:sz="6"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三级评价标准判据</w:t>
            </w:r>
          </w:p>
        </w:tc>
        <w:tc>
          <w:tcPr>
            <w:tcW w:w="127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3类、4类</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r>
              <w:rPr>
                <w:rFonts w:ascii="Times New Roman" w:hAnsi="Times New Roman" w:eastAsia="宋体" w:cs="Times New Roman"/>
                <w:kern w:val="0"/>
                <w:szCs w:val="20"/>
              </w:rPr>
              <w:t>3dB(A)</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变化不大</w:t>
            </w:r>
          </w:p>
        </w:tc>
        <w:tc>
          <w:tcPr>
            <w:tcW w:w="2931" w:type="dxa"/>
            <w:vMerge w:val="continue"/>
            <w:tcBorders>
              <w:top w:val="single" w:color="auto" w:sz="4" w:space="0"/>
              <w:left w:val="single" w:color="auto" w:sz="6" w:space="0"/>
              <w:bottom w:val="single" w:color="auto" w:sz="6"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本项目</w:t>
            </w:r>
          </w:p>
        </w:tc>
        <w:tc>
          <w:tcPr>
            <w:tcW w:w="127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2类</w:t>
            </w:r>
          </w:p>
        </w:tc>
        <w:tc>
          <w:tcPr>
            <w:tcW w:w="11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r>
              <w:rPr>
                <w:rFonts w:ascii="Times New Roman" w:hAnsi="Times New Roman" w:eastAsia="宋体" w:cs="Times New Roman"/>
                <w:kern w:val="0"/>
                <w:szCs w:val="20"/>
              </w:rPr>
              <w:t>3dB(A)</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变化不大</w:t>
            </w:r>
          </w:p>
        </w:tc>
        <w:tc>
          <w:tcPr>
            <w:tcW w:w="2931"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0" w:hRule="atLeast"/>
          <w:jc w:val="center"/>
        </w:trPr>
        <w:tc>
          <w:tcPr>
            <w:tcW w:w="1827" w:type="dxa"/>
            <w:tcBorders>
              <w:top w:val="single" w:color="auto" w:sz="6" w:space="0"/>
              <w:left w:val="single" w:color="auto" w:sz="12" w:space="0"/>
              <w:bottom w:val="single" w:color="auto" w:sz="12"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评价等级</w:t>
            </w:r>
          </w:p>
        </w:tc>
        <w:tc>
          <w:tcPr>
            <w:tcW w:w="7043" w:type="dxa"/>
            <w:gridSpan w:val="4"/>
            <w:tcBorders>
              <w:top w:val="single" w:color="auto" w:sz="6" w:space="0"/>
              <w:left w:val="single" w:color="auto" w:sz="4" w:space="0"/>
              <w:bottom w:val="single" w:color="auto" w:sz="12"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二级</w:t>
            </w:r>
          </w:p>
        </w:tc>
      </w:tr>
    </w:tbl>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该项目位于2类区，建设前后评价范围内敏感点噪声级增高量在3dB(A)以下，且受影响人口数量变化不大，根据《环境影响评价技术导则 声环境》（HJ2.4-2021）声环境影响评价工作等级定为二级。</w:t>
      </w:r>
    </w:p>
    <w:p>
      <w:pPr>
        <w:pStyle w:val="5"/>
      </w:pPr>
      <w:r>
        <w:rPr>
          <w:rFonts w:hint="eastAsia"/>
        </w:rPr>
        <w:t>评价范围</w:t>
      </w:r>
    </w:p>
    <w:p>
      <w:pPr>
        <w:pStyle w:val="40"/>
        <w:ind w:firstLine="480"/>
      </w:pPr>
      <w:r>
        <w:rPr>
          <w:rFonts w:hint="eastAsia"/>
        </w:rPr>
        <w:t>根据《环境影响评价技术导则-声环境》（HJ2.4-20</w:t>
      </w:r>
      <w:r>
        <w:t>21</w:t>
      </w:r>
      <w:r>
        <w:rPr>
          <w:rFonts w:hint="eastAsia"/>
        </w:rPr>
        <w:t>）6.1中规定，本次环境噪声评价范围为项目厂界外200m。</w:t>
      </w:r>
    </w:p>
    <w:p>
      <w:pPr>
        <w:pStyle w:val="4"/>
      </w:pPr>
      <w:r>
        <w:rPr>
          <w:rFonts w:hint="eastAsia"/>
        </w:rPr>
        <w:t>环境</w:t>
      </w:r>
      <w:r>
        <w:t>风险评价</w:t>
      </w:r>
      <w:r>
        <w:rPr>
          <w:rFonts w:hint="eastAsia"/>
        </w:rPr>
        <w:t>等级及</w:t>
      </w:r>
      <w:r>
        <w:t>评价范围</w:t>
      </w:r>
    </w:p>
    <w:p>
      <w:pPr>
        <w:pStyle w:val="5"/>
      </w:pPr>
      <w:r>
        <w:rPr>
          <w:rFonts w:hint="eastAsia"/>
        </w:rPr>
        <w:t>评价</w:t>
      </w:r>
      <w:r>
        <w:t>等级</w:t>
      </w:r>
    </w:p>
    <w:p>
      <w:pPr>
        <w:pStyle w:val="40"/>
        <w:ind w:firstLine="480"/>
      </w:pPr>
      <w:r>
        <w:rPr>
          <w:rFonts w:hint="eastAsia"/>
        </w:rPr>
        <w:t>对照《建设项目环境风险评价技术导则》（HJ169-2018）附录B中重点关注的危险物质及临界量，本项目使用、储存过程中涉及突发环境事件风险的危险物质主要为污水</w:t>
      </w:r>
      <w:r>
        <w:t>处理站消毒使用的</w:t>
      </w:r>
      <w:r>
        <w:rPr>
          <w:rFonts w:hint="eastAsia"/>
        </w:rPr>
        <w:t>次氯酸钠消毒剂。根据《建设项目环境风险评价技术导则》（HJ169-2018），本项目危险物质数量与临界量比值Q计算结果见表</w:t>
      </w:r>
      <w:r>
        <w:t>2</w:t>
      </w:r>
      <w:r>
        <w:rPr>
          <w:rFonts w:hint="eastAsia"/>
        </w:rPr>
        <w:t>.4-</w:t>
      </w:r>
      <w:r>
        <w:t>4</w:t>
      </w:r>
      <w:r>
        <w:rPr>
          <w:rFonts w:hint="eastAsia"/>
        </w:rPr>
        <w:t>。</w:t>
      </w:r>
    </w:p>
    <w:p>
      <w:pPr>
        <w:pStyle w:val="22"/>
      </w:pPr>
      <w:r>
        <w:t xml:space="preserve">表2.4-4 </w:t>
      </w:r>
      <w:r>
        <w:rPr>
          <w:rFonts w:hint="eastAsia"/>
        </w:rPr>
        <w:t>危险</w:t>
      </w:r>
      <w:r>
        <w:t>物质数量与临界量比值Q</w:t>
      </w:r>
    </w:p>
    <w:tbl>
      <w:tblPr>
        <w:tblStyle w:val="25"/>
        <w:tblW w:w="89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18"/>
        <w:gridCol w:w="2551"/>
        <w:gridCol w:w="2268"/>
        <w:gridCol w:w="25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618" w:type="dxa"/>
            <w:vAlign w:val="center"/>
          </w:tcPr>
          <w:p>
            <w:pPr>
              <w:pStyle w:val="47"/>
            </w:pPr>
            <w:r>
              <w:t>物料名称</w:t>
            </w:r>
          </w:p>
        </w:tc>
        <w:tc>
          <w:tcPr>
            <w:tcW w:w="2551" w:type="dxa"/>
            <w:vAlign w:val="center"/>
          </w:tcPr>
          <w:p>
            <w:pPr>
              <w:pStyle w:val="47"/>
            </w:pPr>
            <w:r>
              <w:t>最大储量</w:t>
            </w:r>
          </w:p>
        </w:tc>
        <w:tc>
          <w:tcPr>
            <w:tcW w:w="2268" w:type="dxa"/>
            <w:vAlign w:val="center"/>
          </w:tcPr>
          <w:p>
            <w:pPr>
              <w:pStyle w:val="47"/>
            </w:pPr>
            <w:r>
              <w:t>规定临界量</w:t>
            </w:r>
          </w:p>
        </w:tc>
        <w:tc>
          <w:tcPr>
            <w:tcW w:w="2523" w:type="dxa"/>
            <w:vAlign w:val="center"/>
          </w:tcPr>
          <w:p>
            <w:pPr>
              <w:pStyle w:val="47"/>
            </w:pPr>
            <w:r>
              <w:t>q/Q</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1618" w:type="dxa"/>
          </w:tcPr>
          <w:p>
            <w:pPr>
              <w:pStyle w:val="47"/>
            </w:pPr>
            <w:r>
              <w:rPr>
                <w:rFonts w:hint="eastAsia"/>
              </w:rPr>
              <w:t>次氯酸钠</w:t>
            </w:r>
          </w:p>
        </w:tc>
        <w:tc>
          <w:tcPr>
            <w:tcW w:w="2551" w:type="dxa"/>
          </w:tcPr>
          <w:p>
            <w:pPr>
              <w:pStyle w:val="47"/>
            </w:pPr>
            <w:r>
              <w:rPr>
                <w:rFonts w:hint="eastAsia"/>
              </w:rPr>
              <w:t>0.1</w:t>
            </w:r>
            <w:r>
              <w:t>t</w:t>
            </w:r>
          </w:p>
        </w:tc>
        <w:tc>
          <w:tcPr>
            <w:tcW w:w="2268" w:type="dxa"/>
            <w:vAlign w:val="center"/>
          </w:tcPr>
          <w:p>
            <w:pPr>
              <w:pStyle w:val="47"/>
            </w:pPr>
            <w:r>
              <w:t>5t</w:t>
            </w:r>
          </w:p>
        </w:tc>
        <w:tc>
          <w:tcPr>
            <w:tcW w:w="2523" w:type="dxa"/>
            <w:vAlign w:val="bottom"/>
          </w:tcPr>
          <w:p>
            <w:pPr>
              <w:pStyle w:val="47"/>
              <w:rPr>
                <w:color w:val="000000"/>
                <w:szCs w:val="21"/>
              </w:rPr>
            </w:pPr>
            <w:r>
              <w:rPr>
                <w:color w:val="00000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6437" w:type="dxa"/>
            <w:gridSpan w:val="3"/>
            <w:vAlign w:val="center"/>
          </w:tcPr>
          <w:p>
            <w:pPr>
              <w:pStyle w:val="47"/>
            </w:pPr>
            <w:r>
              <w:rPr>
                <w:rFonts w:hint="eastAsia"/>
              </w:rPr>
              <w:t>Q值</w:t>
            </w:r>
          </w:p>
        </w:tc>
        <w:tc>
          <w:tcPr>
            <w:tcW w:w="2523" w:type="dxa"/>
            <w:vAlign w:val="center"/>
          </w:tcPr>
          <w:p>
            <w:pPr>
              <w:pStyle w:val="47"/>
            </w:pPr>
            <w:r>
              <w:rPr>
                <w:rFonts w:hint="eastAsia"/>
              </w:rPr>
              <w:t>0.02</w:t>
            </w:r>
          </w:p>
        </w:tc>
      </w:tr>
    </w:tbl>
    <w:p>
      <w:pPr>
        <w:autoSpaceDE w:val="0"/>
        <w:autoSpaceDN w:val="0"/>
        <w:adjustRightIn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根据《建设项目环境风险评价技术导则》（HJ169-2018），当</w:t>
      </w:r>
      <w:r>
        <w:rPr>
          <w:rFonts w:ascii="Times New Roman" w:hAnsi="Times New Roman" w:eastAsia="宋体" w:cs="Times New Roman"/>
          <w:kern w:val="0"/>
          <w:sz w:val="24"/>
        </w:rPr>
        <w:t>Q＜</w:t>
      </w:r>
      <w:r>
        <w:rPr>
          <w:rFonts w:hint="eastAsia" w:ascii="Times New Roman" w:hAnsi="Times New Roman" w:eastAsia="宋体" w:cs="Times New Roman"/>
          <w:kern w:val="0"/>
          <w:sz w:val="24"/>
        </w:rPr>
        <w:t>1时</w:t>
      </w:r>
      <w:r>
        <w:rPr>
          <w:rFonts w:ascii="Times New Roman" w:hAnsi="Times New Roman" w:eastAsia="宋体" w:cs="Times New Roman"/>
          <w:kern w:val="0"/>
          <w:sz w:val="24"/>
        </w:rPr>
        <w:t>，项目</w:t>
      </w:r>
      <w:r>
        <w:rPr>
          <w:rFonts w:hint="eastAsia" w:ascii="Times New Roman" w:hAnsi="Times New Roman" w:eastAsia="宋体" w:cs="Times New Roman"/>
          <w:kern w:val="0"/>
          <w:sz w:val="24"/>
        </w:rPr>
        <w:t>环境风险潜势为Ⅰ，环境风险评价工作等级为简单分析，风险影响评价工作等级划分见表</w:t>
      </w:r>
      <w:r>
        <w:rPr>
          <w:rFonts w:ascii="Times New Roman" w:hAnsi="Times New Roman" w:eastAsia="宋体" w:cs="Times New Roman"/>
          <w:kern w:val="0"/>
          <w:sz w:val="24"/>
        </w:rPr>
        <w:t>2.4-5。</w:t>
      </w:r>
    </w:p>
    <w:p>
      <w:pPr>
        <w:pStyle w:val="22"/>
      </w:pPr>
      <w:r>
        <w:t>表2.4-5  评价工作等级划分表</w:t>
      </w:r>
    </w:p>
    <w:tbl>
      <w:tblPr>
        <w:tblStyle w:val="25"/>
        <w:tblW w:w="8870" w:type="dxa"/>
        <w:tblInd w:w="0" w:type="dxa"/>
        <w:tblLayout w:type="fixed"/>
        <w:tblCellMar>
          <w:top w:w="0" w:type="dxa"/>
          <w:left w:w="0" w:type="dxa"/>
          <w:bottom w:w="0" w:type="dxa"/>
          <w:right w:w="0" w:type="dxa"/>
        </w:tblCellMar>
      </w:tblPr>
      <w:tblGrid>
        <w:gridCol w:w="1514"/>
        <w:gridCol w:w="1731"/>
        <w:gridCol w:w="1515"/>
        <w:gridCol w:w="2377"/>
        <w:gridCol w:w="1733"/>
      </w:tblGrid>
      <w:tr>
        <w:tblPrEx>
          <w:tblLayout w:type="fixed"/>
          <w:tblCellMar>
            <w:top w:w="0" w:type="dxa"/>
            <w:left w:w="0" w:type="dxa"/>
            <w:bottom w:w="0" w:type="dxa"/>
            <w:right w:w="0" w:type="dxa"/>
          </w:tblCellMar>
        </w:tblPrEx>
        <w:trPr>
          <w:trHeight w:val="340" w:hRule="atLeast"/>
        </w:trPr>
        <w:tc>
          <w:tcPr>
            <w:tcW w:w="1514" w:type="dxa"/>
            <w:tcBorders>
              <w:top w:val="single" w:color="000000" w:sz="12" w:space="0"/>
              <w:left w:val="single" w:color="000000" w:sz="12"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环境风险潜势</w:t>
            </w:r>
          </w:p>
        </w:tc>
        <w:tc>
          <w:tcPr>
            <w:tcW w:w="1731" w:type="dxa"/>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Ⅳ、Ⅳ+</w:t>
            </w:r>
          </w:p>
        </w:tc>
        <w:tc>
          <w:tcPr>
            <w:tcW w:w="1515" w:type="dxa"/>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Ⅲ</w:t>
            </w:r>
          </w:p>
        </w:tc>
        <w:tc>
          <w:tcPr>
            <w:tcW w:w="2377" w:type="dxa"/>
            <w:tcBorders>
              <w:top w:val="single" w:color="000000" w:sz="12"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Ⅱ</w:t>
            </w:r>
          </w:p>
        </w:tc>
        <w:tc>
          <w:tcPr>
            <w:tcW w:w="1733" w:type="dxa"/>
            <w:tcBorders>
              <w:top w:val="single" w:color="000000" w:sz="12" w:space="0"/>
              <w:left w:val="single" w:color="000000" w:sz="6" w:space="0"/>
              <w:bottom w:val="single" w:color="000000" w:sz="6" w:space="0"/>
              <w:right w:val="single" w:color="000000" w:sz="12"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Ⅰ</w:t>
            </w:r>
          </w:p>
        </w:tc>
      </w:tr>
      <w:tr>
        <w:tblPrEx>
          <w:tblLayout w:type="fixed"/>
          <w:tblCellMar>
            <w:top w:w="0" w:type="dxa"/>
            <w:left w:w="0" w:type="dxa"/>
            <w:bottom w:w="0" w:type="dxa"/>
            <w:right w:w="0" w:type="dxa"/>
          </w:tblCellMar>
        </w:tblPrEx>
        <w:trPr>
          <w:trHeight w:val="340" w:hRule="atLeast"/>
        </w:trPr>
        <w:tc>
          <w:tcPr>
            <w:tcW w:w="1514" w:type="dxa"/>
            <w:tcBorders>
              <w:top w:val="single" w:color="000000" w:sz="6" w:space="0"/>
              <w:left w:val="single" w:color="000000" w:sz="12"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评价工作等级</w:t>
            </w:r>
          </w:p>
        </w:tc>
        <w:tc>
          <w:tcPr>
            <w:tcW w:w="173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一</w:t>
            </w:r>
          </w:p>
        </w:tc>
        <w:tc>
          <w:tcPr>
            <w:tcW w:w="1515"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w:t>
            </w:r>
          </w:p>
        </w:tc>
        <w:tc>
          <w:tcPr>
            <w:tcW w:w="2377"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三</w:t>
            </w:r>
          </w:p>
        </w:tc>
        <w:tc>
          <w:tcPr>
            <w:tcW w:w="1733" w:type="dxa"/>
            <w:tcBorders>
              <w:top w:val="single" w:color="000000" w:sz="6" w:space="0"/>
              <w:left w:val="single" w:color="000000" w:sz="6" w:space="0"/>
              <w:bottom w:val="single" w:color="000000" w:sz="6" w:space="0"/>
              <w:right w:val="single" w:color="000000" w:sz="12"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简单分析</w:t>
            </w:r>
          </w:p>
        </w:tc>
      </w:tr>
      <w:tr>
        <w:tblPrEx>
          <w:tblLayout w:type="fixed"/>
          <w:tblCellMar>
            <w:top w:w="0" w:type="dxa"/>
            <w:left w:w="0" w:type="dxa"/>
            <w:bottom w:w="0" w:type="dxa"/>
            <w:right w:w="0" w:type="dxa"/>
          </w:tblCellMar>
        </w:tblPrEx>
        <w:trPr>
          <w:trHeight w:val="340" w:hRule="atLeast"/>
        </w:trPr>
        <w:tc>
          <w:tcPr>
            <w:tcW w:w="1514" w:type="dxa"/>
            <w:tcBorders>
              <w:top w:val="single" w:color="000000" w:sz="6" w:space="0"/>
              <w:left w:val="single" w:color="000000" w:sz="12" w:space="0"/>
              <w:bottom w:val="single" w:color="000000" w:sz="12" w:space="0"/>
              <w:right w:val="single" w:color="000000" w:sz="6"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本项目情况</w:t>
            </w:r>
          </w:p>
        </w:tc>
        <w:tc>
          <w:tcPr>
            <w:tcW w:w="7356" w:type="dxa"/>
            <w:gridSpan w:val="4"/>
            <w:tcBorders>
              <w:top w:val="single" w:color="000000" w:sz="6" w:space="0"/>
              <w:left w:val="single" w:color="000000" w:sz="6" w:space="0"/>
              <w:bottom w:val="single" w:color="000000" w:sz="12" w:space="0"/>
              <w:right w:val="single" w:color="000000" w:sz="12" w:space="0"/>
            </w:tcBorders>
            <w:shd w:val="clear" w:color="auto" w:fill="auto"/>
            <w:vAlign w:val="center"/>
          </w:tcPr>
          <w:p>
            <w:pPr>
              <w:widowControl/>
              <w:autoSpaceDE w:val="0"/>
              <w:autoSpaceDN w:val="0"/>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本项目</w:t>
            </w:r>
            <w:r>
              <w:rPr>
                <w:rFonts w:hint="eastAsia" w:ascii="Times New Roman" w:hAnsi="Times New Roman" w:eastAsia="宋体" w:cs="Times New Roman"/>
                <w:kern w:val="0"/>
                <w:szCs w:val="21"/>
              </w:rPr>
              <w:t>环境风险潜势为Ⅰ，环境风险评价工作等级为简单分析。</w:t>
            </w:r>
          </w:p>
        </w:tc>
      </w:tr>
    </w:tbl>
    <w:p>
      <w:pPr>
        <w:pStyle w:val="5"/>
      </w:pPr>
      <w:r>
        <w:rPr>
          <w:rFonts w:hint="eastAsia"/>
        </w:rPr>
        <w:t>评价</w:t>
      </w:r>
      <w:r>
        <w:t>范围</w:t>
      </w:r>
    </w:p>
    <w:p>
      <w:pPr>
        <w:pStyle w:val="40"/>
        <w:ind w:firstLine="480"/>
      </w:pPr>
      <w:r>
        <w:rPr>
          <w:rFonts w:hint="eastAsia"/>
        </w:rPr>
        <w:t>根据《建设项目环境风险评价技术导则》（HJ169-2018）及评价等级，本项目环境风险评价等级为简单分析，不设评价范围。</w:t>
      </w:r>
    </w:p>
    <w:p>
      <w:pPr>
        <w:pStyle w:val="4"/>
      </w:pPr>
      <w:r>
        <w:rPr>
          <w:rFonts w:hint="eastAsia"/>
        </w:rPr>
        <w:t>生态</w:t>
      </w:r>
      <w:r>
        <w:t>影响评价等级</w:t>
      </w:r>
      <w:r>
        <w:rPr>
          <w:rFonts w:hint="eastAsia"/>
        </w:rPr>
        <w:t>及</w:t>
      </w:r>
      <w:r>
        <w:t>评价范围</w:t>
      </w:r>
    </w:p>
    <w:p>
      <w:pPr>
        <w:pStyle w:val="5"/>
      </w:pPr>
      <w:r>
        <w:rPr>
          <w:rFonts w:hint="eastAsia"/>
        </w:rPr>
        <w:t>评价</w:t>
      </w:r>
      <w:r>
        <w:t>等级</w:t>
      </w:r>
    </w:p>
    <w:p>
      <w:pPr>
        <w:pStyle w:val="40"/>
        <w:ind w:firstLine="480"/>
      </w:pPr>
      <w:r>
        <w:rPr>
          <w:rFonts w:hint="eastAsia"/>
        </w:rPr>
        <w:t>根据《环境影响评价技术导则-生态影响》（HJ19-20</w:t>
      </w:r>
      <w:r>
        <w:t>22</w:t>
      </w:r>
      <w:r>
        <w:rPr>
          <w:rFonts w:hint="eastAsia"/>
        </w:rPr>
        <w:t>），依据建设</w:t>
      </w:r>
      <w:r>
        <w:t>项目</w:t>
      </w:r>
      <w:r>
        <w:rPr>
          <w:rFonts w:hint="eastAsia"/>
        </w:rPr>
        <w:t>影响区域的生态敏感性和影响</w:t>
      </w:r>
      <w:r>
        <w:t>程度</w:t>
      </w:r>
      <w:r>
        <w:rPr>
          <w:rFonts w:hint="eastAsia"/>
        </w:rPr>
        <w:t>，将生态影响评价工作等级划分为一级、二级和三级。</w:t>
      </w:r>
    </w:p>
    <w:p>
      <w:pPr>
        <w:pStyle w:val="40"/>
        <w:ind w:firstLine="480"/>
      </w:pPr>
      <w:r>
        <w:rPr>
          <w:rFonts w:hint="eastAsia"/>
        </w:rPr>
        <w:t>本项目位于安康市恒口示范区（试验区）月滨南大道，占地</w:t>
      </w:r>
      <w:r>
        <w:t>面积46666.67m</w:t>
      </w:r>
      <w:r>
        <w:rPr>
          <w:vertAlign w:val="superscript"/>
        </w:rPr>
        <w:t>2</w:t>
      </w:r>
      <w:r>
        <w:rPr>
          <w:rFonts w:hint="eastAsia" w:eastAsiaTheme="minorEastAsia"/>
        </w:rPr>
        <w:t>＜2</w:t>
      </w:r>
      <w:r>
        <w:rPr>
          <w:rFonts w:eastAsiaTheme="minorEastAsia"/>
        </w:rPr>
        <w:t>0km</w:t>
      </w:r>
      <w:r>
        <w:rPr>
          <w:rFonts w:eastAsiaTheme="minorEastAsia"/>
          <w:vertAlign w:val="superscript"/>
        </w:rPr>
        <w:t>2</w:t>
      </w:r>
      <w:r>
        <w:t>，</w:t>
      </w:r>
      <w:r>
        <w:rPr>
          <w:rFonts w:hint="eastAsia"/>
        </w:rPr>
        <w:t>用地</w:t>
      </w:r>
      <w:r>
        <w:t>性质属于</w:t>
      </w:r>
      <w:r>
        <w:rPr>
          <w:rFonts w:hint="eastAsia"/>
        </w:rPr>
        <w:t>医疗</w:t>
      </w:r>
      <w:r>
        <w:t>卫生用地，</w:t>
      </w:r>
      <w:r>
        <w:rPr>
          <w:rFonts w:hint="eastAsia"/>
        </w:rPr>
        <w:t>项目建设</w:t>
      </w:r>
      <w:r>
        <w:t>不涉及国家公园、自然保护区、</w:t>
      </w:r>
      <w:r>
        <w:rPr>
          <w:rFonts w:hint="eastAsia"/>
        </w:rPr>
        <w:t>世界</w:t>
      </w:r>
      <w:r>
        <w:t>自然</w:t>
      </w:r>
      <w:r>
        <w:rPr>
          <w:rFonts w:hint="eastAsia"/>
        </w:rPr>
        <w:t>遗产</w:t>
      </w:r>
      <w:r>
        <w:t>、重要生境，不涉及自然公园、不涉及生态红线等</w:t>
      </w:r>
      <w:r>
        <w:rPr>
          <w:rFonts w:hint="eastAsia"/>
        </w:rPr>
        <w:t>，</w:t>
      </w:r>
      <w:r>
        <w:t>根据</w:t>
      </w:r>
      <w:r>
        <w:rPr>
          <w:rFonts w:hint="eastAsia"/>
        </w:rPr>
        <w:t>《环境影响评价技术导则-生态影响》（HJ19-20</w:t>
      </w:r>
      <w:r>
        <w:t>22</w:t>
      </w:r>
      <w:r>
        <w:rPr>
          <w:rFonts w:hint="eastAsia"/>
        </w:rPr>
        <w:t>）6.1.2评价</w:t>
      </w:r>
      <w:r>
        <w:t>等级确定原则，项目属于其中</w:t>
      </w:r>
      <w:r>
        <w:rPr>
          <w:rFonts w:hint="eastAsia"/>
        </w:rPr>
        <w:t>除a）</w:t>
      </w:r>
      <w:r>
        <w:t>、b</w:t>
      </w:r>
      <w:r>
        <w:rPr>
          <w:rFonts w:hint="eastAsia"/>
        </w:rPr>
        <w:t>）、</w:t>
      </w:r>
      <w:r>
        <w:t>c</w:t>
      </w:r>
      <w:r>
        <w:rPr>
          <w:rFonts w:hint="eastAsia"/>
        </w:rPr>
        <w:t>）、</w:t>
      </w:r>
      <w:r>
        <w:t>d</w:t>
      </w:r>
      <w:r>
        <w:rPr>
          <w:rFonts w:hint="eastAsia"/>
        </w:rPr>
        <w:t>）、</w:t>
      </w:r>
      <w:r>
        <w:t>e</w:t>
      </w:r>
      <w:r>
        <w:rPr>
          <w:rFonts w:hint="eastAsia"/>
        </w:rPr>
        <w:t>）、</w:t>
      </w:r>
      <w:r>
        <w:t>f</w:t>
      </w:r>
      <w:r>
        <w:rPr>
          <w:rFonts w:hint="eastAsia"/>
        </w:rPr>
        <w:t>）以外</w:t>
      </w:r>
      <w:r>
        <w:t>的情况</w:t>
      </w:r>
      <w:r>
        <w:rPr>
          <w:rFonts w:hint="eastAsia"/>
        </w:rPr>
        <w:t>，</w:t>
      </w:r>
      <w:r>
        <w:t>评级等级为三级。</w:t>
      </w:r>
    </w:p>
    <w:p>
      <w:pPr>
        <w:pStyle w:val="5"/>
      </w:pPr>
      <w:r>
        <w:rPr>
          <w:rFonts w:hint="eastAsia"/>
        </w:rPr>
        <w:t>评价</w:t>
      </w:r>
      <w:r>
        <w:t>范围</w:t>
      </w:r>
    </w:p>
    <w:p>
      <w:pPr>
        <w:pStyle w:val="40"/>
        <w:ind w:firstLine="480"/>
      </w:pPr>
      <w:r>
        <w:rPr>
          <w:rFonts w:hint="eastAsia"/>
        </w:rPr>
        <w:t>根据《环境影响评价技术导则 生态影响》（HJ19-20</w:t>
      </w:r>
      <w:r>
        <w:t>22</w:t>
      </w:r>
      <w:r>
        <w:rPr>
          <w:rFonts w:hint="eastAsia"/>
        </w:rPr>
        <w:t>）6.2规定的关于评价范围</w:t>
      </w:r>
      <w:r>
        <w:t>的确定</w:t>
      </w:r>
      <w:r>
        <w:rPr>
          <w:rFonts w:hint="eastAsia"/>
        </w:rPr>
        <w:t>，确定本项目生态环境影响评价评价范围为项目</w:t>
      </w:r>
      <w:r>
        <w:t>占地范围</w:t>
      </w:r>
      <w:r>
        <w:rPr>
          <w:rFonts w:hint="eastAsia"/>
        </w:rPr>
        <w:t>。</w:t>
      </w:r>
    </w:p>
    <w:p>
      <w:pPr>
        <w:pStyle w:val="4"/>
      </w:pPr>
      <w:r>
        <w:rPr>
          <w:rFonts w:hint="eastAsia"/>
        </w:rPr>
        <w:t>土壤</w:t>
      </w:r>
      <w:r>
        <w:t>影响评价</w:t>
      </w:r>
      <w:r>
        <w:rPr>
          <w:rFonts w:hint="eastAsia"/>
        </w:rPr>
        <w:t>等级</w:t>
      </w:r>
    </w:p>
    <w:p>
      <w:pPr>
        <w:pStyle w:val="40"/>
        <w:ind w:firstLine="480"/>
      </w:pPr>
      <w:r>
        <w:rPr>
          <w:rFonts w:hint="eastAsia"/>
        </w:rPr>
        <w:t>根据《环境影响评价技术导则 土壤环境（试行）》（HJ964-2018）中附录A.1土壤环境影响评价项目类别，本项目恒口示范区</w:t>
      </w:r>
      <w:r>
        <w:t>（</w:t>
      </w:r>
      <w:r>
        <w:rPr>
          <w:rFonts w:hint="eastAsia"/>
        </w:rPr>
        <w:t>试验区</w:t>
      </w:r>
      <w:r>
        <w:t>）</w:t>
      </w:r>
      <w:r>
        <w:rPr>
          <w:rFonts w:hint="eastAsia"/>
        </w:rPr>
        <w:t>综合性</w:t>
      </w:r>
      <w:r>
        <w:t>三级中医医院</w:t>
      </w:r>
      <w:r>
        <w:rPr>
          <w:rFonts w:hint="eastAsia"/>
        </w:rPr>
        <w:t>建设项目为综合医疗服务设施建设项目，属于Ⅳ类项目，根据导则4.2.2的规定，本项目不开展土壤环境影响评价。</w:t>
      </w:r>
    </w:p>
    <w:p>
      <w:pPr>
        <w:pStyle w:val="4"/>
      </w:pPr>
      <w:r>
        <w:rPr>
          <w:rFonts w:hint="eastAsia"/>
        </w:rPr>
        <w:t>评价工作等级</w:t>
      </w:r>
      <w:r>
        <w:t>及评价范围汇总</w:t>
      </w:r>
    </w:p>
    <w:p>
      <w:pPr>
        <w:pStyle w:val="22"/>
      </w:pPr>
      <w:r>
        <w:t>表</w:t>
      </w:r>
      <w:r>
        <w:fldChar w:fldCharType="begin"/>
      </w:r>
      <w:r>
        <w:instrText xml:space="preserve"> STYLEREF 2 \s </w:instrText>
      </w:r>
      <w:r>
        <w:fldChar w:fldCharType="separate"/>
      </w:r>
      <w:r>
        <w:t>2.4</w:t>
      </w:r>
      <w:r>
        <w:fldChar w:fldCharType="end"/>
      </w:r>
      <w:r>
        <w:noBreakHyphen/>
      </w:r>
      <w:r>
        <w:t>6  评价工作级别</w:t>
      </w:r>
      <w:r>
        <w:rPr>
          <w:rFonts w:hint="eastAsia"/>
        </w:rPr>
        <w:t>及范围</w:t>
      </w:r>
      <w:r>
        <w:t>判定表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60"/>
        <w:gridCol w:w="1389"/>
        <w:gridCol w:w="6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环境要素</w:t>
            </w:r>
          </w:p>
        </w:tc>
        <w:tc>
          <w:tcPr>
            <w:tcW w:w="1389" w:type="dxa"/>
            <w:vAlign w:val="center"/>
          </w:tcPr>
          <w:p>
            <w:pPr>
              <w:pStyle w:val="43"/>
            </w:pPr>
            <w:r>
              <w:t>评价等级</w:t>
            </w:r>
          </w:p>
        </w:tc>
        <w:tc>
          <w:tcPr>
            <w:tcW w:w="6021" w:type="dxa"/>
            <w:vAlign w:val="center"/>
          </w:tcPr>
          <w:p>
            <w:pPr>
              <w:pStyle w:val="43"/>
              <w:rPr>
                <w:highlight w:val="yellow"/>
              </w:rPr>
            </w:pPr>
            <w: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大气</w:t>
            </w:r>
          </w:p>
        </w:tc>
        <w:tc>
          <w:tcPr>
            <w:tcW w:w="1389" w:type="dxa"/>
            <w:vAlign w:val="center"/>
          </w:tcPr>
          <w:p>
            <w:pPr>
              <w:pStyle w:val="43"/>
            </w:pPr>
            <w:r>
              <w:rPr>
                <w:rFonts w:hint="eastAsia"/>
              </w:rPr>
              <w:t>二</w:t>
            </w:r>
            <w:r>
              <w:t>级</w:t>
            </w:r>
          </w:p>
        </w:tc>
        <w:tc>
          <w:tcPr>
            <w:tcW w:w="6021" w:type="dxa"/>
            <w:vAlign w:val="center"/>
          </w:tcPr>
          <w:p>
            <w:pPr>
              <w:pStyle w:val="43"/>
              <w:rPr>
                <w:highlight w:val="yellow"/>
              </w:rPr>
            </w:pPr>
            <w:r>
              <w:rPr>
                <w:rFonts w:hint="eastAsia"/>
              </w:rPr>
              <w:t>以</w:t>
            </w:r>
            <w:r>
              <w:t>厂界外延，边长为</w:t>
            </w:r>
            <w:r>
              <w:rPr>
                <w:rFonts w:hint="eastAsia"/>
              </w:rPr>
              <w:t>5</w:t>
            </w:r>
            <w:r>
              <w:t>km的矩形</w:t>
            </w:r>
            <w:r>
              <w:rPr>
                <w:rFonts w:hint="eastAsia"/>
              </w:rPr>
              <w:t>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地表水</w:t>
            </w:r>
          </w:p>
        </w:tc>
        <w:tc>
          <w:tcPr>
            <w:tcW w:w="1389" w:type="dxa"/>
            <w:vAlign w:val="center"/>
          </w:tcPr>
          <w:p>
            <w:pPr>
              <w:pStyle w:val="43"/>
            </w:pPr>
            <w:r>
              <w:t>三级</w:t>
            </w:r>
            <w:r>
              <w:rPr>
                <w:rFonts w:hint="eastAsia"/>
              </w:rPr>
              <w:t>B</w:t>
            </w:r>
          </w:p>
        </w:tc>
        <w:tc>
          <w:tcPr>
            <w:tcW w:w="6021" w:type="dxa"/>
            <w:vAlign w:val="center"/>
          </w:tcPr>
          <w:p>
            <w:pPr>
              <w:pStyle w:val="43"/>
            </w:pPr>
            <w:r>
              <w:t>仅对地表水环境影响作简要分析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地下水</w:t>
            </w:r>
          </w:p>
        </w:tc>
        <w:tc>
          <w:tcPr>
            <w:tcW w:w="7410" w:type="dxa"/>
            <w:gridSpan w:val="2"/>
            <w:vAlign w:val="center"/>
          </w:tcPr>
          <w:p>
            <w:pPr>
              <w:pStyle w:val="43"/>
            </w:pPr>
            <w:r>
              <w:rPr>
                <w:rFonts w:hint="eastAsia"/>
              </w:rPr>
              <w:t>不进行</w:t>
            </w:r>
            <w:r>
              <w:t>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噪声</w:t>
            </w:r>
          </w:p>
        </w:tc>
        <w:tc>
          <w:tcPr>
            <w:tcW w:w="1389" w:type="dxa"/>
            <w:vAlign w:val="center"/>
          </w:tcPr>
          <w:p>
            <w:pPr>
              <w:pStyle w:val="43"/>
            </w:pPr>
            <w:r>
              <w:t>二级</w:t>
            </w:r>
          </w:p>
        </w:tc>
        <w:tc>
          <w:tcPr>
            <w:tcW w:w="6021" w:type="dxa"/>
            <w:vAlign w:val="center"/>
          </w:tcPr>
          <w:p>
            <w:pPr>
              <w:pStyle w:val="43"/>
            </w:pPr>
            <w:r>
              <w:t>厂界外200m范围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风险</w:t>
            </w:r>
          </w:p>
        </w:tc>
        <w:tc>
          <w:tcPr>
            <w:tcW w:w="1389" w:type="dxa"/>
            <w:vAlign w:val="center"/>
          </w:tcPr>
          <w:p>
            <w:pPr>
              <w:pStyle w:val="43"/>
            </w:pPr>
            <w:r>
              <w:rPr>
                <w:rFonts w:hint="eastAsia"/>
              </w:rPr>
              <w:t>简单分析</w:t>
            </w:r>
          </w:p>
        </w:tc>
        <w:tc>
          <w:tcPr>
            <w:tcW w:w="6021" w:type="dxa"/>
            <w:vAlign w:val="center"/>
          </w:tcPr>
          <w:p>
            <w:pPr>
              <w:pStyle w:val="43"/>
            </w:pPr>
            <w:r>
              <w:t>仅对项目风险进行简单分析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生态</w:t>
            </w:r>
          </w:p>
        </w:tc>
        <w:tc>
          <w:tcPr>
            <w:tcW w:w="1389" w:type="dxa"/>
            <w:vAlign w:val="center"/>
          </w:tcPr>
          <w:p>
            <w:pPr>
              <w:pStyle w:val="43"/>
            </w:pPr>
            <w:r>
              <w:rPr>
                <w:rFonts w:hint="eastAsia"/>
              </w:rPr>
              <w:t>三级</w:t>
            </w:r>
          </w:p>
        </w:tc>
        <w:tc>
          <w:tcPr>
            <w:tcW w:w="6021" w:type="dxa"/>
            <w:vAlign w:val="center"/>
          </w:tcPr>
          <w:p>
            <w:pPr>
              <w:pStyle w:val="43"/>
            </w:pPr>
            <w:r>
              <w:rPr>
                <w:rFonts w:hint="eastAsia"/>
              </w:rPr>
              <w:t>占地范围内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460" w:type="dxa"/>
            <w:vAlign w:val="center"/>
          </w:tcPr>
          <w:p>
            <w:pPr>
              <w:pStyle w:val="43"/>
            </w:pPr>
            <w:r>
              <w:t>土壤</w:t>
            </w:r>
          </w:p>
        </w:tc>
        <w:tc>
          <w:tcPr>
            <w:tcW w:w="7410" w:type="dxa"/>
            <w:gridSpan w:val="2"/>
            <w:vAlign w:val="center"/>
          </w:tcPr>
          <w:p>
            <w:pPr>
              <w:pStyle w:val="43"/>
            </w:pPr>
            <w:r>
              <w:rPr>
                <w:rFonts w:hint="eastAsia"/>
              </w:rPr>
              <w:t>不进行</w:t>
            </w:r>
            <w:r>
              <w:t>评价</w:t>
            </w:r>
          </w:p>
        </w:tc>
      </w:tr>
    </w:tbl>
    <w:p>
      <w:pPr>
        <w:pStyle w:val="3"/>
      </w:pPr>
      <w:bookmarkStart w:id="18" w:name="_Toc113260420"/>
      <w:r>
        <w:rPr>
          <w:rFonts w:hint="eastAsia"/>
        </w:rPr>
        <w:t>环境</w:t>
      </w:r>
      <w:r>
        <w:t>功能区划</w:t>
      </w:r>
      <w:bookmarkEnd w:id="18"/>
    </w:p>
    <w:p>
      <w:pPr>
        <w:pStyle w:val="4"/>
        <w:snapToGrid w:val="0"/>
      </w:pPr>
      <w:r>
        <w:rPr>
          <w:rFonts w:hint="eastAsia"/>
        </w:rPr>
        <w:t>环境</w:t>
      </w:r>
      <w:r>
        <w:t>空气功能区划</w:t>
      </w:r>
    </w:p>
    <w:p>
      <w:pPr>
        <w:pStyle w:val="49"/>
        <w:ind w:firstLine="480"/>
      </w:pPr>
      <w:r>
        <w:rPr>
          <w:rFonts w:hint="eastAsia"/>
        </w:rPr>
        <w:t>本项目</w:t>
      </w:r>
      <w:r>
        <w:t>位于</w:t>
      </w:r>
      <w:r>
        <w:rPr>
          <w:rFonts w:hint="eastAsia"/>
        </w:rPr>
        <w:t>安康市恒口示范区（试验区），根据《环境空气质量标准》（GB3095-2012），本项目区域环境空气功能区的分类应划分为二类区，执行《环境空气质量标准》（GB3095-2012）中的二级标准。</w:t>
      </w:r>
    </w:p>
    <w:p>
      <w:pPr>
        <w:pStyle w:val="4"/>
        <w:snapToGrid w:val="0"/>
      </w:pPr>
      <w:r>
        <w:rPr>
          <w:rFonts w:hint="eastAsia"/>
        </w:rPr>
        <w:t>水环境</w:t>
      </w:r>
      <w:r>
        <w:t>功能区划</w:t>
      </w:r>
    </w:p>
    <w:p>
      <w:pPr>
        <w:pStyle w:val="49"/>
        <w:ind w:firstLine="480"/>
      </w:pPr>
      <w:r>
        <w:rPr>
          <w:rFonts w:hint="eastAsia"/>
        </w:rPr>
        <w:t>项目区域涉及的主要地表水体为北侧</w:t>
      </w:r>
      <w:r>
        <w:t>70m的</w:t>
      </w:r>
      <w:r>
        <w:rPr>
          <w:rFonts w:hint="eastAsia"/>
        </w:rPr>
        <w:t>月</w:t>
      </w:r>
      <w:r>
        <w:t>河</w:t>
      </w:r>
      <w:r>
        <w:rPr>
          <w:rFonts w:hint="eastAsia"/>
        </w:rPr>
        <w:t>，根据陕西省地表水水环境功能区划，项目所在区域地表水水质目标为Ⅱ类地表水执行《地表水环境质量标准》(GB3838-2002)中Ⅱ类水质标准。</w:t>
      </w:r>
    </w:p>
    <w:p>
      <w:pPr>
        <w:pStyle w:val="49"/>
        <w:ind w:firstLine="480"/>
      </w:pPr>
      <w:r>
        <w:rPr>
          <w:rFonts w:hint="eastAsia"/>
        </w:rPr>
        <w:t>根据《地下水质量标准》(GB/T14848-2017)的地下水分类要求，评价区的地下水质量定为Ⅲ类，执行地下水Ⅲ类质量标准。</w:t>
      </w:r>
    </w:p>
    <w:p>
      <w:pPr>
        <w:pStyle w:val="4"/>
        <w:snapToGrid w:val="0"/>
      </w:pPr>
      <w:r>
        <w:rPr>
          <w:rFonts w:hint="eastAsia"/>
        </w:rPr>
        <w:t>声环境</w:t>
      </w:r>
      <w:r>
        <w:t>功能区划</w:t>
      </w:r>
    </w:p>
    <w:p>
      <w:pPr>
        <w:pStyle w:val="49"/>
        <w:ind w:firstLine="480"/>
      </w:pPr>
      <w:r>
        <w:rPr>
          <w:rFonts w:hint="eastAsia"/>
        </w:rPr>
        <w:t>项目所在区域属于农村地区，项目区声环境质量按2类区控制，执行《声环境质量标准》（GB3096-2008）中2类区标准（昼间60B(A)，夜间50dB(A)）。</w:t>
      </w:r>
    </w:p>
    <w:p>
      <w:pPr>
        <w:pStyle w:val="40"/>
        <w:ind w:firstLine="480"/>
      </w:pPr>
      <w:r>
        <w:rPr>
          <w:rFonts w:hint="eastAsia"/>
        </w:rPr>
        <w:t>项目</w:t>
      </w:r>
      <w:r>
        <w:t>环境功能区划</w:t>
      </w:r>
      <w:r>
        <w:rPr>
          <w:rFonts w:hint="eastAsia"/>
        </w:rPr>
        <w:t>汇总见</w:t>
      </w:r>
      <w:r>
        <w:t>表</w:t>
      </w:r>
      <w:r>
        <w:rPr>
          <w:rFonts w:hint="eastAsia"/>
        </w:rPr>
        <w:t>2.5-1。</w:t>
      </w:r>
    </w:p>
    <w:p>
      <w:pPr>
        <w:pStyle w:val="22"/>
      </w:pPr>
      <w:r>
        <w:t>表2.5-1  环境功能区划表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794"/>
        <w:gridCol w:w="5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类别</w:t>
            </w:r>
          </w:p>
        </w:tc>
        <w:tc>
          <w:tcPr>
            <w:tcW w:w="1794"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环境功能区划</w:t>
            </w:r>
          </w:p>
        </w:tc>
        <w:tc>
          <w:tcPr>
            <w:tcW w:w="5730"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区划依据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地表水</w:t>
            </w:r>
          </w:p>
        </w:tc>
        <w:tc>
          <w:tcPr>
            <w:tcW w:w="1794" w:type="dxa"/>
            <w:vAlign w:val="center"/>
          </w:tcPr>
          <w:p>
            <w:pPr>
              <w:adjustRightInd w:val="0"/>
              <w:snapToGrid w:val="0"/>
              <w:jc w:val="center"/>
              <w:rPr>
                <w:rFonts w:ascii="宋体" w:hAnsi="宋体" w:eastAsia="宋体" w:cs="Times New Roman"/>
                <w:kern w:val="0"/>
                <w:szCs w:val="21"/>
              </w:rPr>
            </w:pPr>
            <w:r>
              <w:rPr>
                <w:rFonts w:hint="eastAsia"/>
              </w:rPr>
              <w:t>Ⅱ</w:t>
            </w:r>
            <w:r>
              <w:rPr>
                <w:rFonts w:ascii="宋体" w:hAnsi="宋体" w:eastAsia="宋体" w:cs="Times New Roman"/>
                <w:kern w:val="0"/>
                <w:szCs w:val="21"/>
              </w:rPr>
              <w:t>类</w:t>
            </w:r>
          </w:p>
        </w:tc>
        <w:tc>
          <w:tcPr>
            <w:tcW w:w="5730" w:type="dxa"/>
            <w:vAlign w:val="center"/>
          </w:tcPr>
          <w:p>
            <w:pPr>
              <w:tabs>
                <w:tab w:val="left" w:pos="2700"/>
              </w:tabs>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《陕西省水环境功能区划》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地下水</w:t>
            </w:r>
          </w:p>
        </w:tc>
        <w:tc>
          <w:tcPr>
            <w:tcW w:w="1794" w:type="dxa"/>
            <w:vAlign w:val="center"/>
          </w:tcPr>
          <w:p>
            <w:pPr>
              <w:adjustRightInd w:val="0"/>
              <w:snapToGrid w:val="0"/>
              <w:jc w:val="center"/>
              <w:rPr>
                <w:rFonts w:ascii="宋体" w:hAnsi="宋体" w:eastAsia="宋体" w:cs="Times New Roman"/>
                <w:kern w:val="0"/>
                <w:szCs w:val="21"/>
              </w:rPr>
            </w:pPr>
            <w:r>
              <w:rPr>
                <w:rFonts w:ascii="宋体" w:hAnsi="宋体" w:eastAsia="宋体" w:cs="Times New Roman"/>
                <w:kern w:val="0"/>
                <w:szCs w:val="21"/>
              </w:rPr>
              <w:t>Ⅲ类</w:t>
            </w:r>
          </w:p>
        </w:tc>
        <w:tc>
          <w:tcPr>
            <w:tcW w:w="5730"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《地下水质量标准》（GB/T14848-2017）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声环境</w:t>
            </w:r>
          </w:p>
        </w:tc>
        <w:tc>
          <w:tcPr>
            <w:tcW w:w="1794"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2类</w:t>
            </w:r>
          </w:p>
        </w:tc>
        <w:tc>
          <w:tcPr>
            <w:tcW w:w="5730"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《声环境功能区划分技术规范》（GB/T15190-2014）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3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环境空气</w:t>
            </w:r>
          </w:p>
        </w:tc>
        <w:tc>
          <w:tcPr>
            <w:tcW w:w="1794"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二类</w:t>
            </w:r>
          </w:p>
        </w:tc>
        <w:tc>
          <w:tcPr>
            <w:tcW w:w="5730"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《环境空气质量功能区划分原则与技术方法》（HJ14-1996）</w:t>
            </w:r>
          </w:p>
        </w:tc>
      </w:tr>
    </w:tbl>
    <w:p>
      <w:pPr>
        <w:pStyle w:val="3"/>
      </w:pPr>
      <w:bookmarkStart w:id="19" w:name="_Toc113260421"/>
      <w:r>
        <w:rPr>
          <w:rFonts w:hint="eastAsia"/>
        </w:rPr>
        <w:t>评价</w:t>
      </w:r>
      <w:r>
        <w:t>标准</w:t>
      </w:r>
      <w:bookmarkEnd w:id="19"/>
    </w:p>
    <w:p>
      <w:pPr>
        <w:pStyle w:val="4"/>
      </w:pPr>
      <w:r>
        <w:rPr>
          <w:rFonts w:hint="eastAsia"/>
        </w:rPr>
        <w:t>环境</w:t>
      </w:r>
      <w:r>
        <w:t>质量标准</w:t>
      </w:r>
    </w:p>
    <w:p>
      <w:pPr>
        <w:pStyle w:val="5"/>
      </w:pPr>
      <w:r>
        <w:rPr>
          <w:rFonts w:hint="eastAsia"/>
        </w:rPr>
        <w:t>环境</w:t>
      </w:r>
      <w:r>
        <w:t>空气质量</w:t>
      </w:r>
    </w:p>
    <w:p>
      <w:pPr>
        <w:pStyle w:val="40"/>
        <w:ind w:firstLine="480"/>
        <w:rPr>
          <w:highlight w:val="yellow"/>
        </w:rPr>
      </w:pPr>
      <w:r>
        <w:rPr>
          <w:rFonts w:hint="eastAsia"/>
        </w:rPr>
        <w:t>本项目所在区属于二类环境空气质量功能区，执行《环境空气质量标准》（GB3095-2012）二级标准；</w:t>
      </w:r>
      <w:r>
        <w:rPr>
          <w:rFonts w:hint="eastAsia" w:cs="Times New Roman"/>
          <w:kern w:val="0"/>
          <w:szCs w:val="20"/>
        </w:rPr>
        <w:t xml:space="preserve"> NH</w:t>
      </w:r>
      <w:r>
        <w:rPr>
          <w:rFonts w:hint="eastAsia" w:cs="Times New Roman"/>
          <w:kern w:val="0"/>
          <w:szCs w:val="20"/>
          <w:vertAlign w:val="subscript"/>
        </w:rPr>
        <w:t>3</w:t>
      </w:r>
      <w:r>
        <w:rPr>
          <w:rFonts w:hint="eastAsia" w:cs="Times New Roman"/>
          <w:kern w:val="0"/>
          <w:szCs w:val="20"/>
        </w:rPr>
        <w:t>、H</w:t>
      </w:r>
      <w:r>
        <w:rPr>
          <w:rFonts w:hint="eastAsia" w:cs="Times New Roman"/>
          <w:kern w:val="0"/>
          <w:szCs w:val="20"/>
          <w:vertAlign w:val="subscript"/>
        </w:rPr>
        <w:t>2</w:t>
      </w:r>
      <w:r>
        <w:rPr>
          <w:rFonts w:hint="eastAsia" w:cs="Times New Roman"/>
          <w:kern w:val="0"/>
          <w:szCs w:val="20"/>
        </w:rPr>
        <w:t>S</w:t>
      </w:r>
      <w:r>
        <w:rPr>
          <w:rFonts w:hint="eastAsia"/>
        </w:rPr>
        <w:t>执行</w:t>
      </w:r>
      <w:r>
        <w:rPr>
          <w:lang w:bidi="en-US"/>
        </w:rPr>
        <w:t>《环境影响评价技术导则  大气环境》（HJ2.2-2018）（</w:t>
      </w:r>
      <w:r>
        <w:rPr>
          <w:rFonts w:hint="eastAsia"/>
          <w:lang w:bidi="en-US"/>
        </w:rPr>
        <w:t>附录</w:t>
      </w:r>
      <w:r>
        <w:rPr>
          <w:lang w:bidi="en-US"/>
        </w:rPr>
        <w:t>D）</w:t>
      </w:r>
      <w:r>
        <w:rPr>
          <w:rFonts w:hint="eastAsia"/>
          <w:lang w:bidi="en-US"/>
        </w:rPr>
        <w:t>标准</w:t>
      </w:r>
      <w:r>
        <w:rPr>
          <w:lang w:bidi="en-US"/>
        </w:rPr>
        <w:t>，</w:t>
      </w:r>
      <w:r>
        <w:rPr>
          <w:rFonts w:hint="eastAsia"/>
          <w:lang w:bidi="en-US"/>
        </w:rPr>
        <w:t>具体见表2.</w:t>
      </w:r>
      <w:r>
        <w:rPr>
          <w:lang w:bidi="en-US"/>
        </w:rPr>
        <w:t>6-</w:t>
      </w:r>
      <w:r>
        <w:rPr>
          <w:rFonts w:hint="eastAsia"/>
          <w:lang w:bidi="en-US"/>
        </w:rPr>
        <w:t>1。</w:t>
      </w:r>
    </w:p>
    <w:p>
      <w:pPr>
        <w:pStyle w:val="22"/>
      </w:pPr>
      <w:bookmarkStart w:id="20" w:name="_Ref27042256"/>
      <w:r>
        <w:t>表</w:t>
      </w:r>
      <w:r>
        <w:fldChar w:fldCharType="begin"/>
      </w:r>
      <w:r>
        <w:instrText xml:space="preserve"> STYLEREF 2 \s </w:instrText>
      </w:r>
      <w:r>
        <w:fldChar w:fldCharType="separate"/>
      </w:r>
      <w:r>
        <w:t>2.6</w:t>
      </w:r>
      <w:r>
        <w:fldChar w:fldCharType="end"/>
      </w:r>
      <w:r>
        <w:noBreakHyphen/>
      </w:r>
      <w:r>
        <w:fldChar w:fldCharType="begin"/>
      </w:r>
      <w:r>
        <w:instrText xml:space="preserve"> SEQ 表 \* ARABIC \s 2 </w:instrText>
      </w:r>
      <w:r>
        <w:fldChar w:fldCharType="separate"/>
      </w:r>
      <w:r>
        <w:t>1</w:t>
      </w:r>
      <w:r>
        <w:fldChar w:fldCharType="end"/>
      </w:r>
      <w:bookmarkEnd w:id="20"/>
      <w:r>
        <w:t xml:space="preserve">  环境空气质量标准</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125"/>
        <w:gridCol w:w="1368"/>
        <w:gridCol w:w="3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tblHeader/>
          <w:jc w:val="center"/>
        </w:trPr>
        <w:tc>
          <w:tcPr>
            <w:tcW w:w="1504"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污染物名称</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取值时间</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浓度限值</w:t>
            </w:r>
          </w:p>
        </w:tc>
        <w:tc>
          <w:tcPr>
            <w:tcW w:w="3873"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标准出处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SO</w:t>
            </w:r>
            <w:r>
              <w:rPr>
                <w:rFonts w:ascii="Times New Roman" w:hAnsi="Times New Roman" w:eastAsia="宋体" w:cs="Times New Roman"/>
                <w:kern w:val="0"/>
                <w:szCs w:val="20"/>
                <w:vertAlign w:val="subscript"/>
              </w:rPr>
              <w:t>2</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500μg/m</w:t>
            </w:r>
            <w:r>
              <w:rPr>
                <w:rFonts w:ascii="Times New Roman" w:hAnsi="Times New Roman" w:eastAsia="宋体" w:cs="Times New Roman"/>
                <w:kern w:val="0"/>
                <w:szCs w:val="20"/>
                <w:vertAlign w:val="superscript"/>
              </w:rPr>
              <w:t>3</w:t>
            </w:r>
          </w:p>
        </w:tc>
        <w:tc>
          <w:tcPr>
            <w:tcW w:w="3873"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《环境空气质量标准》</w:t>
            </w:r>
          </w:p>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24小时平均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150μg/m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年平均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60μg/m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NO</w:t>
            </w:r>
            <w:r>
              <w:rPr>
                <w:rFonts w:ascii="Times New Roman" w:hAnsi="Times New Roman" w:eastAsia="宋体" w:cs="Times New Roman"/>
                <w:kern w:val="0"/>
                <w:szCs w:val="20"/>
                <w:vertAlign w:val="subscript"/>
              </w:rPr>
              <w:t>2</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200μg/m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24小时平均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80μg/m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年平均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40μg/m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PM</w:t>
            </w:r>
            <w:r>
              <w:rPr>
                <w:rFonts w:ascii="Times New Roman" w:hAnsi="Times New Roman" w:eastAsia="宋体" w:cs="Times New Roman"/>
                <w:kern w:val="0"/>
                <w:szCs w:val="20"/>
                <w:vertAlign w:val="subscript"/>
              </w:rPr>
              <w:t>10</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24小时平均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150μg/m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年平均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70μg/m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PM</w:t>
            </w:r>
            <w:r>
              <w:rPr>
                <w:rFonts w:ascii="Times New Roman" w:hAnsi="Times New Roman" w:eastAsia="宋体" w:cs="Times New Roman"/>
                <w:kern w:val="0"/>
                <w:szCs w:val="20"/>
                <w:vertAlign w:val="subscript"/>
              </w:rPr>
              <w:t>2.5</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24小时平均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75μg/m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年平均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35μg/m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CO</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24小时平均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4mg/m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10mg/m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O</w:t>
            </w:r>
            <w:r>
              <w:rPr>
                <w:rFonts w:ascii="Times New Roman" w:hAnsi="Times New Roman" w:eastAsia="宋体" w:cs="Times New Roman"/>
                <w:kern w:val="0"/>
                <w:szCs w:val="20"/>
                <w:vertAlign w:val="subscript"/>
              </w:rPr>
              <w:t>3</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日最大8小时平均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160μg/m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200μg/m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NH</w:t>
            </w:r>
            <w:r>
              <w:rPr>
                <w:rFonts w:hint="eastAsia" w:ascii="Times New Roman" w:hAnsi="Times New Roman" w:eastAsia="宋体" w:cs="Times New Roman"/>
                <w:kern w:val="0"/>
                <w:szCs w:val="20"/>
                <w:vertAlign w:val="subscript"/>
              </w:rPr>
              <w:t>3</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1小时</w:t>
            </w:r>
            <w:r>
              <w:rPr>
                <w:rFonts w:ascii="Times New Roman" w:hAnsi="Times New Roman" w:eastAsia="宋体" w:cs="Times New Roman"/>
                <w:kern w:val="0"/>
                <w:szCs w:val="20"/>
              </w:rPr>
              <w:t>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200</w:t>
            </w:r>
            <w:r>
              <w:rPr>
                <w:rFonts w:ascii="Times New Roman" w:hAnsi="Times New Roman" w:eastAsia="宋体" w:cs="Times New Roman"/>
                <w:kern w:val="0"/>
                <w:szCs w:val="20"/>
              </w:rPr>
              <w:t>μg/m</w:t>
            </w:r>
            <w:r>
              <w:rPr>
                <w:rFonts w:ascii="Times New Roman" w:hAnsi="Times New Roman" w:eastAsia="宋体" w:cs="Times New Roman"/>
                <w:kern w:val="0"/>
                <w:szCs w:val="20"/>
                <w:vertAlign w:val="superscript"/>
              </w:rPr>
              <w:t>3</w:t>
            </w:r>
          </w:p>
        </w:tc>
        <w:tc>
          <w:tcPr>
            <w:tcW w:w="3873"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《环境影响评价技术导则 大气环境》（HJ2.2-2018）表D.1其他污染物空气质量浓度参考限值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504"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H</w:t>
            </w:r>
            <w:r>
              <w:rPr>
                <w:rFonts w:hint="eastAsia" w:ascii="Times New Roman" w:hAnsi="Times New Roman" w:eastAsia="宋体" w:cs="Times New Roman"/>
                <w:kern w:val="0"/>
                <w:szCs w:val="20"/>
                <w:vertAlign w:val="subscript"/>
              </w:rPr>
              <w:t>2</w:t>
            </w:r>
            <w:r>
              <w:rPr>
                <w:rFonts w:ascii="Times New Roman" w:hAnsi="Times New Roman" w:eastAsia="宋体" w:cs="Times New Roman"/>
                <w:kern w:val="0"/>
                <w:szCs w:val="20"/>
              </w:rPr>
              <w:t>S</w:t>
            </w:r>
          </w:p>
        </w:tc>
        <w:tc>
          <w:tcPr>
            <w:tcW w:w="212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1小时平均</w:t>
            </w:r>
          </w:p>
        </w:tc>
        <w:tc>
          <w:tcPr>
            <w:tcW w:w="1368"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10</w:t>
            </w:r>
            <w:r>
              <w:rPr>
                <w:rFonts w:ascii="Times New Roman" w:hAnsi="Times New Roman" w:eastAsia="宋体" w:cs="Times New Roman"/>
                <w:kern w:val="0"/>
                <w:szCs w:val="20"/>
              </w:rPr>
              <w:t>μg/m</w:t>
            </w:r>
            <w:r>
              <w:rPr>
                <w:rFonts w:ascii="Times New Roman" w:hAnsi="Times New Roman" w:eastAsia="宋体" w:cs="Times New Roman"/>
                <w:kern w:val="0"/>
                <w:szCs w:val="20"/>
                <w:vertAlign w:val="superscript"/>
              </w:rPr>
              <w:t>3</w:t>
            </w:r>
          </w:p>
        </w:tc>
        <w:tc>
          <w:tcPr>
            <w:tcW w:w="3873" w:type="dxa"/>
            <w:vMerge w:val="continue"/>
            <w:vAlign w:val="center"/>
          </w:tcPr>
          <w:p>
            <w:pPr>
              <w:tabs>
                <w:tab w:val="left" w:pos="2340"/>
              </w:tabs>
              <w:snapToGrid w:val="0"/>
              <w:jc w:val="center"/>
              <w:rPr>
                <w:rFonts w:ascii="Times New Roman" w:hAnsi="Times New Roman" w:eastAsia="宋体" w:cs="Times New Roman"/>
                <w:kern w:val="0"/>
                <w:szCs w:val="20"/>
              </w:rPr>
            </w:pPr>
          </w:p>
        </w:tc>
      </w:tr>
    </w:tbl>
    <w:p>
      <w:pPr>
        <w:pStyle w:val="5"/>
      </w:pPr>
      <w:r>
        <w:rPr>
          <w:rFonts w:hint="eastAsia"/>
        </w:rPr>
        <w:t>声环境</w:t>
      </w:r>
      <w:r>
        <w:t>质量</w:t>
      </w:r>
    </w:p>
    <w:p>
      <w:pPr>
        <w:pStyle w:val="40"/>
        <w:ind w:firstLine="480"/>
      </w:pPr>
      <w:r>
        <w:rPr>
          <w:rFonts w:hint="eastAsia"/>
        </w:rPr>
        <w:t>本项目东、</w:t>
      </w:r>
      <w:r>
        <w:t>南、西</w:t>
      </w:r>
      <w:r>
        <w:rPr>
          <w:rFonts w:hint="eastAsia"/>
        </w:rPr>
        <w:t>、</w:t>
      </w:r>
      <w:r>
        <w:t>北厂界</w:t>
      </w:r>
      <w:r>
        <w:rPr>
          <w:rFonts w:hint="eastAsia"/>
        </w:rPr>
        <w:t>声环境质量执行《声环境质量标准》（GB3096-2008）中的2类标准，见</w:t>
      </w:r>
      <w:r>
        <w:t>表</w:t>
      </w:r>
      <w:r>
        <w:rPr>
          <w:rFonts w:hint="eastAsia"/>
        </w:rPr>
        <w:t>2.6-2。</w:t>
      </w:r>
    </w:p>
    <w:p>
      <w:pPr>
        <w:pStyle w:val="22"/>
      </w:pPr>
      <w:r>
        <w:t>表2.6-2  《声环境质量标准》    单位：Leq dB（A）</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841"/>
        <w:gridCol w:w="2202"/>
        <w:gridCol w:w="28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99" w:type="dxa"/>
            <w:vAlign w:val="center"/>
          </w:tcPr>
          <w:p>
            <w:pPr>
              <w:pStyle w:val="47"/>
            </w:pPr>
            <w:r>
              <w:rPr>
                <w:rFonts w:hint="eastAsia"/>
              </w:rPr>
              <w:t>厂界</w:t>
            </w:r>
          </w:p>
        </w:tc>
        <w:tc>
          <w:tcPr>
            <w:tcW w:w="184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类别</w:t>
            </w:r>
          </w:p>
        </w:tc>
        <w:tc>
          <w:tcPr>
            <w:tcW w:w="220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昼间</w:t>
            </w:r>
          </w:p>
        </w:tc>
        <w:tc>
          <w:tcPr>
            <w:tcW w:w="282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99" w:type="dxa"/>
            <w:vAlign w:val="center"/>
          </w:tcPr>
          <w:p>
            <w:pPr>
              <w:pStyle w:val="47"/>
            </w:pPr>
            <w:r>
              <w:rPr>
                <w:rFonts w:hint="eastAsia"/>
              </w:rPr>
              <w:t>东</w:t>
            </w:r>
            <w:r>
              <w:t>、南、西</w:t>
            </w:r>
            <w:r>
              <w:rPr>
                <w:rFonts w:hint="eastAsia"/>
              </w:rPr>
              <w:t>、</w:t>
            </w:r>
            <w:r>
              <w:t>北</w:t>
            </w:r>
            <w:r>
              <w:rPr>
                <w:rFonts w:hint="eastAsia"/>
              </w:rPr>
              <w:t>厂界</w:t>
            </w:r>
          </w:p>
        </w:tc>
        <w:tc>
          <w:tcPr>
            <w:tcW w:w="184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2类</w:t>
            </w:r>
          </w:p>
        </w:tc>
        <w:tc>
          <w:tcPr>
            <w:tcW w:w="220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60</w:t>
            </w:r>
          </w:p>
        </w:tc>
        <w:tc>
          <w:tcPr>
            <w:tcW w:w="282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kern w:val="0"/>
                <w:szCs w:val="21"/>
              </w:rPr>
              <w:t>50</w:t>
            </w:r>
          </w:p>
        </w:tc>
      </w:tr>
    </w:tbl>
    <w:p>
      <w:pPr>
        <w:pStyle w:val="5"/>
      </w:pPr>
      <w:r>
        <w:rPr>
          <w:rFonts w:hint="eastAsia"/>
        </w:rPr>
        <w:t>地表水</w:t>
      </w:r>
      <w:r>
        <w:t>环境质量标准</w:t>
      </w:r>
    </w:p>
    <w:p>
      <w:pPr>
        <w:pStyle w:val="40"/>
        <w:ind w:firstLine="480"/>
      </w:pPr>
      <w:r>
        <w:rPr>
          <w:rFonts w:hint="eastAsia"/>
        </w:rPr>
        <w:t>地表水</w:t>
      </w:r>
      <w:r>
        <w:t>执行</w:t>
      </w:r>
      <w:r>
        <w:rPr>
          <w:rFonts w:hint="eastAsia"/>
        </w:rPr>
        <w:t>《地表水</w:t>
      </w:r>
      <w:r>
        <w:t>环境质量标准</w:t>
      </w:r>
      <w:r>
        <w:rPr>
          <w:rFonts w:hint="eastAsia"/>
        </w:rPr>
        <w:t>》（GB</w:t>
      </w:r>
      <w:r>
        <w:t>3838-2002</w:t>
      </w:r>
      <w:r>
        <w:rPr>
          <w:rFonts w:hint="eastAsia"/>
        </w:rPr>
        <w:t>）中Ⅱ类水质标准，</w:t>
      </w:r>
      <w:r>
        <w:t>具体标准值见表</w:t>
      </w:r>
      <w:r>
        <w:rPr>
          <w:rFonts w:hint="eastAsia"/>
        </w:rPr>
        <w:t>2.6-3。</w:t>
      </w:r>
    </w:p>
    <w:p>
      <w:pPr>
        <w:pStyle w:val="44"/>
        <w:rPr>
          <w:rFonts w:hAnsi="Times New Roman"/>
        </w:rPr>
      </w:pPr>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2.6</w:t>
      </w:r>
      <w:r>
        <w:rPr>
          <w:rFonts w:hAnsi="Times New Roman"/>
        </w:rPr>
        <w:fldChar w:fldCharType="end"/>
      </w:r>
      <w:r>
        <w:rPr>
          <w:rFonts w:hAnsi="Times New Roman"/>
        </w:rPr>
        <w:t>6</w:t>
      </w:r>
      <w:r>
        <w:rPr>
          <w:rFonts w:hAnsi="Times New Roman"/>
        </w:rPr>
        <w:noBreakHyphen/>
      </w:r>
      <w:r>
        <w:rPr>
          <w:rFonts w:hAnsi="Times New Roman"/>
        </w:rPr>
        <w:t xml:space="preserve">3  </w:t>
      </w:r>
      <w:r>
        <w:rPr>
          <w:rFonts w:hint="eastAsia" w:hAnsi="Times New Roman"/>
        </w:rPr>
        <w:t>地表水环境</w:t>
      </w:r>
      <w:r>
        <w:rPr>
          <w:rFonts w:hAnsi="Times New Roman"/>
        </w:rPr>
        <w:t>质量标</w:t>
      </w:r>
      <w:r>
        <w:rPr>
          <w:rFonts w:hint="eastAsia" w:hAnsi="Times New Roman"/>
        </w:rPr>
        <w:t>准</w:t>
      </w:r>
      <w:r>
        <w:rPr>
          <w:rFonts w:hAnsi="Times New Roman"/>
        </w:rPr>
        <w:t xml:space="preserve">                单位：mg/L，pH无量纲</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19"/>
        <w:gridCol w:w="2017"/>
        <w:gridCol w:w="2017"/>
        <w:gridCol w:w="2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t>项目</w:t>
            </w:r>
          </w:p>
        </w:tc>
        <w:tc>
          <w:tcPr>
            <w:tcW w:w="2017" w:type="dxa"/>
            <w:vAlign w:val="center"/>
          </w:tcPr>
          <w:p>
            <w:pPr>
              <w:pStyle w:val="43"/>
            </w:pPr>
            <w:r>
              <w:t>标准值</w:t>
            </w:r>
          </w:p>
        </w:tc>
        <w:tc>
          <w:tcPr>
            <w:tcW w:w="2017" w:type="dxa"/>
            <w:vAlign w:val="center"/>
          </w:tcPr>
          <w:p>
            <w:pPr>
              <w:pStyle w:val="43"/>
            </w:pPr>
            <w:r>
              <w:t>项目</w:t>
            </w:r>
          </w:p>
        </w:tc>
        <w:tc>
          <w:tcPr>
            <w:tcW w:w="2017" w:type="dxa"/>
            <w:vAlign w:val="center"/>
          </w:tcPr>
          <w:p>
            <w:pPr>
              <w:pStyle w:val="43"/>
            </w:pPr>
            <w: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t>pH值</w:t>
            </w:r>
          </w:p>
        </w:tc>
        <w:tc>
          <w:tcPr>
            <w:tcW w:w="2017" w:type="dxa"/>
            <w:vAlign w:val="center"/>
          </w:tcPr>
          <w:p>
            <w:pPr>
              <w:pStyle w:val="43"/>
            </w:pPr>
            <w:r>
              <w:t>6~9</w:t>
            </w:r>
          </w:p>
        </w:tc>
        <w:tc>
          <w:tcPr>
            <w:tcW w:w="2017" w:type="dxa"/>
            <w:vAlign w:val="center"/>
          </w:tcPr>
          <w:p>
            <w:pPr>
              <w:pStyle w:val="43"/>
            </w:pPr>
            <w:r>
              <w:rPr>
                <w:rFonts w:hint="eastAsia"/>
              </w:rPr>
              <w:t>溶解</w:t>
            </w:r>
            <w:r>
              <w:t>氧</w:t>
            </w:r>
          </w:p>
        </w:tc>
        <w:tc>
          <w:tcPr>
            <w:tcW w:w="2017" w:type="dxa"/>
            <w:vAlign w:val="center"/>
          </w:tcPr>
          <w:p>
            <w:pPr>
              <w:pStyle w:val="43"/>
            </w:pPr>
            <w:r>
              <w:rPr>
                <w:rFonts w:hint="eastAsi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rPr>
                <w:rFonts w:hint="eastAsia"/>
              </w:rPr>
              <w:t>高锰酸盐指数</w:t>
            </w:r>
          </w:p>
        </w:tc>
        <w:tc>
          <w:tcPr>
            <w:tcW w:w="2017" w:type="dxa"/>
            <w:vAlign w:val="center"/>
          </w:tcPr>
          <w:p>
            <w:pPr>
              <w:pStyle w:val="43"/>
            </w:pPr>
            <w:r>
              <w:t>≤4</w:t>
            </w:r>
          </w:p>
        </w:tc>
        <w:tc>
          <w:tcPr>
            <w:tcW w:w="2017" w:type="dxa"/>
            <w:vAlign w:val="center"/>
          </w:tcPr>
          <w:p>
            <w:pPr>
              <w:pStyle w:val="43"/>
            </w:pPr>
            <w:r>
              <w:rPr>
                <w:rFonts w:hint="eastAsia"/>
              </w:rPr>
              <w:t>COD</w:t>
            </w:r>
          </w:p>
        </w:tc>
        <w:tc>
          <w:tcPr>
            <w:tcW w:w="2017" w:type="dxa"/>
            <w:vAlign w:val="center"/>
          </w:tcPr>
          <w:p>
            <w:pPr>
              <w:pStyle w:val="43"/>
            </w:pPr>
            <w:r>
              <w:t>≤</w:t>
            </w:r>
            <w:r>
              <w:rPr>
                <w:rFonts w:hint="eastAsi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rPr>
                <w:rFonts w:hint="eastAsia"/>
              </w:rPr>
              <w:t>BOD</w:t>
            </w:r>
            <w:r>
              <w:rPr>
                <w:rFonts w:hint="eastAsia"/>
                <w:vertAlign w:val="subscript"/>
              </w:rPr>
              <w:t>5</w:t>
            </w:r>
          </w:p>
        </w:tc>
        <w:tc>
          <w:tcPr>
            <w:tcW w:w="2017" w:type="dxa"/>
            <w:vAlign w:val="center"/>
          </w:tcPr>
          <w:p>
            <w:pPr>
              <w:pStyle w:val="43"/>
            </w:pPr>
            <w:r>
              <w:t>≤3</w:t>
            </w:r>
          </w:p>
        </w:tc>
        <w:tc>
          <w:tcPr>
            <w:tcW w:w="2017" w:type="dxa"/>
            <w:vAlign w:val="center"/>
          </w:tcPr>
          <w:p>
            <w:pPr>
              <w:pStyle w:val="43"/>
            </w:pPr>
            <w:r>
              <w:rPr>
                <w:rFonts w:hint="eastAsia"/>
              </w:rPr>
              <w:t>NH</w:t>
            </w:r>
            <w:r>
              <w:rPr>
                <w:rFonts w:hint="eastAsia"/>
                <w:vertAlign w:val="subscript"/>
              </w:rPr>
              <w:t>3</w:t>
            </w:r>
            <w:r>
              <w:rPr>
                <w:rFonts w:hint="eastAsia"/>
              </w:rPr>
              <w:t>-N</w:t>
            </w:r>
          </w:p>
        </w:tc>
        <w:tc>
          <w:tcPr>
            <w:tcW w:w="2017" w:type="dxa"/>
            <w:vAlign w:val="center"/>
          </w:tcPr>
          <w:p>
            <w:pPr>
              <w:pStyle w:val="43"/>
            </w:pPr>
            <w: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rPr>
                <w:rFonts w:hint="eastAsia"/>
              </w:rPr>
              <w:t>TP</w:t>
            </w:r>
          </w:p>
        </w:tc>
        <w:tc>
          <w:tcPr>
            <w:tcW w:w="2017" w:type="dxa"/>
            <w:vAlign w:val="center"/>
          </w:tcPr>
          <w:p>
            <w:pPr>
              <w:pStyle w:val="43"/>
            </w:pPr>
            <w:r>
              <w:t>≤0.1</w:t>
            </w:r>
          </w:p>
        </w:tc>
        <w:tc>
          <w:tcPr>
            <w:tcW w:w="2017" w:type="dxa"/>
            <w:vAlign w:val="center"/>
          </w:tcPr>
          <w:p>
            <w:pPr>
              <w:pStyle w:val="43"/>
            </w:pPr>
            <w:r>
              <w:rPr>
                <w:rFonts w:hint="eastAsia"/>
              </w:rPr>
              <w:t>TN</w:t>
            </w:r>
          </w:p>
        </w:tc>
        <w:tc>
          <w:tcPr>
            <w:tcW w:w="2017" w:type="dxa"/>
            <w:vAlign w:val="center"/>
          </w:tcPr>
          <w:p>
            <w:pPr>
              <w:pStyle w:val="43"/>
            </w:pPr>
            <w:r>
              <w:t>≤</w:t>
            </w: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819" w:type="dxa"/>
            <w:vAlign w:val="center"/>
          </w:tcPr>
          <w:p>
            <w:pPr>
              <w:pStyle w:val="43"/>
            </w:pPr>
            <w:r>
              <w:rPr>
                <w:rFonts w:hint="eastAsia"/>
              </w:rPr>
              <w:t>粪大肠菌群</w:t>
            </w:r>
            <w:r>
              <w:t>（</w:t>
            </w:r>
            <w:r>
              <w:rPr>
                <w:rFonts w:hint="eastAsia"/>
              </w:rPr>
              <w:t>个/</w:t>
            </w:r>
            <w:r>
              <w:t>L）</w:t>
            </w:r>
          </w:p>
        </w:tc>
        <w:tc>
          <w:tcPr>
            <w:tcW w:w="2017" w:type="dxa"/>
            <w:vAlign w:val="center"/>
          </w:tcPr>
          <w:p>
            <w:pPr>
              <w:pStyle w:val="43"/>
            </w:pPr>
            <w:r>
              <w:rPr>
                <w:rFonts w:hint="eastAsia"/>
              </w:rPr>
              <w:t>2000</w:t>
            </w:r>
          </w:p>
        </w:tc>
        <w:tc>
          <w:tcPr>
            <w:tcW w:w="2017" w:type="dxa"/>
            <w:vAlign w:val="center"/>
          </w:tcPr>
          <w:p>
            <w:pPr>
              <w:pStyle w:val="43"/>
            </w:pPr>
            <w:r>
              <w:t>/</w:t>
            </w:r>
          </w:p>
        </w:tc>
        <w:tc>
          <w:tcPr>
            <w:tcW w:w="2017" w:type="dxa"/>
            <w:vAlign w:val="center"/>
          </w:tcPr>
          <w:p>
            <w:pPr>
              <w:pStyle w:val="43"/>
            </w:pPr>
            <w:r>
              <w:rPr>
                <w:rFonts w:hint="eastAsia"/>
              </w:rPr>
              <w:t>/</w:t>
            </w:r>
          </w:p>
        </w:tc>
      </w:tr>
    </w:tbl>
    <w:p>
      <w:pPr>
        <w:pStyle w:val="4"/>
      </w:pPr>
      <w:r>
        <w:rPr>
          <w:rFonts w:hint="eastAsia"/>
        </w:rPr>
        <w:t>污染物</w:t>
      </w:r>
      <w:r>
        <w:t>排放标准</w:t>
      </w:r>
    </w:p>
    <w:p>
      <w:pPr>
        <w:pStyle w:val="5"/>
      </w:pPr>
      <w:r>
        <w:rPr>
          <w:rFonts w:hint="eastAsia"/>
        </w:rPr>
        <w:t>废气</w:t>
      </w:r>
    </w:p>
    <w:p>
      <w:pPr>
        <w:pStyle w:val="76"/>
        <w:jc w:val="both"/>
        <w:rPr>
          <w:rFonts w:ascii="Times New Roman" w:cs="Times New Roman"/>
        </w:rPr>
      </w:pPr>
      <w:r>
        <w:rPr>
          <w:rFonts w:ascii="Times New Roman" w:cs="Times New Roman"/>
        </w:rPr>
        <w:t>施工期</w:t>
      </w:r>
      <w:r>
        <w:rPr>
          <w:rFonts w:hint="eastAsia" w:ascii="Times New Roman" w:cs="Times New Roman"/>
        </w:rPr>
        <w:t>扬尘</w:t>
      </w:r>
      <w:r>
        <w:rPr>
          <w:rFonts w:ascii="Times New Roman" w:cs="Times New Roman"/>
        </w:rPr>
        <w:t>执行</w:t>
      </w:r>
      <w:r>
        <w:rPr>
          <w:rFonts w:hint="eastAsia" w:ascii="Times New Roman" w:cs="Times New Roman"/>
        </w:rPr>
        <w:t>陕西</w:t>
      </w:r>
      <w:r>
        <w:rPr>
          <w:rFonts w:ascii="Times New Roman" w:cs="Times New Roman"/>
        </w:rPr>
        <w:t>省地方标准《</w:t>
      </w:r>
      <w:r>
        <w:rPr>
          <w:rFonts w:hint="eastAsia" w:ascii="Times New Roman" w:cs="Times New Roman"/>
        </w:rPr>
        <w:t>施工场界</w:t>
      </w:r>
      <w:r>
        <w:rPr>
          <w:rFonts w:ascii="Times New Roman" w:cs="Times New Roman"/>
        </w:rPr>
        <w:t>扬尘排放限值》（DB61/1078-2017）</w:t>
      </w:r>
      <w:r>
        <w:rPr>
          <w:rFonts w:hint="eastAsia" w:ascii="Times New Roman" w:cs="Times New Roman"/>
        </w:rPr>
        <w:t>，</w:t>
      </w:r>
      <w:r>
        <w:rPr>
          <w:rFonts w:ascii="Times New Roman" w:cs="Times New Roman"/>
        </w:rPr>
        <w:t>详见</w:t>
      </w:r>
      <w:r>
        <w:rPr>
          <w:rFonts w:hint="eastAsia" w:ascii="Times New Roman" w:cs="Times New Roman"/>
        </w:rPr>
        <w:t>下</w:t>
      </w:r>
      <w:r>
        <w:rPr>
          <w:rFonts w:ascii="Times New Roman" w:cs="Times New Roman"/>
        </w:rPr>
        <w:t>表2.6-4。</w:t>
      </w:r>
    </w:p>
    <w:p>
      <w:pPr>
        <w:pStyle w:val="22"/>
      </w:pPr>
      <w:r>
        <w:t xml:space="preserve">表2.6-4 </w:t>
      </w:r>
      <w:r>
        <w:rPr>
          <w:rFonts w:hint="eastAsia"/>
        </w:rPr>
        <w:t xml:space="preserve"> 施工</w:t>
      </w:r>
      <w:r>
        <w:t>场界扬尘（</w:t>
      </w:r>
      <w:r>
        <w:rPr>
          <w:rFonts w:hint="eastAsia"/>
        </w:rPr>
        <w:t>TSP</w:t>
      </w:r>
      <w:r>
        <w:t>）</w:t>
      </w:r>
      <w:r>
        <w:rPr>
          <w:rFonts w:hint="eastAsia"/>
        </w:rPr>
        <w:t>浓度</w:t>
      </w:r>
      <w:r>
        <w:t>限值</w:t>
      </w:r>
      <w:r>
        <w:rPr>
          <w:rFonts w:hint="eastAsia"/>
        </w:rPr>
        <w:t xml:space="preserve">    </w:t>
      </w:r>
      <w:r>
        <w:t>单位：mg/m</w:t>
      </w:r>
      <w:r>
        <w:rPr>
          <w:vertAlign w:val="superscript"/>
        </w:rPr>
        <w:t>3</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8"/>
        <w:gridCol w:w="1737"/>
        <w:gridCol w:w="1488"/>
        <w:gridCol w:w="3119"/>
        <w:gridCol w:w="16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75" w:hRule="atLeast"/>
          <w:jc w:val="center"/>
        </w:trPr>
        <w:tc>
          <w:tcPr>
            <w:tcW w:w="858" w:type="dxa"/>
            <w:tcBorders>
              <w:top w:val="single" w:color="auto" w:sz="12" w:space="0"/>
              <w:left w:val="single" w:color="auto" w:sz="12" w:space="0"/>
            </w:tcBorders>
            <w:vAlign w:val="center"/>
          </w:tcPr>
          <w:p>
            <w:pPr>
              <w:pStyle w:val="18"/>
            </w:pPr>
            <w:r>
              <w:rPr>
                <w:rFonts w:hint="eastAsia"/>
              </w:rPr>
              <w:t>序号</w:t>
            </w:r>
          </w:p>
        </w:tc>
        <w:tc>
          <w:tcPr>
            <w:tcW w:w="1737" w:type="dxa"/>
            <w:tcBorders>
              <w:top w:val="single" w:color="auto" w:sz="12" w:space="0"/>
              <w:right w:val="single" w:color="auto" w:sz="4" w:space="0"/>
            </w:tcBorders>
            <w:vAlign w:val="center"/>
          </w:tcPr>
          <w:p>
            <w:pPr>
              <w:pStyle w:val="18"/>
            </w:pPr>
            <w:r>
              <w:rPr>
                <w:rFonts w:hint="eastAsia"/>
              </w:rPr>
              <w:t>污染物</w:t>
            </w:r>
          </w:p>
        </w:tc>
        <w:tc>
          <w:tcPr>
            <w:tcW w:w="1488" w:type="dxa"/>
            <w:tcBorders>
              <w:top w:val="single" w:color="auto" w:sz="12" w:space="0"/>
              <w:left w:val="single" w:color="auto" w:sz="4" w:space="0"/>
            </w:tcBorders>
            <w:vAlign w:val="center"/>
          </w:tcPr>
          <w:p>
            <w:pPr>
              <w:pStyle w:val="18"/>
            </w:pPr>
            <w:r>
              <w:rPr>
                <w:rFonts w:hint="eastAsia"/>
              </w:rPr>
              <w:t>监测</w:t>
            </w:r>
            <w:r>
              <w:t>点</w:t>
            </w:r>
          </w:p>
        </w:tc>
        <w:tc>
          <w:tcPr>
            <w:tcW w:w="3119" w:type="dxa"/>
            <w:tcBorders>
              <w:top w:val="single" w:color="auto" w:sz="12" w:space="0"/>
            </w:tcBorders>
            <w:vAlign w:val="center"/>
          </w:tcPr>
          <w:p>
            <w:pPr>
              <w:pStyle w:val="18"/>
            </w:pPr>
            <w:r>
              <w:rPr>
                <w:rFonts w:hint="eastAsia"/>
              </w:rPr>
              <w:t>施工</w:t>
            </w:r>
            <w:r>
              <w:t>阶段</w:t>
            </w:r>
          </w:p>
        </w:tc>
        <w:tc>
          <w:tcPr>
            <w:tcW w:w="1668" w:type="dxa"/>
            <w:tcBorders>
              <w:top w:val="single" w:color="auto" w:sz="12" w:space="0"/>
              <w:right w:val="single" w:color="auto" w:sz="12" w:space="0"/>
            </w:tcBorders>
            <w:vAlign w:val="center"/>
          </w:tcPr>
          <w:p>
            <w:pPr>
              <w:pStyle w:val="18"/>
            </w:pPr>
            <w:r>
              <w:rPr>
                <w:rFonts w:hint="eastAsia"/>
              </w:rPr>
              <w:t>小时平均</w:t>
            </w:r>
            <w:r>
              <w:t>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jc w:val="center"/>
        </w:trPr>
        <w:tc>
          <w:tcPr>
            <w:tcW w:w="858" w:type="dxa"/>
            <w:tcBorders>
              <w:left w:val="single" w:color="auto" w:sz="12" w:space="0"/>
            </w:tcBorders>
            <w:vAlign w:val="center"/>
          </w:tcPr>
          <w:p>
            <w:pPr>
              <w:pStyle w:val="18"/>
              <w:rPr>
                <w:rFonts w:cs="宋体"/>
              </w:rPr>
            </w:pPr>
            <w:r>
              <w:rPr>
                <w:rFonts w:hint="eastAsia" w:cs="宋体"/>
              </w:rPr>
              <w:t>1</w:t>
            </w:r>
          </w:p>
        </w:tc>
        <w:tc>
          <w:tcPr>
            <w:tcW w:w="1737" w:type="dxa"/>
            <w:vMerge w:val="restart"/>
            <w:tcBorders>
              <w:right w:val="single" w:color="auto" w:sz="4" w:space="0"/>
            </w:tcBorders>
            <w:vAlign w:val="center"/>
          </w:tcPr>
          <w:p>
            <w:pPr>
              <w:pStyle w:val="18"/>
              <w:rPr>
                <w:rFonts w:cs="宋体"/>
              </w:rPr>
            </w:pPr>
            <w:r>
              <w:rPr>
                <w:rFonts w:hint="eastAsia" w:cs="宋体"/>
              </w:rPr>
              <w:t>施工扬尘（即</w:t>
            </w:r>
            <w:r>
              <w:rPr>
                <w:rFonts w:cs="宋体"/>
              </w:rPr>
              <w:t>总悬浮颗粒物TSP</w:t>
            </w:r>
            <w:r>
              <w:rPr>
                <w:rFonts w:hint="eastAsia" w:cs="宋体"/>
              </w:rPr>
              <w:t>）</w:t>
            </w:r>
          </w:p>
        </w:tc>
        <w:tc>
          <w:tcPr>
            <w:tcW w:w="1488" w:type="dxa"/>
            <w:vMerge w:val="restart"/>
            <w:tcBorders>
              <w:left w:val="single" w:color="auto" w:sz="4" w:space="0"/>
            </w:tcBorders>
            <w:vAlign w:val="center"/>
          </w:tcPr>
          <w:p>
            <w:pPr>
              <w:pStyle w:val="18"/>
              <w:rPr>
                <w:rFonts w:cs="宋体"/>
              </w:rPr>
            </w:pPr>
            <w:r>
              <w:rPr>
                <w:rFonts w:hint="eastAsia" w:cs="宋体"/>
              </w:rPr>
              <w:t>周</w:t>
            </w:r>
            <w:r>
              <w:rPr>
                <w:rFonts w:cs="宋体"/>
              </w:rPr>
              <w:t>界外浓度最高点</w:t>
            </w:r>
            <w:r>
              <w:rPr>
                <w:rFonts w:hint="eastAsia" w:cs="宋体"/>
              </w:rPr>
              <w:t>*</w:t>
            </w:r>
          </w:p>
        </w:tc>
        <w:tc>
          <w:tcPr>
            <w:tcW w:w="3119" w:type="dxa"/>
            <w:vAlign w:val="center"/>
          </w:tcPr>
          <w:p>
            <w:pPr>
              <w:pStyle w:val="18"/>
              <w:rPr>
                <w:rFonts w:cs="宋体"/>
              </w:rPr>
            </w:pPr>
            <w:r>
              <w:rPr>
                <w:rFonts w:hint="eastAsia" w:cs="宋体"/>
              </w:rPr>
              <w:t>拆除</w:t>
            </w:r>
            <w:r>
              <w:rPr>
                <w:rFonts w:cs="宋体"/>
              </w:rPr>
              <w:t>、土方及地基处理工程</w:t>
            </w:r>
          </w:p>
        </w:tc>
        <w:tc>
          <w:tcPr>
            <w:tcW w:w="1668" w:type="dxa"/>
            <w:tcBorders>
              <w:bottom w:val="single" w:color="auto" w:sz="4" w:space="0"/>
              <w:right w:val="single" w:color="auto" w:sz="12" w:space="0"/>
            </w:tcBorders>
            <w:vAlign w:val="center"/>
          </w:tcPr>
          <w:p>
            <w:pPr>
              <w:pStyle w:val="18"/>
              <w:rPr>
                <w:rFonts w:cs="宋体"/>
              </w:rPr>
            </w:pPr>
            <w:r>
              <w:rPr>
                <w:rFonts w:cs="宋体"/>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40" w:hRule="atLeast"/>
          <w:jc w:val="center"/>
        </w:trPr>
        <w:tc>
          <w:tcPr>
            <w:tcW w:w="858" w:type="dxa"/>
            <w:tcBorders>
              <w:left w:val="single" w:color="auto" w:sz="12" w:space="0"/>
            </w:tcBorders>
            <w:vAlign w:val="center"/>
          </w:tcPr>
          <w:p>
            <w:pPr>
              <w:pStyle w:val="18"/>
              <w:rPr>
                <w:rFonts w:cs="宋体"/>
              </w:rPr>
            </w:pPr>
            <w:r>
              <w:rPr>
                <w:rFonts w:hint="eastAsia" w:cs="宋体"/>
              </w:rPr>
              <w:t>2</w:t>
            </w:r>
          </w:p>
        </w:tc>
        <w:tc>
          <w:tcPr>
            <w:tcW w:w="1737" w:type="dxa"/>
            <w:vMerge w:val="continue"/>
            <w:tcBorders>
              <w:right w:val="single" w:color="auto" w:sz="4" w:space="0"/>
            </w:tcBorders>
            <w:vAlign w:val="center"/>
          </w:tcPr>
          <w:p>
            <w:pPr>
              <w:pStyle w:val="18"/>
              <w:rPr>
                <w:rFonts w:cs="宋体"/>
              </w:rPr>
            </w:pPr>
          </w:p>
        </w:tc>
        <w:tc>
          <w:tcPr>
            <w:tcW w:w="1488" w:type="dxa"/>
            <w:vMerge w:val="continue"/>
            <w:tcBorders>
              <w:left w:val="single" w:color="auto" w:sz="4" w:space="0"/>
            </w:tcBorders>
            <w:vAlign w:val="center"/>
          </w:tcPr>
          <w:p>
            <w:pPr>
              <w:pStyle w:val="18"/>
              <w:rPr>
                <w:rFonts w:cs="宋体"/>
              </w:rPr>
            </w:pPr>
          </w:p>
        </w:tc>
        <w:tc>
          <w:tcPr>
            <w:tcW w:w="3119" w:type="dxa"/>
            <w:vAlign w:val="center"/>
          </w:tcPr>
          <w:p>
            <w:pPr>
              <w:pStyle w:val="18"/>
              <w:rPr>
                <w:rFonts w:cs="宋体"/>
              </w:rPr>
            </w:pPr>
            <w:r>
              <w:rPr>
                <w:rFonts w:hint="eastAsia" w:cs="宋体"/>
              </w:rPr>
              <w:t>基础</w:t>
            </w:r>
            <w:r>
              <w:rPr>
                <w:rFonts w:cs="宋体"/>
              </w:rPr>
              <w:t>、主体结构及装饰工程</w:t>
            </w:r>
          </w:p>
        </w:tc>
        <w:tc>
          <w:tcPr>
            <w:tcW w:w="1668" w:type="dxa"/>
            <w:tcBorders>
              <w:top w:val="single" w:color="auto" w:sz="4" w:space="0"/>
              <w:bottom w:val="single" w:color="auto" w:sz="4" w:space="0"/>
              <w:right w:val="single" w:color="auto" w:sz="12" w:space="0"/>
            </w:tcBorders>
            <w:vAlign w:val="center"/>
          </w:tcPr>
          <w:p>
            <w:pPr>
              <w:pStyle w:val="18"/>
              <w:rPr>
                <w:rFonts w:cs="宋体"/>
              </w:rPr>
            </w:pPr>
            <w:r>
              <w:rPr>
                <w:rFonts w:cs="宋体"/>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40" w:hRule="atLeast"/>
          <w:jc w:val="center"/>
        </w:trPr>
        <w:tc>
          <w:tcPr>
            <w:tcW w:w="8870" w:type="dxa"/>
            <w:gridSpan w:val="5"/>
            <w:tcBorders>
              <w:left w:val="single" w:color="auto" w:sz="12" w:space="0"/>
              <w:bottom w:val="single" w:color="auto" w:sz="12" w:space="0"/>
              <w:right w:val="single" w:color="auto" w:sz="12" w:space="0"/>
            </w:tcBorders>
            <w:vAlign w:val="center"/>
          </w:tcPr>
          <w:p>
            <w:pPr>
              <w:pStyle w:val="18"/>
              <w:rPr>
                <w:rFonts w:cs="宋体"/>
              </w:rPr>
            </w:pPr>
            <w:r>
              <w:rPr>
                <w:rFonts w:hint="eastAsia" w:cs="宋体"/>
              </w:rPr>
              <w:t>*周界外</w:t>
            </w:r>
            <w:r>
              <w:rPr>
                <w:rFonts w:cs="宋体"/>
              </w:rPr>
              <w:t>浓度最高点一般应设置</w:t>
            </w:r>
            <w:r>
              <w:rPr>
                <w:rFonts w:hint="eastAsia" w:cs="宋体"/>
              </w:rPr>
              <w:t>于无组织</w:t>
            </w:r>
            <w:r>
              <w:rPr>
                <w:rFonts w:cs="宋体"/>
              </w:rPr>
              <w:t>排放源下风向的单位周界外</w:t>
            </w:r>
            <w:r>
              <w:rPr>
                <w:rFonts w:hint="eastAsia" w:cs="宋体"/>
              </w:rPr>
              <w:t>10</w:t>
            </w:r>
            <w:r>
              <w:rPr>
                <w:rFonts w:cs="宋体"/>
              </w:rPr>
              <w:t>m范围内，若预计无组织排放的最大落地浓度超出</w:t>
            </w:r>
            <w:r>
              <w:rPr>
                <w:rFonts w:hint="eastAsia" w:cs="宋体"/>
              </w:rPr>
              <w:t>10</w:t>
            </w:r>
            <w:r>
              <w:rPr>
                <w:rFonts w:cs="宋体"/>
              </w:rPr>
              <w:t>m范围，</w:t>
            </w:r>
            <w:r>
              <w:rPr>
                <w:rFonts w:hint="eastAsia" w:cs="宋体"/>
              </w:rPr>
              <w:t>可</w:t>
            </w:r>
            <w:r>
              <w:rPr>
                <w:rFonts w:cs="宋体"/>
              </w:rPr>
              <w:t>将监控点移</w:t>
            </w:r>
            <w:r>
              <w:rPr>
                <w:rFonts w:hint="eastAsia" w:cs="宋体"/>
              </w:rPr>
              <w:t>至该</w:t>
            </w:r>
            <w:r>
              <w:rPr>
                <w:rFonts w:cs="宋体"/>
              </w:rPr>
              <w:t>预计浓度最高点附近</w:t>
            </w:r>
            <w:r>
              <w:rPr>
                <w:rFonts w:hint="eastAsia" w:cs="宋体"/>
              </w:rPr>
              <w:t>。</w:t>
            </w:r>
          </w:p>
        </w:tc>
      </w:tr>
    </w:tbl>
    <w:p>
      <w:pPr>
        <w:pStyle w:val="40"/>
        <w:ind w:firstLine="480"/>
      </w:pPr>
      <w:r>
        <w:rPr>
          <w:rFonts w:hint="eastAsia"/>
        </w:rPr>
        <w:t>污水处理站废气排放执行《医疗机构水污染物排放标准》（GB18466-2005）表3周边大气污染物最高允许浓度，</w:t>
      </w:r>
      <w:r>
        <w:t>具体标准件表</w:t>
      </w:r>
      <w:r>
        <w:rPr>
          <w:rFonts w:hint="eastAsia"/>
        </w:rPr>
        <w:t>2.6-</w:t>
      </w:r>
      <w:r>
        <w:t>5</w:t>
      </w:r>
      <w:r>
        <w:rPr>
          <w:rFonts w:hint="eastAsia"/>
        </w:rPr>
        <w:t>。</w:t>
      </w:r>
    </w:p>
    <w:p>
      <w:pPr>
        <w:jc w:val="center"/>
        <w:rPr>
          <w:rFonts w:ascii="Times New Roman" w:hAnsi="Times New Roman" w:eastAsia="宋体" w:cs="Times New Roman"/>
          <w:b/>
          <w:sz w:val="24"/>
          <w:szCs w:val="24"/>
          <w:lang w:val="zh-CN" w:eastAsia="zh-CN"/>
        </w:rPr>
      </w:pPr>
      <w:r>
        <w:rPr>
          <w:rFonts w:hint="eastAsia" w:ascii="Times New Roman" w:hAnsi="Times New Roman" w:eastAsia="宋体" w:cs="Times New Roman"/>
          <w:b/>
          <w:sz w:val="24"/>
          <w:szCs w:val="24"/>
          <w:lang w:val="zh-CN" w:eastAsia="zh-CN"/>
        </w:rPr>
        <w:t>表</w:t>
      </w:r>
      <w:r>
        <w:rPr>
          <w:rFonts w:ascii="Times New Roman" w:hAnsi="Times New Roman" w:eastAsia="宋体" w:cs="Times New Roman"/>
          <w:b/>
          <w:sz w:val="24"/>
          <w:szCs w:val="24"/>
          <w:lang w:val="zh-CN" w:eastAsia="zh-CN"/>
        </w:rPr>
        <w:t>2.6-5</w:t>
      </w:r>
      <w:r>
        <w:rPr>
          <w:rFonts w:hint="eastAsia" w:ascii="Times New Roman" w:hAnsi="Times New Roman" w:eastAsia="宋体" w:cs="Times New Roman"/>
          <w:b/>
          <w:sz w:val="24"/>
          <w:szCs w:val="24"/>
          <w:lang w:val="zh-CN" w:eastAsia="zh-CN"/>
        </w:rPr>
        <w:t xml:space="preserve">  </w:t>
      </w:r>
      <w:r>
        <w:rPr>
          <w:rFonts w:ascii="Times New Roman" w:hAnsi="Times New Roman" w:eastAsia="宋体" w:cs="Times New Roman"/>
          <w:b/>
          <w:sz w:val="24"/>
          <w:szCs w:val="24"/>
          <w:lang w:val="zh-CN" w:eastAsia="zh-CN"/>
        </w:rPr>
        <w:t>污水处理站周边大气污染物最高允许浓度标准</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5141"/>
        <w:gridCol w:w="21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3" w:type="dxa"/>
            <w:vAlign w:val="center"/>
          </w:tcPr>
          <w:p>
            <w:pPr>
              <w:jc w:val="center"/>
              <w:rPr>
                <w:rFonts w:ascii="Times New Roman" w:hAnsi="Times New Roman" w:eastAsia="宋体" w:cs="Times New Roman"/>
                <w:szCs w:val="21"/>
              </w:rPr>
            </w:pPr>
            <w:r>
              <w:rPr>
                <w:rFonts w:ascii="Times New Roman" w:hAnsi="宋体" w:eastAsia="宋体" w:cs="Times New Roman"/>
                <w:szCs w:val="21"/>
              </w:rPr>
              <w:t>序号</w:t>
            </w:r>
          </w:p>
        </w:tc>
        <w:tc>
          <w:tcPr>
            <w:tcW w:w="5141" w:type="dxa"/>
            <w:vAlign w:val="center"/>
          </w:tcPr>
          <w:p>
            <w:pPr>
              <w:jc w:val="center"/>
              <w:rPr>
                <w:rFonts w:ascii="Times New Roman" w:hAnsi="Times New Roman" w:eastAsia="宋体" w:cs="Times New Roman"/>
                <w:szCs w:val="21"/>
              </w:rPr>
            </w:pPr>
            <w:r>
              <w:rPr>
                <w:rFonts w:ascii="Times New Roman" w:hAnsi="宋体" w:eastAsia="宋体" w:cs="Times New Roman"/>
                <w:szCs w:val="21"/>
              </w:rPr>
              <w:t>控制项目</w:t>
            </w:r>
          </w:p>
        </w:tc>
        <w:tc>
          <w:tcPr>
            <w:tcW w:w="2116" w:type="dxa"/>
            <w:vAlign w:val="center"/>
          </w:tcPr>
          <w:p>
            <w:pPr>
              <w:jc w:val="center"/>
              <w:rPr>
                <w:rFonts w:ascii="Times New Roman" w:hAnsi="Times New Roman" w:eastAsia="宋体" w:cs="Times New Roman"/>
                <w:szCs w:val="21"/>
              </w:rPr>
            </w:pPr>
            <w:r>
              <w:rPr>
                <w:rFonts w:ascii="Times New Roman" w:hAnsi="宋体" w:eastAsia="宋体" w:cs="Times New Roman"/>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161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5141" w:type="dxa"/>
            <w:vAlign w:val="center"/>
          </w:tcPr>
          <w:p>
            <w:pPr>
              <w:jc w:val="center"/>
              <w:rPr>
                <w:rFonts w:ascii="Times New Roman" w:hAnsi="Times New Roman" w:eastAsia="宋体" w:cs="Times New Roman"/>
                <w:szCs w:val="21"/>
              </w:rPr>
            </w:pPr>
            <w:r>
              <w:rPr>
                <w:rFonts w:ascii="Times New Roman" w:hAnsi="宋体" w:eastAsia="宋体" w:cs="Times New Roman"/>
                <w:szCs w:val="21"/>
              </w:rPr>
              <w:t>氨（</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宋体" w:eastAsia="宋体" w:cs="Times New Roman"/>
                <w:szCs w:val="21"/>
              </w:rPr>
              <w:t>）</w:t>
            </w:r>
          </w:p>
        </w:tc>
        <w:tc>
          <w:tcPr>
            <w:tcW w:w="21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5141" w:type="dxa"/>
            <w:vAlign w:val="center"/>
          </w:tcPr>
          <w:p>
            <w:pPr>
              <w:jc w:val="center"/>
              <w:rPr>
                <w:rFonts w:ascii="Times New Roman" w:hAnsi="Times New Roman" w:eastAsia="宋体" w:cs="Times New Roman"/>
                <w:szCs w:val="21"/>
              </w:rPr>
            </w:pPr>
            <w:r>
              <w:rPr>
                <w:rFonts w:ascii="Times New Roman" w:hAnsi="宋体" w:eastAsia="宋体" w:cs="Times New Roman"/>
                <w:szCs w:val="21"/>
              </w:rPr>
              <w:t>硫化氢（</w:t>
            </w: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宋体" w:eastAsia="宋体" w:cs="Times New Roman"/>
                <w:szCs w:val="21"/>
              </w:rPr>
              <w:t>）</w:t>
            </w:r>
          </w:p>
        </w:tc>
        <w:tc>
          <w:tcPr>
            <w:tcW w:w="21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5141" w:type="dxa"/>
            <w:vAlign w:val="center"/>
          </w:tcPr>
          <w:p>
            <w:pPr>
              <w:jc w:val="center"/>
              <w:rPr>
                <w:rFonts w:ascii="Times New Roman" w:hAnsi="Times New Roman" w:eastAsia="宋体" w:cs="Times New Roman"/>
                <w:szCs w:val="21"/>
              </w:rPr>
            </w:pPr>
            <w:r>
              <w:rPr>
                <w:rFonts w:ascii="Times New Roman" w:hAnsi="宋体" w:eastAsia="宋体" w:cs="Times New Roman"/>
                <w:szCs w:val="21"/>
              </w:rPr>
              <w:t>臭气浓度（无量纲）</w:t>
            </w:r>
          </w:p>
        </w:tc>
        <w:tc>
          <w:tcPr>
            <w:tcW w:w="211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r>
    </w:tbl>
    <w:p>
      <w:pPr>
        <w:pStyle w:val="40"/>
        <w:ind w:firstLine="480"/>
        <w:rPr>
          <w:bCs/>
        </w:rPr>
      </w:pPr>
      <w:r>
        <w:rPr>
          <w:rFonts w:hint="eastAsia"/>
          <w:bCs/>
        </w:rPr>
        <w:t>运营期锅炉废气排放执行《锅炉大气污染物排放标准》（DB</w:t>
      </w:r>
      <w:r>
        <w:rPr>
          <w:bCs/>
        </w:rPr>
        <w:t>61/1226-2018</w:t>
      </w:r>
      <w:r>
        <w:rPr>
          <w:rFonts w:hint="eastAsia"/>
          <w:bCs/>
        </w:rPr>
        <w:t>）表3燃气</w:t>
      </w:r>
      <w:r>
        <w:rPr>
          <w:bCs/>
        </w:rPr>
        <w:t>锅炉</w:t>
      </w:r>
      <w:r>
        <w:rPr>
          <w:rFonts w:hint="eastAsia"/>
          <w:bCs/>
        </w:rPr>
        <w:t>浓度</w:t>
      </w:r>
      <w:r>
        <w:rPr>
          <w:bCs/>
        </w:rPr>
        <w:t>限值。具体见表</w:t>
      </w:r>
      <w:r>
        <w:rPr>
          <w:rFonts w:hint="eastAsia"/>
          <w:bCs/>
        </w:rPr>
        <w:t>2.6-</w:t>
      </w:r>
      <w:r>
        <w:rPr>
          <w:bCs/>
        </w:rPr>
        <w:t>6</w:t>
      </w:r>
      <w:r>
        <w:rPr>
          <w:rFonts w:hint="eastAsia"/>
          <w:bCs/>
        </w:rPr>
        <w:t>。</w:t>
      </w:r>
    </w:p>
    <w:p>
      <w:pPr>
        <w:pStyle w:val="22"/>
      </w:pPr>
      <w:bookmarkStart w:id="21" w:name="_Ref27042353"/>
      <w:r>
        <w:t>表</w:t>
      </w:r>
      <w:r>
        <w:fldChar w:fldCharType="begin"/>
      </w:r>
      <w:r>
        <w:instrText xml:space="preserve"> STYLEREF 2 \s </w:instrText>
      </w:r>
      <w:r>
        <w:fldChar w:fldCharType="separate"/>
      </w:r>
      <w:r>
        <w:t>2.6</w:t>
      </w:r>
      <w:r>
        <w:fldChar w:fldCharType="end"/>
      </w:r>
      <w:r>
        <w:noBreakHyphen/>
      </w:r>
      <w:bookmarkEnd w:id="21"/>
      <w:r>
        <w:t>6  运营期</w:t>
      </w:r>
      <w:r>
        <w:rPr>
          <w:rFonts w:hint="eastAsia"/>
        </w:rPr>
        <w:t>锅炉</w:t>
      </w:r>
      <w:r>
        <w:t>废气排放标准</w:t>
      </w:r>
      <w:r>
        <w:rPr>
          <w:rFonts w:hint="eastAsia"/>
        </w:rPr>
        <w:t xml:space="preserve">     单位</w:t>
      </w:r>
      <w:r>
        <w:t>：mg/m</w:t>
      </w:r>
      <w:r>
        <w:rPr>
          <w:vertAlign w:val="superscript"/>
        </w:rPr>
        <w:t>3</w:t>
      </w:r>
    </w:p>
    <w:tbl>
      <w:tblPr>
        <w:tblStyle w:val="26"/>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7"/>
        <w:gridCol w:w="2217"/>
        <w:gridCol w:w="2218"/>
        <w:gridCol w:w="2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17" w:type="dxa"/>
            <w:vAlign w:val="center"/>
          </w:tcPr>
          <w:p>
            <w:pPr>
              <w:pStyle w:val="47"/>
            </w:pPr>
            <w:r>
              <w:rPr>
                <w:rFonts w:hint="eastAsia"/>
              </w:rPr>
              <w:t>燃气</w:t>
            </w:r>
            <w:r>
              <w:t>种类</w:t>
            </w:r>
          </w:p>
        </w:tc>
        <w:tc>
          <w:tcPr>
            <w:tcW w:w="2217" w:type="dxa"/>
            <w:vAlign w:val="center"/>
          </w:tcPr>
          <w:p>
            <w:pPr>
              <w:pStyle w:val="47"/>
            </w:pPr>
            <w:r>
              <w:rPr>
                <w:rFonts w:hint="eastAsia"/>
              </w:rPr>
              <w:t>颗粒物</w:t>
            </w:r>
          </w:p>
        </w:tc>
        <w:tc>
          <w:tcPr>
            <w:tcW w:w="2218" w:type="dxa"/>
            <w:vAlign w:val="center"/>
          </w:tcPr>
          <w:p>
            <w:pPr>
              <w:pStyle w:val="47"/>
            </w:pPr>
            <w:r>
              <w:rPr>
                <w:rFonts w:hint="eastAsia"/>
              </w:rPr>
              <w:t>二氧化硫</w:t>
            </w:r>
          </w:p>
        </w:tc>
        <w:tc>
          <w:tcPr>
            <w:tcW w:w="2218" w:type="dxa"/>
            <w:vAlign w:val="center"/>
          </w:tcPr>
          <w:p>
            <w:pPr>
              <w:pStyle w:val="47"/>
            </w:pPr>
            <w:r>
              <w:rPr>
                <w:rFonts w:hint="eastAsia"/>
              </w:rPr>
              <w:t>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217" w:type="dxa"/>
            <w:vAlign w:val="center"/>
          </w:tcPr>
          <w:p>
            <w:pPr>
              <w:pStyle w:val="47"/>
            </w:pPr>
            <w:r>
              <w:rPr>
                <w:rFonts w:hint="eastAsia"/>
              </w:rPr>
              <w:t>天然气</w:t>
            </w:r>
          </w:p>
        </w:tc>
        <w:tc>
          <w:tcPr>
            <w:tcW w:w="2217" w:type="dxa"/>
            <w:vAlign w:val="center"/>
          </w:tcPr>
          <w:p>
            <w:pPr>
              <w:pStyle w:val="47"/>
            </w:pPr>
            <w:r>
              <w:rPr>
                <w:rFonts w:hint="eastAsia"/>
              </w:rPr>
              <w:t>10</w:t>
            </w:r>
          </w:p>
        </w:tc>
        <w:tc>
          <w:tcPr>
            <w:tcW w:w="2218" w:type="dxa"/>
            <w:vAlign w:val="center"/>
          </w:tcPr>
          <w:p>
            <w:pPr>
              <w:pStyle w:val="47"/>
            </w:pPr>
            <w:r>
              <w:rPr>
                <w:rFonts w:hint="eastAsia"/>
              </w:rPr>
              <w:t>20</w:t>
            </w:r>
          </w:p>
        </w:tc>
        <w:tc>
          <w:tcPr>
            <w:tcW w:w="2218" w:type="dxa"/>
            <w:vAlign w:val="center"/>
          </w:tcPr>
          <w:p>
            <w:pPr>
              <w:pStyle w:val="47"/>
            </w:pPr>
            <w:r>
              <w:rPr>
                <w:rFonts w:hint="eastAsia"/>
              </w:rPr>
              <w:t>50</w:t>
            </w:r>
          </w:p>
        </w:tc>
      </w:tr>
    </w:tbl>
    <w:p>
      <w:pPr>
        <w:pStyle w:val="40"/>
        <w:ind w:firstLine="480"/>
      </w:pPr>
      <w:r>
        <w:rPr>
          <w:rFonts w:hint="eastAsia"/>
        </w:rPr>
        <w:t>运营期</w:t>
      </w:r>
      <w:r>
        <w:t>食堂</w:t>
      </w:r>
      <w:r>
        <w:rPr>
          <w:rFonts w:hint="eastAsia"/>
        </w:rPr>
        <w:t>油烟参照执行《饮食业油烟排放标准》（GB18483-2001）“中型”标准，具体</w:t>
      </w:r>
      <w:r>
        <w:t>见表</w:t>
      </w:r>
      <w:r>
        <w:rPr>
          <w:rFonts w:hint="eastAsia"/>
        </w:rPr>
        <w:t>2.6-7。</w:t>
      </w:r>
    </w:p>
    <w:p>
      <w:pPr>
        <w:pStyle w:val="44"/>
      </w:pPr>
      <w:r>
        <w:rPr>
          <w:rFonts w:hint="eastAsia"/>
        </w:rPr>
        <w:t>表</w:t>
      </w:r>
      <w:r>
        <w:t>2.6-7  油烟最高允许排放浓度和油烟净化设施最低去除效率</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65"/>
        <w:gridCol w:w="41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765" w:type="dxa"/>
            <w:vAlign w:val="center"/>
          </w:tcPr>
          <w:p>
            <w:pPr>
              <w:pStyle w:val="18"/>
              <w:ind w:firstLine="480"/>
            </w:pPr>
            <w:r>
              <w:t>规    模</w:t>
            </w:r>
          </w:p>
        </w:tc>
        <w:tc>
          <w:tcPr>
            <w:tcW w:w="4105" w:type="dxa"/>
            <w:vAlign w:val="center"/>
          </w:tcPr>
          <w:p>
            <w:pPr>
              <w:pStyle w:val="18"/>
              <w:ind w:firstLine="480"/>
            </w:pPr>
            <w:r>
              <w:rPr>
                <w:rFonts w:hint="eastAsia"/>
              </w:rPr>
              <w:t>中</w:t>
            </w:r>
            <w:r>
              <w:t xml:space="preserve">  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765" w:type="dxa"/>
            <w:vAlign w:val="center"/>
          </w:tcPr>
          <w:p>
            <w:pPr>
              <w:pStyle w:val="18"/>
              <w:ind w:firstLine="480"/>
            </w:pPr>
            <w:r>
              <w:t>最高允许排放浓度（mg/m</w:t>
            </w:r>
            <w:r>
              <w:rPr>
                <w:vertAlign w:val="superscript"/>
              </w:rPr>
              <w:t>3</w:t>
            </w:r>
            <w:r>
              <w:t>）</w:t>
            </w:r>
          </w:p>
        </w:tc>
        <w:tc>
          <w:tcPr>
            <w:tcW w:w="4105" w:type="dxa"/>
            <w:vAlign w:val="center"/>
          </w:tcPr>
          <w:p>
            <w:pPr>
              <w:pStyle w:val="18"/>
              <w:ind w:firstLine="480"/>
            </w:pPr>
            <w: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765" w:type="dxa"/>
            <w:vAlign w:val="center"/>
          </w:tcPr>
          <w:p>
            <w:pPr>
              <w:pStyle w:val="18"/>
              <w:ind w:firstLine="480"/>
            </w:pPr>
            <w:r>
              <w:t>净化设施最低去除效率（％）</w:t>
            </w:r>
          </w:p>
        </w:tc>
        <w:tc>
          <w:tcPr>
            <w:tcW w:w="4105" w:type="dxa"/>
            <w:vAlign w:val="center"/>
          </w:tcPr>
          <w:p>
            <w:pPr>
              <w:pStyle w:val="18"/>
              <w:ind w:firstLine="480"/>
            </w:pPr>
            <w:r>
              <w:t>75</w:t>
            </w:r>
          </w:p>
        </w:tc>
      </w:tr>
    </w:tbl>
    <w:p>
      <w:pPr>
        <w:pStyle w:val="44"/>
        <w:rPr>
          <w:highlight w:val="yellow"/>
        </w:rPr>
      </w:pPr>
    </w:p>
    <w:p>
      <w:pPr>
        <w:pStyle w:val="5"/>
      </w:pPr>
      <w:r>
        <w:rPr>
          <w:rFonts w:hint="eastAsia"/>
        </w:rPr>
        <w:t>废水</w:t>
      </w:r>
    </w:p>
    <w:p>
      <w:pPr>
        <w:pStyle w:val="40"/>
        <w:ind w:firstLine="480"/>
      </w:pPr>
      <w:r>
        <w:rPr>
          <w:rFonts w:hint="eastAsia"/>
        </w:rPr>
        <w:t>项目废水排放至院内新建的污水处理站处理达到</w:t>
      </w:r>
      <w:r>
        <w:t>《医疗机构水污染物排放标准》</w:t>
      </w:r>
      <w:r>
        <w:rPr>
          <w:rFonts w:hint="eastAsia"/>
        </w:rPr>
        <w:t>（</w:t>
      </w:r>
      <w:r>
        <w:t>GB18466-2005</w:t>
      </w:r>
      <w:r>
        <w:rPr>
          <w:rFonts w:hint="eastAsia"/>
        </w:rPr>
        <w:t>）中</w:t>
      </w:r>
      <w:r>
        <w:t>表2</w:t>
      </w:r>
      <w:r>
        <w:rPr>
          <w:rFonts w:hint="eastAsia"/>
        </w:rPr>
        <w:t>预处理标准后</w:t>
      </w:r>
      <w:r>
        <w:t>经</w:t>
      </w:r>
      <w:r>
        <w:rPr>
          <w:rFonts w:hint="eastAsia"/>
        </w:rPr>
        <w:t>市政污水管网排入安康市恒口示范区污水处理厂，其中</w:t>
      </w:r>
      <w:r>
        <w:t>氨氮执行《</w:t>
      </w:r>
      <w:r>
        <w:rPr>
          <w:rFonts w:hint="eastAsia"/>
        </w:rPr>
        <w:t>污水排入</w:t>
      </w:r>
      <w:r>
        <w:t>城镇下水道水质标准》（GB/T 31962-2015）</w:t>
      </w:r>
      <w:r>
        <w:rPr>
          <w:rFonts w:hint="eastAsia"/>
        </w:rPr>
        <w:t>中</w:t>
      </w:r>
      <w:r>
        <w:t>B级标准，</w:t>
      </w:r>
      <w:r>
        <w:rPr>
          <w:rFonts w:hint="eastAsia"/>
        </w:rPr>
        <w:t>具体标准值见表</w:t>
      </w:r>
      <w:r>
        <w:t>2.6-8</w:t>
      </w:r>
      <w:r>
        <w:rPr>
          <w:rFonts w:hint="eastAsia"/>
        </w:rPr>
        <w:t>。</w:t>
      </w:r>
    </w:p>
    <w:p>
      <w:pPr>
        <w:pStyle w:val="22"/>
      </w:pPr>
      <w:r>
        <w:rPr>
          <w:rFonts w:hint="eastAsia"/>
        </w:rPr>
        <w:t>表</w:t>
      </w:r>
      <w:r>
        <w:t>2.6-8</w:t>
      </w:r>
      <w:r>
        <w:rPr>
          <w:rFonts w:hint="eastAsia"/>
        </w:rPr>
        <w:t xml:space="preserve"> </w:t>
      </w:r>
      <w:r>
        <w:t xml:space="preserve"> </w:t>
      </w:r>
      <w:r>
        <w:rPr>
          <w:rFonts w:hint="eastAsia"/>
        </w:rPr>
        <w:t>医疗机构水污染物预处理标准</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3876"/>
        <w:gridCol w:w="38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123" w:type="dxa"/>
            <w:vAlign w:val="center"/>
          </w:tcPr>
          <w:p>
            <w:pPr>
              <w:pStyle w:val="47"/>
              <w:rPr>
                <w:b/>
              </w:rPr>
            </w:pPr>
            <w:r>
              <w:t>序号</w:t>
            </w:r>
          </w:p>
        </w:tc>
        <w:tc>
          <w:tcPr>
            <w:tcW w:w="3876" w:type="dxa"/>
            <w:vAlign w:val="center"/>
          </w:tcPr>
          <w:p>
            <w:pPr>
              <w:pStyle w:val="47"/>
              <w:rPr>
                <w:b/>
              </w:rPr>
            </w:pPr>
            <w:r>
              <w:t>控制项目</w:t>
            </w:r>
          </w:p>
        </w:tc>
        <w:tc>
          <w:tcPr>
            <w:tcW w:w="3871" w:type="dxa"/>
            <w:vAlign w:val="center"/>
          </w:tcPr>
          <w:p>
            <w:pPr>
              <w:pStyle w:val="47"/>
              <w:rPr>
                <w:b/>
              </w:rPr>
            </w:pPr>
            <w:r>
              <w:t>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1</w:t>
            </w:r>
          </w:p>
        </w:tc>
        <w:tc>
          <w:tcPr>
            <w:tcW w:w="3876" w:type="dxa"/>
            <w:vAlign w:val="center"/>
          </w:tcPr>
          <w:p>
            <w:pPr>
              <w:pStyle w:val="47"/>
              <w:rPr>
                <w:b/>
              </w:rPr>
            </w:pPr>
            <w:r>
              <w:t>粪大肠菌群数 (MPN/L)</w:t>
            </w:r>
          </w:p>
        </w:tc>
        <w:tc>
          <w:tcPr>
            <w:tcW w:w="3871" w:type="dxa"/>
            <w:vAlign w:val="center"/>
          </w:tcPr>
          <w:p>
            <w:pPr>
              <w:pStyle w:val="47"/>
              <w:rPr>
                <w:b/>
              </w:rPr>
            </w:pPr>
            <w:r>
              <w:t>5000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2</w:t>
            </w:r>
          </w:p>
        </w:tc>
        <w:tc>
          <w:tcPr>
            <w:tcW w:w="3876" w:type="dxa"/>
            <w:vAlign w:val="center"/>
          </w:tcPr>
          <w:p>
            <w:pPr>
              <w:pStyle w:val="47"/>
            </w:pPr>
            <w:r>
              <w:rPr>
                <w:rFonts w:hint="eastAsia"/>
              </w:rPr>
              <w:t>肠道</w:t>
            </w:r>
            <w:r>
              <w:t>致病菌</w:t>
            </w:r>
          </w:p>
        </w:tc>
        <w:tc>
          <w:tcPr>
            <w:tcW w:w="3871" w:type="dxa"/>
            <w:vAlign w:val="center"/>
          </w:tcPr>
          <w:p>
            <w:pPr>
              <w:pStyle w:val="4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3</w:t>
            </w:r>
          </w:p>
        </w:tc>
        <w:tc>
          <w:tcPr>
            <w:tcW w:w="3876" w:type="dxa"/>
            <w:vAlign w:val="center"/>
          </w:tcPr>
          <w:p>
            <w:pPr>
              <w:pStyle w:val="47"/>
            </w:pPr>
            <w:r>
              <w:rPr>
                <w:rFonts w:hint="eastAsia"/>
              </w:rPr>
              <w:t>肠道病毒</w:t>
            </w:r>
          </w:p>
        </w:tc>
        <w:tc>
          <w:tcPr>
            <w:tcW w:w="3871" w:type="dxa"/>
            <w:vAlign w:val="center"/>
          </w:tcPr>
          <w:p>
            <w:pPr>
              <w:pStyle w:val="4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4</w:t>
            </w:r>
          </w:p>
        </w:tc>
        <w:tc>
          <w:tcPr>
            <w:tcW w:w="3876" w:type="dxa"/>
            <w:vAlign w:val="center"/>
          </w:tcPr>
          <w:p>
            <w:pPr>
              <w:pStyle w:val="47"/>
              <w:rPr>
                <w:b/>
              </w:rPr>
            </w:pPr>
            <w:r>
              <w:t>pH</w:t>
            </w:r>
          </w:p>
        </w:tc>
        <w:tc>
          <w:tcPr>
            <w:tcW w:w="3871" w:type="dxa"/>
            <w:vAlign w:val="center"/>
          </w:tcPr>
          <w:p>
            <w:pPr>
              <w:pStyle w:val="47"/>
              <w:rPr>
                <w:b/>
              </w:rPr>
            </w:pPr>
            <w: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5</w:t>
            </w:r>
          </w:p>
        </w:tc>
        <w:tc>
          <w:tcPr>
            <w:tcW w:w="3876" w:type="dxa"/>
            <w:vAlign w:val="center"/>
          </w:tcPr>
          <w:p>
            <w:pPr>
              <w:pStyle w:val="47"/>
              <w:rPr>
                <w:b/>
              </w:rPr>
            </w:pPr>
            <w:r>
              <w:t>化学需氧量（COD）浓度（mg/L）</w:t>
            </w:r>
          </w:p>
          <w:p>
            <w:pPr>
              <w:pStyle w:val="47"/>
              <w:rPr>
                <w:b/>
              </w:rPr>
            </w:pPr>
            <w:r>
              <w:t>最高允许排放负荷[g/(床•d)]</w:t>
            </w:r>
          </w:p>
        </w:tc>
        <w:tc>
          <w:tcPr>
            <w:tcW w:w="3871" w:type="dxa"/>
            <w:vAlign w:val="center"/>
          </w:tcPr>
          <w:p>
            <w:pPr>
              <w:pStyle w:val="47"/>
              <w:rPr>
                <w:b/>
              </w:rPr>
            </w:pPr>
            <w:r>
              <w:t>250</w:t>
            </w:r>
          </w:p>
          <w:p>
            <w:pPr>
              <w:pStyle w:val="47"/>
              <w:rPr>
                <w:b/>
              </w:rPr>
            </w:pPr>
            <w: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6</w:t>
            </w:r>
          </w:p>
        </w:tc>
        <w:tc>
          <w:tcPr>
            <w:tcW w:w="3876" w:type="dxa"/>
            <w:vAlign w:val="center"/>
          </w:tcPr>
          <w:p>
            <w:pPr>
              <w:pStyle w:val="47"/>
              <w:rPr>
                <w:b/>
              </w:rPr>
            </w:pPr>
            <w:r>
              <w:t>生化需氧量（BOD）浓度（mg/L）</w:t>
            </w:r>
          </w:p>
          <w:p>
            <w:pPr>
              <w:pStyle w:val="47"/>
              <w:rPr>
                <w:b/>
              </w:rPr>
            </w:pPr>
            <w:r>
              <w:t>最高允许排放负荷[g/(床•d)]</w:t>
            </w:r>
          </w:p>
        </w:tc>
        <w:tc>
          <w:tcPr>
            <w:tcW w:w="3871" w:type="dxa"/>
            <w:vAlign w:val="center"/>
          </w:tcPr>
          <w:p>
            <w:pPr>
              <w:pStyle w:val="47"/>
              <w:rPr>
                <w:b/>
              </w:rPr>
            </w:pPr>
            <w:r>
              <w:t>100</w:t>
            </w:r>
          </w:p>
          <w:p>
            <w:pPr>
              <w:pStyle w:val="47"/>
              <w:rPr>
                <w:b/>
              </w:rPr>
            </w:pPr>
            <w: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7</w:t>
            </w:r>
          </w:p>
        </w:tc>
        <w:tc>
          <w:tcPr>
            <w:tcW w:w="3876" w:type="dxa"/>
            <w:vAlign w:val="center"/>
          </w:tcPr>
          <w:p>
            <w:pPr>
              <w:pStyle w:val="47"/>
              <w:rPr>
                <w:b/>
              </w:rPr>
            </w:pPr>
            <w:r>
              <w:t>悬浮物（SS）浓度（mg/L）</w:t>
            </w:r>
          </w:p>
          <w:p>
            <w:pPr>
              <w:pStyle w:val="47"/>
              <w:rPr>
                <w:b/>
              </w:rPr>
            </w:pPr>
            <w:r>
              <w:t>最高允许排放负荷[g/(床•d)]</w:t>
            </w:r>
          </w:p>
        </w:tc>
        <w:tc>
          <w:tcPr>
            <w:tcW w:w="3871" w:type="dxa"/>
            <w:vAlign w:val="center"/>
          </w:tcPr>
          <w:p>
            <w:pPr>
              <w:pStyle w:val="47"/>
              <w:rPr>
                <w:b/>
              </w:rPr>
            </w:pPr>
            <w:r>
              <w:t>60</w:t>
            </w:r>
          </w:p>
          <w:p>
            <w:pPr>
              <w:pStyle w:val="47"/>
              <w:rPr>
                <w:b/>
              </w:rPr>
            </w:pPr>
            <w: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8</w:t>
            </w:r>
          </w:p>
        </w:tc>
        <w:tc>
          <w:tcPr>
            <w:tcW w:w="3876" w:type="dxa"/>
            <w:vAlign w:val="center"/>
          </w:tcPr>
          <w:p>
            <w:pPr>
              <w:pStyle w:val="47"/>
              <w:rPr>
                <w:b/>
              </w:rPr>
            </w:pPr>
            <w:r>
              <w:t>氨氮（mg/L）</w:t>
            </w:r>
          </w:p>
        </w:tc>
        <w:tc>
          <w:tcPr>
            <w:tcW w:w="3871" w:type="dxa"/>
            <w:vAlign w:val="center"/>
          </w:tcPr>
          <w:p>
            <w:pPr>
              <w:pStyle w:val="47"/>
              <w:rPr>
                <w:b/>
              </w:rPr>
            </w:pPr>
            <w: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t>9</w:t>
            </w:r>
          </w:p>
        </w:tc>
        <w:tc>
          <w:tcPr>
            <w:tcW w:w="3876" w:type="dxa"/>
            <w:vAlign w:val="center"/>
          </w:tcPr>
          <w:p>
            <w:pPr>
              <w:pStyle w:val="47"/>
              <w:rPr>
                <w:b/>
              </w:rPr>
            </w:pPr>
            <w:r>
              <w:t>动植物油（mg/L）</w:t>
            </w:r>
          </w:p>
        </w:tc>
        <w:tc>
          <w:tcPr>
            <w:tcW w:w="3871" w:type="dxa"/>
            <w:vAlign w:val="center"/>
          </w:tcPr>
          <w:p>
            <w:pPr>
              <w:pStyle w:val="47"/>
              <w:rPr>
                <w:b/>
              </w:rPr>
            </w:pPr>
            <w: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rPr>
                <w:b/>
              </w:rPr>
            </w:pPr>
            <w:r>
              <w:rPr>
                <w:rFonts w:hint="eastAsia"/>
              </w:rPr>
              <w:t>10</w:t>
            </w:r>
          </w:p>
        </w:tc>
        <w:tc>
          <w:tcPr>
            <w:tcW w:w="3876" w:type="dxa"/>
            <w:vAlign w:val="center"/>
          </w:tcPr>
          <w:p>
            <w:pPr>
              <w:pStyle w:val="47"/>
              <w:rPr>
                <w:b/>
              </w:rPr>
            </w:pPr>
            <w:r>
              <w:t>石油类（mg/L）</w:t>
            </w:r>
          </w:p>
        </w:tc>
        <w:tc>
          <w:tcPr>
            <w:tcW w:w="3871" w:type="dxa"/>
            <w:vAlign w:val="center"/>
          </w:tcPr>
          <w:p>
            <w:pPr>
              <w:pStyle w:val="47"/>
              <w:rPr>
                <w:b/>
              </w:rPr>
            </w:pPr>
            <w: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11</w:t>
            </w:r>
          </w:p>
        </w:tc>
        <w:tc>
          <w:tcPr>
            <w:tcW w:w="3876" w:type="dxa"/>
            <w:vAlign w:val="center"/>
          </w:tcPr>
          <w:p>
            <w:pPr>
              <w:pStyle w:val="47"/>
              <w:rPr>
                <w:rFonts w:hAnsi="Times New Roman"/>
              </w:rPr>
            </w:pPr>
            <w:r>
              <w:rPr>
                <w:rFonts w:hAnsi="Times New Roman"/>
              </w:rPr>
              <w:t>阴离子表面活性剂／（mg/L）</w:t>
            </w:r>
          </w:p>
        </w:tc>
        <w:tc>
          <w:tcPr>
            <w:tcW w:w="3871" w:type="dxa"/>
            <w:vAlign w:val="center"/>
          </w:tcPr>
          <w:p>
            <w:pPr>
              <w:pStyle w:val="47"/>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12</w:t>
            </w:r>
          </w:p>
        </w:tc>
        <w:tc>
          <w:tcPr>
            <w:tcW w:w="3876" w:type="dxa"/>
            <w:vAlign w:val="center"/>
          </w:tcPr>
          <w:p>
            <w:pPr>
              <w:pStyle w:val="47"/>
              <w:rPr>
                <w:rFonts w:hAnsi="Times New Roman"/>
              </w:rPr>
            </w:pPr>
            <w:r>
              <w:rPr>
                <w:rFonts w:hAnsi="Times New Roman"/>
              </w:rPr>
              <w:t>色度／（稀释倍数）</w:t>
            </w:r>
          </w:p>
        </w:tc>
        <w:tc>
          <w:tcPr>
            <w:tcW w:w="3871" w:type="dxa"/>
            <w:vAlign w:val="center"/>
          </w:tcPr>
          <w:p>
            <w:pPr>
              <w:pStyle w:val="47"/>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13</w:t>
            </w:r>
          </w:p>
        </w:tc>
        <w:tc>
          <w:tcPr>
            <w:tcW w:w="3876" w:type="dxa"/>
            <w:vAlign w:val="center"/>
          </w:tcPr>
          <w:p>
            <w:pPr>
              <w:pStyle w:val="47"/>
              <w:rPr>
                <w:rFonts w:hAnsi="Times New Roman"/>
              </w:rPr>
            </w:pPr>
            <w:r>
              <w:rPr>
                <w:rFonts w:hAnsi="Times New Roman"/>
              </w:rPr>
              <w:t>挥发酚／（mg/L）</w:t>
            </w:r>
          </w:p>
        </w:tc>
        <w:tc>
          <w:tcPr>
            <w:tcW w:w="3871" w:type="dxa"/>
            <w:vAlign w:val="center"/>
          </w:tcPr>
          <w:p>
            <w:pPr>
              <w:pStyle w:val="47"/>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14</w:t>
            </w:r>
          </w:p>
        </w:tc>
        <w:tc>
          <w:tcPr>
            <w:tcW w:w="3876" w:type="dxa"/>
            <w:vAlign w:val="center"/>
          </w:tcPr>
          <w:p>
            <w:pPr>
              <w:pStyle w:val="47"/>
              <w:rPr>
                <w:rFonts w:hAnsi="Times New Roman"/>
              </w:rPr>
            </w:pPr>
            <w:r>
              <w:rPr>
                <w:rFonts w:hAnsi="Times New Roman"/>
              </w:rPr>
              <w:t>总氰化物／（mg/L）</w:t>
            </w:r>
          </w:p>
        </w:tc>
        <w:tc>
          <w:tcPr>
            <w:tcW w:w="3871" w:type="dxa"/>
            <w:vAlign w:val="center"/>
          </w:tcPr>
          <w:p>
            <w:pPr>
              <w:pStyle w:val="47"/>
            </w:pP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15</w:t>
            </w:r>
          </w:p>
        </w:tc>
        <w:tc>
          <w:tcPr>
            <w:tcW w:w="3876" w:type="dxa"/>
            <w:vAlign w:val="center"/>
          </w:tcPr>
          <w:p>
            <w:pPr>
              <w:pStyle w:val="47"/>
              <w:rPr>
                <w:rFonts w:hAnsi="Times New Roman"/>
              </w:rPr>
            </w:pPr>
            <w:r>
              <w:rPr>
                <w:rFonts w:hAnsi="Times New Roman"/>
              </w:rPr>
              <w:t>总汞／（mg/L）</w:t>
            </w:r>
          </w:p>
        </w:tc>
        <w:tc>
          <w:tcPr>
            <w:tcW w:w="3871" w:type="dxa"/>
            <w:vAlign w:val="center"/>
          </w:tcPr>
          <w:p>
            <w:pPr>
              <w:pStyle w:val="47"/>
            </w:pPr>
            <w:r>
              <w:rPr>
                <w:rFonts w:hint="eastAsia"/>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w:t>
            </w:r>
            <w:r>
              <w:t>6</w:t>
            </w:r>
          </w:p>
        </w:tc>
        <w:tc>
          <w:tcPr>
            <w:tcW w:w="3876" w:type="dxa"/>
            <w:vAlign w:val="center"/>
          </w:tcPr>
          <w:p>
            <w:pPr>
              <w:pStyle w:val="47"/>
              <w:rPr>
                <w:rFonts w:hAnsi="Times New Roman"/>
              </w:rPr>
            </w:pPr>
            <w:r>
              <w:rPr>
                <w:rFonts w:hAnsi="Times New Roman"/>
              </w:rPr>
              <w:t>总镉／（mg/L）</w:t>
            </w:r>
          </w:p>
        </w:tc>
        <w:tc>
          <w:tcPr>
            <w:tcW w:w="3871" w:type="dxa"/>
            <w:vAlign w:val="center"/>
          </w:tcPr>
          <w:p>
            <w:pPr>
              <w:pStyle w:val="47"/>
            </w:pPr>
            <w:r>
              <w:rPr>
                <w:rFonts w:hint="eastAsi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17</w:t>
            </w:r>
          </w:p>
        </w:tc>
        <w:tc>
          <w:tcPr>
            <w:tcW w:w="3876" w:type="dxa"/>
            <w:vAlign w:val="center"/>
          </w:tcPr>
          <w:p>
            <w:pPr>
              <w:pStyle w:val="47"/>
              <w:rPr>
                <w:rFonts w:hAnsi="Times New Roman"/>
              </w:rPr>
            </w:pPr>
            <w:r>
              <w:rPr>
                <w:rFonts w:hAnsi="Times New Roman"/>
              </w:rPr>
              <w:t>总铬／（mg/L</w:t>
            </w:r>
          </w:p>
        </w:tc>
        <w:tc>
          <w:tcPr>
            <w:tcW w:w="3871" w:type="dxa"/>
            <w:vAlign w:val="center"/>
          </w:tcPr>
          <w:p>
            <w:pPr>
              <w:pStyle w:val="47"/>
            </w:pPr>
            <w:r>
              <w:rPr>
                <w:rFonts w:hint="eastAsi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18</w:t>
            </w:r>
          </w:p>
        </w:tc>
        <w:tc>
          <w:tcPr>
            <w:tcW w:w="3876" w:type="dxa"/>
            <w:vAlign w:val="center"/>
          </w:tcPr>
          <w:p>
            <w:pPr>
              <w:pStyle w:val="47"/>
              <w:rPr>
                <w:rFonts w:hAnsi="Times New Roman"/>
              </w:rPr>
            </w:pPr>
            <w:r>
              <w:rPr>
                <w:rFonts w:hAnsi="Times New Roman"/>
              </w:rPr>
              <w:t>六价铬／（mg/L）</w:t>
            </w:r>
          </w:p>
        </w:tc>
        <w:tc>
          <w:tcPr>
            <w:tcW w:w="3871" w:type="dxa"/>
            <w:vAlign w:val="center"/>
          </w:tcPr>
          <w:p>
            <w:pPr>
              <w:pStyle w:val="47"/>
            </w:pP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19</w:t>
            </w:r>
          </w:p>
        </w:tc>
        <w:tc>
          <w:tcPr>
            <w:tcW w:w="3876" w:type="dxa"/>
            <w:vAlign w:val="center"/>
          </w:tcPr>
          <w:p>
            <w:pPr>
              <w:pStyle w:val="47"/>
              <w:rPr>
                <w:rFonts w:hAnsi="Times New Roman"/>
              </w:rPr>
            </w:pPr>
            <w:r>
              <w:rPr>
                <w:rFonts w:hAnsi="Times New Roman"/>
              </w:rPr>
              <w:t>总砷／（mg/L）</w:t>
            </w:r>
          </w:p>
        </w:tc>
        <w:tc>
          <w:tcPr>
            <w:tcW w:w="3871" w:type="dxa"/>
            <w:vAlign w:val="center"/>
          </w:tcPr>
          <w:p>
            <w:pPr>
              <w:pStyle w:val="47"/>
            </w:pP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20</w:t>
            </w:r>
          </w:p>
        </w:tc>
        <w:tc>
          <w:tcPr>
            <w:tcW w:w="3876" w:type="dxa"/>
            <w:vAlign w:val="center"/>
          </w:tcPr>
          <w:p>
            <w:pPr>
              <w:pStyle w:val="47"/>
              <w:rPr>
                <w:rFonts w:hAnsi="Times New Roman"/>
              </w:rPr>
            </w:pPr>
            <w:r>
              <w:rPr>
                <w:rFonts w:hAnsi="Times New Roman"/>
              </w:rPr>
              <w:t>总铅／（</w:t>
            </w:r>
            <w:r>
              <w:rPr>
                <w:rFonts w:hint="eastAsia" w:hAnsi="Times New Roman"/>
              </w:rPr>
              <w:t>mg/</w:t>
            </w:r>
            <w:r>
              <w:rPr>
                <w:rFonts w:hAnsi="Times New Roman"/>
              </w:rPr>
              <w:t>Ｌ）</w:t>
            </w:r>
          </w:p>
        </w:tc>
        <w:tc>
          <w:tcPr>
            <w:tcW w:w="3871" w:type="dxa"/>
            <w:vAlign w:val="center"/>
          </w:tcPr>
          <w:p>
            <w:pPr>
              <w:pStyle w:val="47"/>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21</w:t>
            </w:r>
          </w:p>
        </w:tc>
        <w:tc>
          <w:tcPr>
            <w:tcW w:w="3876" w:type="dxa"/>
            <w:vAlign w:val="center"/>
          </w:tcPr>
          <w:p>
            <w:pPr>
              <w:pStyle w:val="47"/>
              <w:rPr>
                <w:rFonts w:hAnsi="Times New Roman"/>
              </w:rPr>
            </w:pPr>
            <w:r>
              <w:rPr>
                <w:rFonts w:hAnsi="Times New Roman"/>
              </w:rPr>
              <w:t>总银／（mg/L）</w:t>
            </w:r>
          </w:p>
        </w:tc>
        <w:tc>
          <w:tcPr>
            <w:tcW w:w="3871" w:type="dxa"/>
            <w:vAlign w:val="center"/>
          </w:tcPr>
          <w:p>
            <w:pPr>
              <w:pStyle w:val="47"/>
            </w:pPr>
            <w:r>
              <w:rPr>
                <w:rFonts w:hint="eastAsia"/>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22</w:t>
            </w:r>
          </w:p>
        </w:tc>
        <w:tc>
          <w:tcPr>
            <w:tcW w:w="3876" w:type="dxa"/>
            <w:vAlign w:val="center"/>
          </w:tcPr>
          <w:p>
            <w:pPr>
              <w:pStyle w:val="47"/>
              <w:rPr>
                <w:rFonts w:hAnsi="Times New Roman"/>
              </w:rPr>
            </w:pPr>
            <w:r>
              <w:rPr>
                <w:rFonts w:hAnsi="Times New Roman"/>
              </w:rPr>
              <w:t>总α／（</w:t>
            </w:r>
            <w:r>
              <w:rPr>
                <w:rFonts w:hint="eastAsia" w:hAnsi="Times New Roman"/>
              </w:rPr>
              <w:t>Bq/</w:t>
            </w:r>
            <w:r>
              <w:rPr>
                <w:rFonts w:hAnsi="Times New Roman"/>
              </w:rPr>
              <w:t>Ｌ）</w:t>
            </w:r>
          </w:p>
        </w:tc>
        <w:tc>
          <w:tcPr>
            <w:tcW w:w="3871" w:type="dxa"/>
            <w:vAlign w:val="center"/>
          </w:tcPr>
          <w:p>
            <w:pPr>
              <w:pStyle w:val="47"/>
            </w:pPr>
            <w:r>
              <w:rPr>
                <w:rFonts w:hint="eastAsi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23</w:t>
            </w:r>
          </w:p>
        </w:tc>
        <w:tc>
          <w:tcPr>
            <w:tcW w:w="3876" w:type="dxa"/>
            <w:vAlign w:val="center"/>
          </w:tcPr>
          <w:p>
            <w:pPr>
              <w:pStyle w:val="47"/>
              <w:rPr>
                <w:rFonts w:hAnsi="Times New Roman"/>
              </w:rPr>
            </w:pPr>
            <w:r>
              <w:rPr>
                <w:rFonts w:hAnsi="Times New Roman"/>
              </w:rPr>
              <w:t>总β／（</w:t>
            </w:r>
            <w:r>
              <w:rPr>
                <w:rFonts w:hint="eastAsia" w:hAnsi="Times New Roman"/>
              </w:rPr>
              <w:t>Bq/</w:t>
            </w:r>
            <w:r>
              <w:rPr>
                <w:rFonts w:hAnsi="Times New Roman"/>
              </w:rPr>
              <w:t>Ｌ）</w:t>
            </w:r>
          </w:p>
        </w:tc>
        <w:tc>
          <w:tcPr>
            <w:tcW w:w="3871" w:type="dxa"/>
            <w:vAlign w:val="center"/>
          </w:tcPr>
          <w:p>
            <w:pPr>
              <w:pStyle w:val="47"/>
            </w:pPr>
            <w:r>
              <w:rPr>
                <w:rFonts w:hint="eastAsi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3" w:type="dxa"/>
            <w:vAlign w:val="center"/>
          </w:tcPr>
          <w:p>
            <w:pPr>
              <w:pStyle w:val="47"/>
            </w:pPr>
            <w:r>
              <w:rPr>
                <w:rFonts w:hint="eastAsia"/>
              </w:rPr>
              <w:t>24</w:t>
            </w:r>
          </w:p>
        </w:tc>
        <w:tc>
          <w:tcPr>
            <w:tcW w:w="3876" w:type="dxa"/>
            <w:vAlign w:val="center"/>
          </w:tcPr>
          <w:p>
            <w:pPr>
              <w:pStyle w:val="47"/>
              <w:rPr>
                <w:b/>
              </w:rPr>
            </w:pPr>
            <w:r>
              <w:t>总余氯</w:t>
            </w:r>
            <w:r>
              <w:rPr>
                <w:vertAlign w:val="superscript"/>
              </w:rPr>
              <w:t>1)2)</w:t>
            </w:r>
            <w:r>
              <w:t>(mg/L)</w:t>
            </w:r>
          </w:p>
        </w:tc>
        <w:tc>
          <w:tcPr>
            <w:tcW w:w="3871" w:type="dxa"/>
            <w:vAlign w:val="center"/>
          </w:tcPr>
          <w:p>
            <w:pPr>
              <w:pStyle w:val="47"/>
              <w:rPr>
                <w:b/>
              </w:rPr>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0" w:type="dxa"/>
            <w:gridSpan w:val="3"/>
            <w:vAlign w:val="center"/>
          </w:tcPr>
          <w:p>
            <w:pPr>
              <w:pStyle w:val="47"/>
              <w:rPr>
                <w:b/>
              </w:rPr>
            </w:pPr>
            <w:r>
              <w:t>注：1)采用含氯消毒剂消毒的工艺控制要求为： 预处理标准：消毒接触池接触时间≥1h，接触池出口总余氯2-8 mg/L。2)采用其他消毒剂对总余氯不作要求。</w:t>
            </w:r>
          </w:p>
        </w:tc>
      </w:tr>
    </w:tbl>
    <w:p>
      <w:pPr>
        <w:pStyle w:val="40"/>
        <w:spacing w:line="240" w:lineRule="auto"/>
        <w:ind w:firstLine="420"/>
        <w:rPr>
          <w:sz w:val="21"/>
          <w:szCs w:val="21"/>
        </w:rPr>
      </w:pPr>
      <w:r>
        <w:rPr>
          <w:rFonts w:hint="eastAsia"/>
          <w:sz w:val="21"/>
          <w:szCs w:val="21"/>
        </w:rPr>
        <w:t>注</w:t>
      </w:r>
      <w:r>
        <w:rPr>
          <w:sz w:val="21"/>
          <w:szCs w:val="21"/>
        </w:rPr>
        <w:t>：*为</w:t>
      </w:r>
      <w:r>
        <w:rPr>
          <w:rFonts w:hint="eastAsia"/>
          <w:sz w:val="21"/>
          <w:szCs w:val="21"/>
        </w:rPr>
        <w:t>《污水排入城镇下水道水质标准》（</w:t>
      </w:r>
      <w:r>
        <w:rPr>
          <w:sz w:val="21"/>
          <w:szCs w:val="21"/>
        </w:rPr>
        <w:t>G</w:t>
      </w:r>
      <w:r>
        <w:rPr>
          <w:rFonts w:hint="eastAsia"/>
          <w:sz w:val="21"/>
          <w:szCs w:val="21"/>
        </w:rPr>
        <w:t>B/T</w:t>
      </w:r>
      <w:r>
        <w:rPr>
          <w:sz w:val="21"/>
          <w:szCs w:val="21"/>
        </w:rPr>
        <w:t xml:space="preserve"> </w:t>
      </w:r>
      <w:r>
        <w:rPr>
          <w:rFonts w:hint="eastAsia"/>
          <w:sz w:val="21"/>
          <w:szCs w:val="21"/>
        </w:rPr>
        <w:t>31962-2015）中B级标准</w:t>
      </w:r>
    </w:p>
    <w:p>
      <w:pPr>
        <w:pStyle w:val="5"/>
      </w:pPr>
      <w:r>
        <w:rPr>
          <w:rFonts w:hint="eastAsia"/>
        </w:rPr>
        <w:t>噪声</w:t>
      </w:r>
    </w:p>
    <w:p>
      <w:pPr>
        <w:pStyle w:val="40"/>
        <w:ind w:firstLine="480"/>
      </w:pPr>
      <w:r>
        <w:t>施工期噪声执行</w:t>
      </w:r>
      <w:r>
        <w:rPr>
          <w:rFonts w:hint="eastAsia"/>
        </w:rPr>
        <w:t>《建筑施工场界环境噪声排放标准》(</w:t>
      </w:r>
      <w:r>
        <w:t>GB12523-2011</w:t>
      </w:r>
      <w:r>
        <w:rPr>
          <w:rFonts w:hint="eastAsia"/>
        </w:rPr>
        <w:t>)</w:t>
      </w:r>
      <w:r>
        <w:t>的标准，噪声标准限值详见下表2.6-9。</w:t>
      </w:r>
    </w:p>
    <w:p>
      <w:pPr>
        <w:pStyle w:val="22"/>
      </w:pPr>
      <w:r>
        <w:t xml:space="preserve">表2.6-9  </w:t>
      </w:r>
      <w:r>
        <w:rPr>
          <w:rFonts w:hint="eastAsia"/>
        </w:rPr>
        <w:t>《</w:t>
      </w:r>
      <w:r>
        <w:t>建筑施工场界</w:t>
      </w:r>
      <w:r>
        <w:rPr>
          <w:rFonts w:hint="eastAsia"/>
        </w:rPr>
        <w:t>环境</w:t>
      </w:r>
      <w:r>
        <w:t>噪声排放标准</w:t>
      </w:r>
      <w:r>
        <w:rPr>
          <w:rFonts w:hint="eastAsia"/>
        </w:rPr>
        <w:t>》</w:t>
      </w:r>
      <w:r>
        <w:t xml:space="preserve">  单位：dB(A)</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44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433" w:type="dxa"/>
            <w:vAlign w:val="center"/>
          </w:tcPr>
          <w:p>
            <w:pPr>
              <w:pStyle w:val="47"/>
            </w:pPr>
            <w:r>
              <w:t>昼间</w:t>
            </w:r>
          </w:p>
        </w:tc>
        <w:tc>
          <w:tcPr>
            <w:tcW w:w="4437" w:type="dxa"/>
            <w:vAlign w:val="center"/>
          </w:tcPr>
          <w:p>
            <w:pPr>
              <w:pStyle w:val="47"/>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433" w:type="dxa"/>
            <w:vAlign w:val="center"/>
          </w:tcPr>
          <w:p>
            <w:pPr>
              <w:pStyle w:val="47"/>
            </w:pPr>
            <w:r>
              <w:t>70</w:t>
            </w:r>
          </w:p>
        </w:tc>
        <w:tc>
          <w:tcPr>
            <w:tcW w:w="4437" w:type="dxa"/>
            <w:vAlign w:val="center"/>
          </w:tcPr>
          <w:p>
            <w:pPr>
              <w:pStyle w:val="47"/>
            </w:pPr>
            <w:r>
              <w:t>55</w:t>
            </w:r>
          </w:p>
        </w:tc>
      </w:tr>
    </w:tbl>
    <w:p>
      <w:pPr>
        <w:pStyle w:val="40"/>
        <w:ind w:firstLine="480"/>
      </w:pPr>
      <w:r>
        <w:rPr>
          <w:rFonts w:hint="eastAsia"/>
        </w:rPr>
        <w:t>运营期项目厂界执行《工业企业厂界环境噪声放标准》（GB12348-2008）中的2类标准和4类</w:t>
      </w:r>
      <w:r>
        <w:t>标准</w:t>
      </w:r>
      <w:r>
        <w:rPr>
          <w:rFonts w:hint="eastAsia"/>
        </w:rPr>
        <w:t>。</w:t>
      </w:r>
    </w:p>
    <w:p>
      <w:pPr>
        <w:pStyle w:val="22"/>
      </w:pPr>
      <w:r>
        <w:rPr>
          <w:rFonts w:hint="eastAsia"/>
        </w:rPr>
        <w:t>表</w:t>
      </w:r>
      <w:r>
        <w:t>2.6</w:t>
      </w:r>
      <w:r>
        <w:rPr>
          <w:rFonts w:hint="eastAsia"/>
        </w:rPr>
        <w:t>-</w:t>
      </w:r>
      <w:r>
        <w:t>10</w:t>
      </w:r>
      <w:r>
        <w:rPr>
          <w:rFonts w:hint="eastAsia"/>
        </w:rPr>
        <w:t xml:space="preserve">  噪声排放标准</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9"/>
        <w:gridCol w:w="3543"/>
        <w:gridCol w:w="24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849"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项目</w:t>
            </w:r>
          </w:p>
        </w:tc>
        <w:tc>
          <w:tcPr>
            <w:tcW w:w="3543"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标准限值</w:t>
            </w:r>
          </w:p>
        </w:tc>
        <w:tc>
          <w:tcPr>
            <w:tcW w:w="2478"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849"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东、南、西厂界</w:t>
            </w:r>
            <w:r>
              <w:rPr>
                <w:rFonts w:ascii="Times New Roman" w:hAnsi="Times New Roman" w:eastAsia="宋体" w:cs="Times New Roman"/>
                <w:kern w:val="0"/>
                <w:szCs w:val="20"/>
              </w:rPr>
              <w:t>噪声</w:t>
            </w:r>
          </w:p>
        </w:tc>
        <w:tc>
          <w:tcPr>
            <w:tcW w:w="3543"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ascii="Times New Roman" w:hAnsi="Times New Roman" w:eastAsia="宋体" w:cs="Times New Roman"/>
                <w:spacing w:val="2"/>
                <w:kern w:val="0"/>
                <w:szCs w:val="21"/>
              </w:rPr>
              <w:t>昼间60dB，夜间50dB</w:t>
            </w:r>
          </w:p>
        </w:tc>
        <w:tc>
          <w:tcPr>
            <w:tcW w:w="2478"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ascii="Times New Roman" w:hAnsi="Times New Roman" w:eastAsia="宋体" w:cs="Times New Roman"/>
                <w:spacing w:val="2"/>
                <w:kern w:val="0"/>
                <w:szCs w:val="21"/>
              </w:rPr>
              <w:t>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849" w:type="dxa"/>
            <w:vAlign w:val="center"/>
          </w:tcPr>
          <w:p>
            <w:pPr>
              <w:widowControl/>
              <w:autoSpaceDE w:val="0"/>
              <w:autoSpaceDN w:val="0"/>
              <w:adjustRightInd w:val="0"/>
              <w:snapToGri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北厂界噪声</w:t>
            </w:r>
          </w:p>
        </w:tc>
        <w:tc>
          <w:tcPr>
            <w:tcW w:w="3543" w:type="dxa"/>
            <w:vAlign w:val="center"/>
          </w:tcPr>
          <w:p>
            <w:pPr>
              <w:widowControl/>
              <w:autoSpaceDE w:val="0"/>
              <w:autoSpaceDN w:val="0"/>
              <w:adjustRightInd w:val="0"/>
              <w:snapToGrid w:val="0"/>
              <w:jc w:val="center"/>
              <w:textAlignment w:val="bottom"/>
              <w:rPr>
                <w:rFonts w:ascii="Times New Roman" w:hAnsi="Times New Roman" w:eastAsia="宋体" w:cs="Times New Roman"/>
                <w:spacing w:val="2"/>
                <w:kern w:val="0"/>
                <w:szCs w:val="21"/>
              </w:rPr>
            </w:pPr>
            <w:r>
              <w:rPr>
                <w:rFonts w:ascii="Times New Roman" w:hAnsi="Times New Roman" w:eastAsia="宋体" w:cs="Times New Roman"/>
                <w:spacing w:val="2"/>
                <w:kern w:val="0"/>
                <w:szCs w:val="21"/>
              </w:rPr>
              <w:t>昼间70dB，夜间55dB</w:t>
            </w:r>
          </w:p>
        </w:tc>
        <w:tc>
          <w:tcPr>
            <w:tcW w:w="2478" w:type="dxa"/>
            <w:vAlign w:val="center"/>
          </w:tcPr>
          <w:p>
            <w:pPr>
              <w:widowControl/>
              <w:autoSpaceDE w:val="0"/>
              <w:autoSpaceDN w:val="0"/>
              <w:adjustRightInd w:val="0"/>
              <w:snapToGrid w:val="0"/>
              <w:jc w:val="center"/>
              <w:textAlignment w:val="bottom"/>
              <w:rPr>
                <w:rFonts w:ascii="Times New Roman" w:hAnsi="Times New Roman" w:eastAsia="宋体" w:cs="Times New Roman"/>
                <w:spacing w:val="2"/>
                <w:kern w:val="0"/>
                <w:szCs w:val="21"/>
              </w:rPr>
            </w:pPr>
            <w:r>
              <w:rPr>
                <w:rFonts w:hint="eastAsia" w:ascii="Times New Roman" w:hAnsi="Times New Roman" w:eastAsia="宋体" w:cs="Times New Roman"/>
                <w:spacing w:val="2"/>
                <w:kern w:val="0"/>
                <w:szCs w:val="21"/>
              </w:rPr>
              <w:t>4类</w:t>
            </w:r>
            <w:r>
              <w:rPr>
                <w:rFonts w:ascii="Times New Roman" w:hAnsi="Times New Roman" w:eastAsia="宋体" w:cs="Times New Roman"/>
                <w:spacing w:val="2"/>
                <w:kern w:val="0"/>
                <w:szCs w:val="21"/>
              </w:rPr>
              <w:t>标准</w:t>
            </w:r>
          </w:p>
        </w:tc>
      </w:tr>
    </w:tbl>
    <w:p>
      <w:pPr>
        <w:pStyle w:val="5"/>
      </w:pPr>
      <w:r>
        <w:rPr>
          <w:rFonts w:hint="eastAsia"/>
        </w:rPr>
        <w:t>固废</w:t>
      </w:r>
    </w:p>
    <w:p>
      <w:pPr>
        <w:pStyle w:val="40"/>
        <w:ind w:firstLine="480"/>
      </w:pPr>
      <w:r>
        <w:rPr>
          <w:rFonts w:hint="eastAsia"/>
          <w:color w:val="FF0000"/>
        </w:rPr>
        <w:t>根据《医疗机构水污染物排放标准》（</w:t>
      </w:r>
      <w:r>
        <w:rPr>
          <w:color w:val="FF0000"/>
        </w:rPr>
        <w:t>GB18466-2005</w:t>
      </w:r>
      <w:r>
        <w:rPr>
          <w:rFonts w:hint="eastAsia"/>
          <w:color w:val="FF0000"/>
        </w:rPr>
        <w:t>），栅渣</w:t>
      </w:r>
      <w:r>
        <w:rPr>
          <w:color w:val="FF0000"/>
        </w:rPr>
        <w:t>、化粪池和污水处理站污泥属于危险废物进行处理和处置，</w:t>
      </w:r>
      <w:r>
        <w:rPr>
          <w:rFonts w:hint="eastAsia"/>
        </w:rPr>
        <w:t>执行《医疗机构水污染物排放标准》（</w:t>
      </w:r>
      <w:r>
        <w:t>GB18466-2005</w:t>
      </w:r>
      <w:r>
        <w:rPr>
          <w:rFonts w:hint="eastAsia"/>
        </w:rPr>
        <w:t>）中“污泥控制与处置”的要求，具体排放标准见表</w:t>
      </w:r>
      <w:r>
        <w:t>2.6-11</w:t>
      </w:r>
      <w:r>
        <w:rPr>
          <w:rFonts w:hint="eastAsia"/>
        </w:rPr>
        <w:t>。</w:t>
      </w:r>
    </w:p>
    <w:p>
      <w:pPr>
        <w:pStyle w:val="22"/>
      </w:pPr>
    </w:p>
    <w:p>
      <w:pPr>
        <w:pStyle w:val="22"/>
      </w:pPr>
      <w:r>
        <w:t xml:space="preserve">表2.6-11  </w:t>
      </w:r>
      <w:r>
        <w:rPr>
          <w:rFonts w:hint="eastAsia"/>
        </w:rPr>
        <w:t>污泥控制与处置</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2043"/>
        <w:gridCol w:w="1773"/>
        <w:gridCol w:w="962"/>
        <w:gridCol w:w="827"/>
        <w:gridCol w:w="827"/>
        <w:gridCol w:w="827"/>
        <w:gridCol w:w="1611"/>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228" w:hRule="atLeast"/>
        </w:trPr>
        <w:tc>
          <w:tcPr>
            <w:tcW w:w="2043" w:type="dxa"/>
            <w:vAlign w:val="center"/>
          </w:tcPr>
          <w:p>
            <w:pPr>
              <w:pStyle w:val="47"/>
            </w:pPr>
            <w:r>
              <w:t>污染物名称</w:t>
            </w:r>
          </w:p>
        </w:tc>
        <w:tc>
          <w:tcPr>
            <w:tcW w:w="1773" w:type="dxa"/>
            <w:vAlign w:val="center"/>
          </w:tcPr>
          <w:p>
            <w:pPr>
              <w:pStyle w:val="47"/>
            </w:pPr>
            <w:r>
              <w:t>粪大肠菌群数(MPN/g)</w:t>
            </w:r>
          </w:p>
        </w:tc>
        <w:tc>
          <w:tcPr>
            <w:tcW w:w="962" w:type="dxa"/>
            <w:vAlign w:val="center"/>
          </w:tcPr>
          <w:p>
            <w:pPr>
              <w:pStyle w:val="47"/>
            </w:pPr>
            <w:r>
              <w:t>肠道致病菌</w:t>
            </w:r>
          </w:p>
        </w:tc>
        <w:tc>
          <w:tcPr>
            <w:tcW w:w="827" w:type="dxa"/>
            <w:vAlign w:val="center"/>
          </w:tcPr>
          <w:p>
            <w:pPr>
              <w:pStyle w:val="47"/>
            </w:pPr>
            <w:r>
              <w:t>肠道病毒</w:t>
            </w:r>
          </w:p>
        </w:tc>
        <w:tc>
          <w:tcPr>
            <w:tcW w:w="827" w:type="dxa"/>
            <w:vAlign w:val="center"/>
          </w:tcPr>
          <w:p>
            <w:pPr>
              <w:pStyle w:val="47"/>
            </w:pPr>
            <w:r>
              <w:t>肠道病毒</w:t>
            </w:r>
          </w:p>
        </w:tc>
        <w:tc>
          <w:tcPr>
            <w:tcW w:w="827" w:type="dxa"/>
            <w:vAlign w:val="center"/>
          </w:tcPr>
          <w:p>
            <w:pPr>
              <w:pStyle w:val="47"/>
            </w:pPr>
            <w:r>
              <w:t>结核杆菌</w:t>
            </w:r>
          </w:p>
        </w:tc>
        <w:tc>
          <w:tcPr>
            <w:tcW w:w="1611" w:type="dxa"/>
            <w:vAlign w:val="center"/>
          </w:tcPr>
          <w:p>
            <w:pPr>
              <w:pStyle w:val="47"/>
            </w:pPr>
            <w:r>
              <w:t>蛔虫卵死亡率（%）</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Ex>
        <w:trPr>
          <w:trHeight w:val="225" w:hRule="atLeast"/>
        </w:trPr>
        <w:tc>
          <w:tcPr>
            <w:tcW w:w="2043" w:type="dxa"/>
            <w:vAlign w:val="center"/>
          </w:tcPr>
          <w:p>
            <w:pPr>
              <w:pStyle w:val="47"/>
            </w:pPr>
            <w:r>
              <w:t>综合医疗机构和其它医疗机构</w:t>
            </w:r>
          </w:p>
        </w:tc>
        <w:tc>
          <w:tcPr>
            <w:tcW w:w="1773" w:type="dxa"/>
            <w:vAlign w:val="center"/>
          </w:tcPr>
          <w:p>
            <w:pPr>
              <w:pStyle w:val="47"/>
            </w:pPr>
            <w:r>
              <w:t>≤100</w:t>
            </w:r>
          </w:p>
        </w:tc>
        <w:tc>
          <w:tcPr>
            <w:tcW w:w="962" w:type="dxa"/>
            <w:vAlign w:val="center"/>
          </w:tcPr>
          <w:p>
            <w:pPr>
              <w:pStyle w:val="47"/>
            </w:pPr>
            <w:r>
              <w:t>－</w:t>
            </w:r>
          </w:p>
        </w:tc>
        <w:tc>
          <w:tcPr>
            <w:tcW w:w="827" w:type="dxa"/>
            <w:vAlign w:val="center"/>
          </w:tcPr>
          <w:p>
            <w:pPr>
              <w:pStyle w:val="47"/>
            </w:pPr>
            <w:r>
              <w:t>－</w:t>
            </w:r>
          </w:p>
        </w:tc>
        <w:tc>
          <w:tcPr>
            <w:tcW w:w="827" w:type="dxa"/>
            <w:vAlign w:val="center"/>
          </w:tcPr>
          <w:p>
            <w:pPr>
              <w:pStyle w:val="47"/>
            </w:pPr>
            <w:r>
              <w:t>－</w:t>
            </w:r>
          </w:p>
        </w:tc>
        <w:tc>
          <w:tcPr>
            <w:tcW w:w="827" w:type="dxa"/>
            <w:vAlign w:val="center"/>
          </w:tcPr>
          <w:p>
            <w:pPr>
              <w:pStyle w:val="47"/>
            </w:pPr>
            <w:r>
              <w:t>－</w:t>
            </w:r>
          </w:p>
        </w:tc>
        <w:tc>
          <w:tcPr>
            <w:tcW w:w="1611" w:type="dxa"/>
            <w:vAlign w:val="center"/>
          </w:tcPr>
          <w:p>
            <w:pPr>
              <w:pStyle w:val="47"/>
            </w:pPr>
            <w:r>
              <w:t>&gt;95</w:t>
            </w:r>
          </w:p>
        </w:tc>
      </w:tr>
    </w:tbl>
    <w:p>
      <w:pPr>
        <w:pStyle w:val="40"/>
        <w:ind w:firstLine="480"/>
      </w:pPr>
      <w:r>
        <w:rPr>
          <w:rFonts w:hint="eastAsia"/>
        </w:rPr>
        <w:t>危险废物执行《危险废物贮存污染控制标准》（GB18597-2001）；生活垃圾执行《城市生活垃圾管理办法》（建设部令第157号）中相关规定。</w:t>
      </w:r>
    </w:p>
    <w:p>
      <w:pPr>
        <w:pStyle w:val="3"/>
      </w:pPr>
      <w:bookmarkStart w:id="22" w:name="_Toc113260422"/>
      <w:r>
        <w:rPr>
          <w:rFonts w:hint="eastAsia"/>
        </w:rPr>
        <w:t>污染</w:t>
      </w:r>
      <w:r>
        <w:t>控制目标和环境保护目标</w:t>
      </w:r>
      <w:bookmarkEnd w:id="22"/>
    </w:p>
    <w:p>
      <w:pPr>
        <w:pStyle w:val="4"/>
      </w:pPr>
      <w:r>
        <w:rPr>
          <w:rFonts w:hint="eastAsia"/>
        </w:rPr>
        <w:t>污染</w:t>
      </w:r>
      <w:r>
        <w:t>控制目标</w:t>
      </w:r>
    </w:p>
    <w:p>
      <w:pPr>
        <w:pStyle w:val="40"/>
        <w:ind w:firstLine="480"/>
      </w:pPr>
      <w:r>
        <w:rPr>
          <w:rFonts w:hint="eastAsia"/>
        </w:rPr>
        <w:t>（1）施工期</w:t>
      </w:r>
    </w:p>
    <w:p>
      <w:pPr>
        <w:pStyle w:val="40"/>
        <w:ind w:firstLine="480"/>
      </w:pPr>
      <w:r>
        <w:rPr>
          <w:rFonts w:hint="eastAsia"/>
        </w:rPr>
        <w:t>本项目施工期应严格控制施工噪声和施工扬尘等对环境的影响，施工期污染控制措施与目标见表</w:t>
      </w:r>
      <w:r>
        <w:t>2.7</w:t>
      </w:r>
      <w:r>
        <w:rPr>
          <w:rFonts w:hint="eastAsia"/>
        </w:rPr>
        <w:t>-1。</w:t>
      </w:r>
    </w:p>
    <w:p>
      <w:pPr>
        <w:pStyle w:val="22"/>
      </w:pPr>
      <w:r>
        <w:t>表2.7-1  施工期污染控制措施与目标</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22"/>
        <w:gridCol w:w="2530"/>
        <w:gridCol w:w="5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tblHeader/>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控制对象</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控制因素</w:t>
            </w:r>
          </w:p>
        </w:tc>
        <w:tc>
          <w:tcPr>
            <w:tcW w:w="5418"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控制措施与目标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废气</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施工扬尘、道路扬尘、施工车辆尾气</w:t>
            </w:r>
          </w:p>
        </w:tc>
        <w:tc>
          <w:tcPr>
            <w:tcW w:w="5418" w:type="dxa"/>
            <w:vAlign w:val="center"/>
          </w:tcPr>
          <w:p>
            <w:pPr>
              <w:adjustRightInd w:val="0"/>
              <w:snapToGrid w:val="0"/>
              <w:rPr>
                <w:rFonts w:ascii="Times New Roman" w:hAnsi="Times New Roman" w:eastAsia="宋体" w:cstheme="majorBidi"/>
                <w:bCs/>
                <w:kern w:val="28"/>
                <w:szCs w:val="32"/>
              </w:rPr>
            </w:pPr>
            <w:r>
              <w:rPr>
                <w:rFonts w:ascii="Times New Roman" w:hAnsi="Times New Roman" w:eastAsia="宋体" w:cstheme="majorBidi"/>
                <w:bCs/>
                <w:kern w:val="28"/>
                <w:szCs w:val="32"/>
              </w:rPr>
              <w:t>对施工场地采取设围栏、定期洒水等措施，控制施工扬尘必须满足《</w:t>
            </w:r>
            <w:r>
              <w:rPr>
                <w:rFonts w:hint="eastAsia" w:ascii="Times New Roman" w:hAnsi="Times New Roman" w:eastAsia="宋体" w:cstheme="majorBidi"/>
                <w:bCs/>
                <w:kern w:val="28"/>
                <w:szCs w:val="32"/>
              </w:rPr>
              <w:t>施工场界</w:t>
            </w:r>
            <w:r>
              <w:rPr>
                <w:rFonts w:ascii="Times New Roman" w:hAnsi="Times New Roman" w:eastAsia="宋体" w:cstheme="majorBidi"/>
                <w:bCs/>
                <w:kern w:val="28"/>
                <w:szCs w:val="32"/>
              </w:rPr>
              <w:t>扬尘排放限值》</w:t>
            </w:r>
            <w:r>
              <w:rPr>
                <w:rFonts w:hint="eastAsia" w:ascii="Times New Roman" w:hAnsi="Times New Roman" w:eastAsia="宋体" w:cstheme="majorBidi"/>
                <w:bCs/>
                <w:kern w:val="28"/>
                <w:szCs w:val="32"/>
              </w:rPr>
              <w:t>（DB61/1078</w:t>
            </w:r>
            <w:r>
              <w:rPr>
                <w:rFonts w:ascii="Times New Roman" w:hAnsi="Times New Roman" w:eastAsia="宋体" w:cstheme="majorBidi"/>
                <w:bCs/>
                <w:kern w:val="28"/>
                <w:szCs w:val="32"/>
              </w:rPr>
              <w:t>-2017</w:t>
            </w:r>
            <w:r>
              <w:rPr>
                <w:rFonts w:hint="eastAsia" w:ascii="Times New Roman" w:hAnsi="Times New Roman" w:eastAsia="宋体" w:cstheme="majorBidi"/>
                <w:bCs/>
                <w:kern w:val="28"/>
                <w:szCs w:val="32"/>
              </w:rPr>
              <w:t>）</w:t>
            </w:r>
            <w:r>
              <w:rPr>
                <w:rFonts w:ascii="Times New Roman" w:hAnsi="Times New Roman" w:eastAsia="宋体" w:cstheme="majorBidi"/>
                <w:bCs/>
                <w:kern w:val="28"/>
                <w:szCs w:val="32"/>
              </w:rPr>
              <w:t>中无组织排放监控浓度限值。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污水</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施工生产废水、生活污水</w:t>
            </w:r>
          </w:p>
        </w:tc>
        <w:tc>
          <w:tcPr>
            <w:tcW w:w="5418" w:type="dxa"/>
            <w:vAlign w:val="center"/>
          </w:tcPr>
          <w:p>
            <w:pPr>
              <w:adjustRightInd w:val="0"/>
              <w:snapToGrid w:val="0"/>
              <w:jc w:val="left"/>
              <w:rPr>
                <w:rFonts w:ascii="Times New Roman" w:hAnsi="Times New Roman" w:eastAsia="宋体" w:cstheme="majorBidi"/>
                <w:bCs/>
                <w:kern w:val="28"/>
                <w:szCs w:val="32"/>
              </w:rPr>
            </w:pPr>
            <w:r>
              <w:rPr>
                <w:rFonts w:ascii="Times New Roman" w:hAnsi="Times New Roman" w:eastAsia="宋体" w:cstheme="majorBidi"/>
                <w:bCs/>
                <w:kern w:val="28"/>
                <w:szCs w:val="32"/>
              </w:rPr>
              <w:t>生产废水设置临时</w:t>
            </w:r>
            <w:r>
              <w:rPr>
                <w:rFonts w:hint="eastAsia" w:ascii="Times New Roman" w:hAnsi="Times New Roman" w:eastAsia="宋体" w:cstheme="majorBidi"/>
                <w:bCs/>
                <w:kern w:val="28"/>
                <w:szCs w:val="32"/>
              </w:rPr>
              <w:t>沉淀</w:t>
            </w:r>
            <w:r>
              <w:rPr>
                <w:rFonts w:ascii="Times New Roman" w:hAnsi="Times New Roman" w:eastAsia="宋体" w:cstheme="majorBidi"/>
                <w:bCs/>
                <w:kern w:val="28"/>
                <w:szCs w:val="32"/>
              </w:rPr>
              <w:t>池，经沉淀后全部回用；</w:t>
            </w:r>
            <w:r>
              <w:rPr>
                <w:rFonts w:hint="eastAsia" w:ascii="Times New Roman" w:hAnsi="Times New Roman" w:eastAsia="宋体" w:cstheme="majorBidi"/>
                <w:bCs/>
                <w:kern w:val="28"/>
                <w:szCs w:val="32"/>
              </w:rPr>
              <w:t>生活</w:t>
            </w:r>
            <w:r>
              <w:rPr>
                <w:rFonts w:ascii="Times New Roman" w:hAnsi="Times New Roman" w:eastAsia="宋体" w:cstheme="majorBidi"/>
                <w:bCs/>
                <w:kern w:val="28"/>
                <w:szCs w:val="32"/>
              </w:rPr>
              <w:t>废水场区设临时</w:t>
            </w:r>
            <w:r>
              <w:rPr>
                <w:rFonts w:hint="eastAsia" w:ascii="Times New Roman" w:hAnsi="Times New Roman" w:eastAsia="宋体" w:cstheme="majorBidi"/>
                <w:bCs/>
                <w:kern w:val="28"/>
                <w:szCs w:val="32"/>
              </w:rPr>
              <w:t>化粪池</w:t>
            </w:r>
            <w:r>
              <w:rPr>
                <w:rFonts w:ascii="Times New Roman" w:hAnsi="Times New Roman" w:eastAsia="宋体" w:cstheme="majorBidi"/>
                <w:bCs/>
                <w:kern w:val="28"/>
                <w:szCs w:val="32"/>
              </w:rPr>
              <w:t>，</w:t>
            </w:r>
            <w:r>
              <w:rPr>
                <w:rFonts w:hint="eastAsia" w:ascii="Times New Roman" w:hAnsi="Times New Roman" w:eastAsia="宋体" w:cstheme="majorBidi"/>
                <w:bCs/>
                <w:kern w:val="28"/>
                <w:szCs w:val="32"/>
              </w:rPr>
              <w:t>经化粪池处理后</w:t>
            </w:r>
            <w:r>
              <w:rPr>
                <w:rFonts w:ascii="Times New Roman" w:hAnsi="Times New Roman" w:eastAsia="宋体" w:cstheme="majorBidi"/>
                <w:bCs/>
                <w:kern w:val="28"/>
                <w:szCs w:val="32"/>
              </w:rPr>
              <w:t>排入市政</w:t>
            </w:r>
            <w:r>
              <w:rPr>
                <w:rFonts w:hint="eastAsia" w:ascii="Times New Roman" w:hAnsi="Times New Roman" w:eastAsia="宋体" w:cstheme="majorBidi"/>
                <w:bCs/>
                <w:kern w:val="28"/>
                <w:szCs w:val="32"/>
              </w:rPr>
              <w:t>管网</w:t>
            </w:r>
            <w:r>
              <w:rPr>
                <w:rFonts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噪声</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施工机械及运输车辆产生的噪声</w:t>
            </w:r>
          </w:p>
        </w:tc>
        <w:tc>
          <w:tcPr>
            <w:tcW w:w="5418" w:type="dxa"/>
            <w:vAlign w:val="center"/>
          </w:tcPr>
          <w:p>
            <w:pPr>
              <w:adjustRightInd w:val="0"/>
              <w:snapToGrid w:val="0"/>
              <w:jc w:val="left"/>
              <w:rPr>
                <w:rFonts w:ascii="Times New Roman" w:hAnsi="Times New Roman" w:eastAsia="宋体" w:cstheme="majorBidi"/>
                <w:bCs/>
                <w:kern w:val="28"/>
                <w:szCs w:val="32"/>
              </w:rPr>
            </w:pPr>
            <w:r>
              <w:rPr>
                <w:rFonts w:ascii="Times New Roman" w:hAnsi="Times New Roman" w:eastAsia="宋体" w:cstheme="majorBidi"/>
                <w:bCs/>
                <w:kern w:val="28"/>
                <w:szCs w:val="32"/>
              </w:rPr>
              <w:t>对施工场地设围栏，采用低噪声施工机械设备，合理安排施工时间，控制施工机械噪声符合《建筑施工场界环境噪声排放标准》（GB12523-2011）。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固体废物</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弃土、弃渣、建筑废料及生活垃圾</w:t>
            </w:r>
          </w:p>
        </w:tc>
        <w:tc>
          <w:tcPr>
            <w:tcW w:w="5418" w:type="dxa"/>
            <w:vAlign w:val="center"/>
          </w:tcPr>
          <w:p>
            <w:pPr>
              <w:adjustRightInd w:val="0"/>
              <w:snapToGrid w:val="0"/>
              <w:jc w:val="left"/>
              <w:rPr>
                <w:rFonts w:ascii="Times New Roman" w:hAnsi="Times New Roman" w:eastAsia="宋体" w:cstheme="majorBidi"/>
                <w:bCs/>
                <w:kern w:val="28"/>
                <w:szCs w:val="32"/>
              </w:rPr>
            </w:pPr>
            <w:r>
              <w:rPr>
                <w:rFonts w:ascii="Times New Roman" w:hAnsi="Times New Roman" w:eastAsia="宋体" w:cstheme="majorBidi"/>
                <w:bCs/>
                <w:kern w:val="28"/>
                <w:szCs w:val="32"/>
              </w:rPr>
              <w:t>建筑垃圾、生活垃圾分类收集，及时清运到环保部门指定地点处置。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98" w:hRule="atLeast"/>
          <w:jc w:val="center"/>
        </w:trPr>
        <w:tc>
          <w:tcPr>
            <w:tcW w:w="9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生态影响</w:t>
            </w:r>
          </w:p>
        </w:tc>
        <w:tc>
          <w:tcPr>
            <w:tcW w:w="25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压占土地、改变土地利用性质，破坏植被、造成水土流失</w:t>
            </w:r>
          </w:p>
        </w:tc>
        <w:tc>
          <w:tcPr>
            <w:tcW w:w="5418" w:type="dxa"/>
            <w:vAlign w:val="center"/>
          </w:tcPr>
          <w:p>
            <w:pPr>
              <w:adjustRightInd w:val="0"/>
              <w:snapToGrid w:val="0"/>
              <w:jc w:val="left"/>
              <w:rPr>
                <w:rFonts w:ascii="Times New Roman" w:hAnsi="Times New Roman" w:eastAsia="宋体" w:cstheme="majorBidi"/>
                <w:bCs/>
                <w:kern w:val="28"/>
                <w:szCs w:val="32"/>
              </w:rPr>
            </w:pPr>
            <w:r>
              <w:rPr>
                <w:rFonts w:ascii="Times New Roman" w:hAnsi="Times New Roman" w:eastAsia="宋体" w:cstheme="majorBidi"/>
                <w:bCs/>
                <w:kern w:val="28"/>
                <w:szCs w:val="32"/>
              </w:rPr>
              <w:t>限制施工范围，物料及土石方设置维护结构，保存表层土壤，及时平整场地尽快恢复植被。</w:t>
            </w:r>
          </w:p>
        </w:tc>
      </w:tr>
    </w:tbl>
    <w:p>
      <w:pPr>
        <w:pStyle w:val="40"/>
        <w:ind w:firstLine="480"/>
      </w:pPr>
      <w:r>
        <w:rPr>
          <w:rFonts w:hint="eastAsia"/>
        </w:rPr>
        <w:t>（2）运营期</w:t>
      </w:r>
    </w:p>
    <w:p>
      <w:pPr>
        <w:pStyle w:val="40"/>
        <w:ind w:firstLine="480"/>
      </w:pPr>
      <w:r>
        <w:rPr>
          <w:rFonts w:hint="eastAsia"/>
        </w:rPr>
        <w:t>运行期主要控制“三废”和噪声的排放，具体控制内容与目标见表2.7-2。</w:t>
      </w:r>
    </w:p>
    <w:p>
      <w:pPr>
        <w:pStyle w:val="22"/>
      </w:pPr>
      <w:r>
        <w:br w:type="column"/>
      </w:r>
      <w:r>
        <w:t>表2.7-2  污染控制内容与目标</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98"/>
        <w:gridCol w:w="1366"/>
        <w:gridCol w:w="2430"/>
        <w:gridCol w:w="2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Align w:val="center"/>
          </w:tcPr>
          <w:p>
            <w:pPr>
              <w:adjustRightInd w:val="0"/>
              <w:snapToGrid w:val="0"/>
              <w:jc w:val="center"/>
              <w:rPr>
                <w:rFonts w:ascii="Times New Roman" w:hAnsi="Times New Roman" w:eastAsia="宋体" w:cs="Times New Roman"/>
                <w:spacing w:val="-4"/>
                <w:szCs w:val="21"/>
              </w:rPr>
            </w:pPr>
            <w:bookmarkStart w:id="23" w:name="_Toc169062561"/>
            <w:r>
              <w:rPr>
                <w:rFonts w:ascii="Times New Roman" w:hAnsi="Times New Roman" w:eastAsia="宋体" w:cs="Times New Roman"/>
                <w:spacing w:val="-4"/>
                <w:szCs w:val="21"/>
              </w:rPr>
              <w:t>污染控制类型</w:t>
            </w: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污染</w:t>
            </w:r>
            <w:r>
              <w:rPr>
                <w:rFonts w:ascii="Times New Roman" w:hAnsi="Times New Roman" w:eastAsia="宋体" w:cs="Times New Roman"/>
                <w:spacing w:val="-4"/>
                <w:szCs w:val="21"/>
              </w:rPr>
              <w:t>源</w:t>
            </w:r>
            <w:r>
              <w:rPr>
                <w:rFonts w:hint="eastAsia" w:ascii="Times New Roman" w:hAnsi="Times New Roman" w:eastAsia="宋体" w:cs="Times New Roman"/>
                <w:spacing w:val="-4"/>
                <w:szCs w:val="21"/>
              </w:rPr>
              <w:t>工序</w:t>
            </w:r>
          </w:p>
        </w:tc>
        <w:tc>
          <w:tcPr>
            <w:tcW w:w="1366"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主要污染物</w:t>
            </w:r>
          </w:p>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控制因子</w:t>
            </w:r>
          </w:p>
        </w:tc>
        <w:tc>
          <w:tcPr>
            <w:tcW w:w="2430"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控制措施</w:t>
            </w:r>
          </w:p>
        </w:tc>
        <w:tc>
          <w:tcPr>
            <w:tcW w:w="2805"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控制目标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废水</w:t>
            </w: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医疗废水</w:t>
            </w:r>
          </w:p>
        </w:tc>
        <w:tc>
          <w:tcPr>
            <w:tcW w:w="1366"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CODcr、BOD</w:t>
            </w:r>
            <w:r>
              <w:rPr>
                <w:rFonts w:ascii="Times New Roman" w:hAnsi="Times New Roman" w:eastAsia="宋体" w:cs="Times New Roman"/>
                <w:spacing w:val="-4"/>
                <w:szCs w:val="21"/>
                <w:vertAlign w:val="subscript"/>
              </w:rPr>
              <w:t>5</w:t>
            </w:r>
            <w:r>
              <w:rPr>
                <w:rFonts w:ascii="Times New Roman" w:hAnsi="Times New Roman" w:eastAsia="宋体" w:cs="Times New Roman"/>
                <w:spacing w:val="-4"/>
                <w:szCs w:val="21"/>
              </w:rPr>
              <w:t>、SS、氨氮、</w:t>
            </w:r>
            <w:r>
              <w:rPr>
                <w:rFonts w:hint="eastAsia" w:ascii="Times New Roman" w:hAnsi="Times New Roman" w:eastAsia="宋体" w:cs="Times New Roman"/>
                <w:color w:val="FF0000"/>
                <w:spacing w:val="-4"/>
                <w:szCs w:val="21"/>
              </w:rPr>
              <w:t>粪大肠菌群数</w:t>
            </w:r>
            <w:r>
              <w:rPr>
                <w:rFonts w:ascii="Times New Roman" w:hAnsi="Times New Roman" w:eastAsia="宋体" w:cs="Times New Roman"/>
                <w:color w:val="FF0000"/>
                <w:spacing w:val="-4"/>
                <w:szCs w:val="21"/>
              </w:rPr>
              <w:t>、</w:t>
            </w:r>
            <w:r>
              <w:rPr>
                <w:rFonts w:hint="eastAsia" w:ascii="Times New Roman" w:hAnsi="Times New Roman" w:eastAsia="宋体" w:cs="Times New Roman"/>
                <w:color w:val="FF0000"/>
                <w:spacing w:val="-4"/>
                <w:szCs w:val="21"/>
              </w:rPr>
              <w:t>总</w:t>
            </w:r>
            <w:r>
              <w:rPr>
                <w:rFonts w:ascii="Times New Roman" w:hAnsi="Times New Roman" w:eastAsia="宋体" w:cs="Times New Roman"/>
                <w:color w:val="FF0000"/>
                <w:spacing w:val="-4"/>
                <w:szCs w:val="21"/>
              </w:rPr>
              <w:t>余氯</w:t>
            </w:r>
            <w:r>
              <w:rPr>
                <w:rFonts w:hint="eastAsia" w:ascii="Times New Roman" w:hAnsi="Times New Roman" w:eastAsia="宋体" w:cs="Times New Roman"/>
                <w:spacing w:val="-4"/>
                <w:szCs w:val="21"/>
              </w:rPr>
              <w:t>等</w:t>
            </w:r>
          </w:p>
        </w:tc>
        <w:tc>
          <w:tcPr>
            <w:tcW w:w="2430" w:type="dxa"/>
            <w:vAlign w:val="center"/>
          </w:tcPr>
          <w:p>
            <w:pPr>
              <w:adjustRightInd w:val="0"/>
              <w:snapToGrid w:val="0"/>
              <w:jc w:val="center"/>
              <w:rPr>
                <w:rFonts w:ascii="Times New Roman" w:hAnsi="Times New Roman" w:eastAsia="宋体" w:cs="Times New Roman"/>
                <w:spacing w:val="-4"/>
                <w:szCs w:val="21"/>
                <w:highlight w:val="yellow"/>
              </w:rPr>
            </w:pPr>
            <w:r>
              <w:rPr>
                <w:rFonts w:hint="eastAsia" w:ascii="Times New Roman" w:hAnsi="Times New Roman" w:eastAsia="宋体" w:cs="Times New Roman"/>
                <w:spacing w:val="-4"/>
                <w:szCs w:val="21"/>
              </w:rPr>
              <w:t>食堂废水</w:t>
            </w:r>
            <w:r>
              <w:rPr>
                <w:rFonts w:ascii="Times New Roman" w:hAnsi="Times New Roman" w:eastAsia="宋体" w:cs="Times New Roman"/>
                <w:spacing w:val="-4"/>
                <w:szCs w:val="21"/>
              </w:rPr>
              <w:t>经隔油池预处理</w:t>
            </w:r>
            <w:r>
              <w:rPr>
                <w:rFonts w:hint="eastAsia" w:ascii="Times New Roman" w:hAnsi="Times New Roman" w:eastAsia="宋体" w:cs="Times New Roman"/>
                <w:spacing w:val="-4"/>
                <w:szCs w:val="21"/>
              </w:rPr>
              <w:t>，</w:t>
            </w:r>
            <w:r>
              <w:rPr>
                <w:rFonts w:ascii="Times New Roman" w:hAnsi="Times New Roman" w:eastAsia="宋体" w:cs="Times New Roman"/>
                <w:spacing w:val="-4"/>
                <w:szCs w:val="21"/>
              </w:rPr>
              <w:t>生活污水经化粪池预处理后</w:t>
            </w:r>
            <w:r>
              <w:rPr>
                <w:rFonts w:hint="eastAsia" w:ascii="Times New Roman" w:hAnsi="Times New Roman" w:eastAsia="宋体" w:cs="Times New Roman"/>
                <w:spacing w:val="-4"/>
                <w:szCs w:val="21"/>
              </w:rPr>
              <w:t>与</w:t>
            </w:r>
            <w:r>
              <w:rPr>
                <w:rFonts w:ascii="Times New Roman" w:hAnsi="Times New Roman" w:eastAsia="宋体" w:cs="Times New Roman"/>
                <w:spacing w:val="-4"/>
                <w:szCs w:val="21"/>
              </w:rPr>
              <w:t>医疗废水一同汇入自建污水处理站处理，经自建污水站</w:t>
            </w:r>
            <w:r>
              <w:rPr>
                <w:rFonts w:hint="eastAsia" w:ascii="Times New Roman" w:hAnsi="Times New Roman" w:eastAsia="宋体" w:cs="Times New Roman"/>
                <w:spacing w:val="-4"/>
                <w:szCs w:val="21"/>
              </w:rPr>
              <w:t>处理</w:t>
            </w:r>
            <w:r>
              <w:rPr>
                <w:rFonts w:ascii="Times New Roman" w:hAnsi="Times New Roman" w:eastAsia="宋体" w:cs="Times New Roman"/>
                <w:spacing w:val="-4"/>
                <w:szCs w:val="21"/>
              </w:rPr>
              <w:t>后排</w:t>
            </w:r>
            <w:r>
              <w:rPr>
                <w:rFonts w:hint="eastAsia" w:ascii="Times New Roman" w:hAnsi="Times New Roman" w:eastAsia="宋体" w:cs="Times New Roman"/>
                <w:spacing w:val="-4"/>
                <w:szCs w:val="21"/>
              </w:rPr>
              <w:t>入安康市恒口示范区污水处理厂</w:t>
            </w:r>
          </w:p>
        </w:tc>
        <w:tc>
          <w:tcPr>
            <w:tcW w:w="2805"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《医疗机构水污染物排放标准》（GB18466-2005）中预处理标准和</w:t>
            </w:r>
            <w:r>
              <w:rPr>
                <w:rFonts w:ascii="Times New Roman" w:hAnsi="Times New Roman" w:eastAsia="宋体" w:cs="Times New Roman"/>
                <w:szCs w:val="24"/>
              </w:rPr>
              <w:t>《</w:t>
            </w:r>
            <w:r>
              <w:rPr>
                <w:rFonts w:hint="eastAsia" w:ascii="Times New Roman" w:hAnsi="Times New Roman" w:eastAsia="宋体" w:cs="Times New Roman"/>
                <w:szCs w:val="24"/>
              </w:rPr>
              <w:t>污水排入</w:t>
            </w:r>
            <w:r>
              <w:rPr>
                <w:rFonts w:ascii="Times New Roman" w:hAnsi="Times New Roman" w:eastAsia="宋体" w:cs="Times New Roman"/>
                <w:szCs w:val="24"/>
              </w:rPr>
              <w:t>城镇下水道水质标准》（GB/T 31962-2015）</w:t>
            </w:r>
            <w:r>
              <w:rPr>
                <w:rFonts w:hint="eastAsia" w:ascii="Times New Roman" w:hAnsi="Times New Roman" w:eastAsia="宋体" w:cs="Times New Roman"/>
                <w:szCs w:val="24"/>
              </w:rPr>
              <w:t>中</w:t>
            </w:r>
            <w:r>
              <w:rPr>
                <w:rFonts w:ascii="Times New Roman" w:hAnsi="Times New Roman" w:eastAsia="宋体" w:cs="Times New Roman"/>
                <w:szCs w:val="24"/>
              </w:rPr>
              <w:t>B级标准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71" w:type="dxa"/>
            <w:vMerge w:val="restart"/>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废气</w:t>
            </w: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污水</w:t>
            </w:r>
            <w:r>
              <w:rPr>
                <w:rFonts w:ascii="Times New Roman" w:hAnsi="Times New Roman" w:eastAsia="宋体" w:cs="Times New Roman"/>
                <w:spacing w:val="-4"/>
                <w:szCs w:val="21"/>
              </w:rPr>
              <w:t>处理站</w:t>
            </w:r>
          </w:p>
        </w:tc>
        <w:tc>
          <w:tcPr>
            <w:tcW w:w="1366"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氨、硫化氢</w:t>
            </w:r>
          </w:p>
        </w:tc>
        <w:tc>
          <w:tcPr>
            <w:tcW w:w="2430"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采用地埋式，并加盖板密闭，加强污水处理站的运行操作管理，保证设备的正常运行，定期喷洒生物除臭剂</w:t>
            </w:r>
          </w:p>
        </w:tc>
        <w:tc>
          <w:tcPr>
            <w:tcW w:w="2805"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《医疗机构水污染物排放</w:t>
            </w:r>
            <w:r>
              <w:rPr>
                <w:rFonts w:hint="eastAsia" w:ascii="Times New Roman" w:hAnsi="Times New Roman" w:eastAsia="宋体" w:cs="Times New Roman"/>
                <w:spacing w:val="-4"/>
                <w:szCs w:val="21"/>
              </w:rPr>
              <w:t>标准》</w:t>
            </w:r>
            <w:r>
              <w:rPr>
                <w:rFonts w:ascii="Times New Roman" w:hAnsi="Times New Roman" w:eastAsia="宋体" w:cs="Times New Roman"/>
                <w:spacing w:val="-4"/>
                <w:szCs w:val="21"/>
              </w:rPr>
              <w:t>（GB18466-2005）</w:t>
            </w:r>
            <w:r>
              <w:rPr>
                <w:rFonts w:hint="eastAsia" w:ascii="Times New Roman" w:hAnsi="Times New Roman" w:eastAsia="宋体" w:cs="Times New Roman"/>
                <w:spacing w:val="-4"/>
                <w:szCs w:val="21"/>
              </w:rPr>
              <w:t>中</w:t>
            </w:r>
            <w:r>
              <w:rPr>
                <w:rFonts w:ascii="Times New Roman" w:hAnsi="Times New Roman" w:eastAsia="宋体" w:cs="Times New Roman"/>
                <w:spacing w:val="-4"/>
                <w:szCs w:val="21"/>
              </w:rPr>
              <w:t>污水处理站周边大气污染物最高允许浓度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71" w:type="dxa"/>
            <w:vMerge w:val="continue"/>
            <w:vAlign w:val="center"/>
          </w:tcPr>
          <w:p>
            <w:pPr>
              <w:adjustRightInd w:val="0"/>
              <w:snapToGrid w:val="0"/>
              <w:jc w:val="center"/>
              <w:rPr>
                <w:rFonts w:ascii="Times New Roman" w:hAnsi="Times New Roman" w:eastAsia="宋体" w:cs="Times New Roman"/>
                <w:spacing w:val="-4"/>
                <w:szCs w:val="21"/>
              </w:rPr>
            </w:pPr>
          </w:p>
        </w:tc>
        <w:tc>
          <w:tcPr>
            <w:tcW w:w="1598" w:type="dxa"/>
            <w:vAlign w:val="center"/>
          </w:tcPr>
          <w:p>
            <w:pPr>
              <w:pStyle w:val="47"/>
            </w:pPr>
            <w:r>
              <w:rPr>
                <w:rFonts w:hint="eastAsia"/>
              </w:rPr>
              <w:t>天然气</w:t>
            </w:r>
            <w:r>
              <w:t>锅炉</w:t>
            </w:r>
          </w:p>
        </w:tc>
        <w:tc>
          <w:tcPr>
            <w:tcW w:w="1366" w:type="dxa"/>
            <w:vAlign w:val="center"/>
          </w:tcPr>
          <w:p>
            <w:pPr>
              <w:pStyle w:val="47"/>
            </w:pPr>
            <w:r>
              <w:rPr>
                <w:rFonts w:hint="eastAsia"/>
              </w:rPr>
              <w:t>烟尘、SO</w:t>
            </w:r>
            <w:r>
              <w:rPr>
                <w:rFonts w:hint="eastAsia"/>
                <w:vertAlign w:val="subscript"/>
              </w:rPr>
              <w:t>2</w:t>
            </w:r>
            <w:r>
              <w:rPr>
                <w:rFonts w:hint="eastAsia"/>
              </w:rPr>
              <w:t>、NO</w:t>
            </w:r>
            <w:r>
              <w:rPr>
                <w:rFonts w:hint="eastAsia"/>
                <w:vertAlign w:val="subscript"/>
              </w:rPr>
              <w:t>X</w:t>
            </w:r>
          </w:p>
        </w:tc>
        <w:tc>
          <w:tcPr>
            <w:tcW w:w="2430" w:type="dxa"/>
            <w:vAlign w:val="center"/>
          </w:tcPr>
          <w:p>
            <w:pPr>
              <w:jc w:val="center"/>
              <w:rPr>
                <w:rFonts w:ascii="Times New Roman" w:hAnsi="Times New Roman" w:eastAsia="宋体" w:cs="Times New Roman"/>
                <w:szCs w:val="20"/>
                <w:highlight w:val="yellow"/>
              </w:rPr>
            </w:pPr>
            <w:r>
              <w:rPr>
                <w:rFonts w:hint="eastAsia" w:ascii="Times New Roman" w:hAnsi="Times New Roman" w:eastAsia="宋体" w:cs="Times New Roman"/>
                <w:szCs w:val="20"/>
              </w:rPr>
              <w:t>经锅</w:t>
            </w:r>
            <w:r>
              <w:rPr>
                <w:rFonts w:hint="eastAsia" w:ascii="Times New Roman" w:hAnsi="Times New Roman" w:eastAsia="宋体" w:cs="Times New Roman"/>
                <w:color w:val="FF0000"/>
                <w:szCs w:val="20"/>
              </w:rPr>
              <w:t>炉房</w:t>
            </w:r>
            <w:r>
              <w:rPr>
                <w:rFonts w:ascii="Times New Roman" w:hAnsi="Times New Roman" w:eastAsia="宋体" w:cs="Times New Roman"/>
                <w:color w:val="FF0000"/>
                <w:szCs w:val="20"/>
              </w:rPr>
              <w:t>引至</w:t>
            </w:r>
            <w:r>
              <w:rPr>
                <w:rFonts w:hint="eastAsia" w:ascii="Times New Roman" w:hAnsi="Times New Roman" w:eastAsia="宋体" w:cs="Times New Roman"/>
                <w:color w:val="FF0000"/>
                <w:szCs w:val="20"/>
              </w:rPr>
              <w:t>高于</w:t>
            </w:r>
            <w:r>
              <w:rPr>
                <w:rFonts w:ascii="Times New Roman" w:hAnsi="Times New Roman" w:eastAsia="宋体" w:cs="Times New Roman"/>
                <w:color w:val="FF0000"/>
                <w:szCs w:val="20"/>
              </w:rPr>
              <w:t>住院楼楼顶</w:t>
            </w:r>
            <w:r>
              <w:rPr>
                <w:rFonts w:hint="eastAsia" w:ascii="Times New Roman" w:hAnsi="Times New Roman" w:eastAsia="宋体" w:cs="Times New Roman"/>
                <w:color w:val="FF0000"/>
                <w:szCs w:val="20"/>
              </w:rPr>
              <w:t>3</w:t>
            </w:r>
            <w:r>
              <w:rPr>
                <w:rFonts w:ascii="Times New Roman" w:hAnsi="Times New Roman" w:eastAsia="宋体" w:cs="Times New Roman"/>
                <w:color w:val="FF0000"/>
                <w:szCs w:val="20"/>
              </w:rPr>
              <w:t>m</w:t>
            </w:r>
            <w:r>
              <w:rPr>
                <w:rFonts w:hint="eastAsia" w:ascii="Times New Roman" w:hAnsi="Times New Roman" w:eastAsia="宋体" w:cs="Times New Roman"/>
                <w:color w:val="FF0000"/>
                <w:szCs w:val="20"/>
              </w:rPr>
              <w:t>处</w:t>
            </w:r>
            <w:r>
              <w:rPr>
                <w:rFonts w:ascii="Times New Roman" w:hAnsi="Times New Roman" w:eastAsia="宋体" w:cs="Times New Roman"/>
                <w:color w:val="FF0000"/>
                <w:szCs w:val="20"/>
              </w:rPr>
              <w:t>排放，</w:t>
            </w:r>
            <w:r>
              <w:rPr>
                <w:rFonts w:hint="eastAsia" w:ascii="Times New Roman" w:hAnsi="Times New Roman" w:eastAsia="宋体" w:cs="Times New Roman"/>
                <w:color w:val="FF0000"/>
                <w:szCs w:val="20"/>
              </w:rPr>
              <w:t>排气筒</w:t>
            </w:r>
            <w:r>
              <w:rPr>
                <w:rFonts w:ascii="Times New Roman" w:hAnsi="Times New Roman" w:eastAsia="宋体" w:cs="Times New Roman"/>
                <w:color w:val="FF0000"/>
                <w:szCs w:val="20"/>
              </w:rPr>
              <w:t>高度</w:t>
            </w:r>
            <w:r>
              <w:rPr>
                <w:rFonts w:hint="eastAsia" w:ascii="Times New Roman" w:hAnsi="Times New Roman" w:eastAsia="宋体" w:cs="Times New Roman"/>
                <w:color w:val="FF0000"/>
                <w:szCs w:val="20"/>
              </w:rPr>
              <w:t>约</w:t>
            </w:r>
            <w:r>
              <w:rPr>
                <w:rFonts w:ascii="Times New Roman" w:hAnsi="Times New Roman" w:eastAsia="宋体" w:cs="Times New Roman"/>
                <w:color w:val="FF0000"/>
                <w:szCs w:val="20"/>
              </w:rPr>
              <w:t>60m</w:t>
            </w:r>
            <w:r>
              <w:rPr>
                <w:rFonts w:hint="eastAsia" w:ascii="Times New Roman" w:hAnsi="Times New Roman" w:eastAsia="宋体" w:cs="Times New Roman"/>
                <w:color w:val="FF0000"/>
                <w:szCs w:val="20"/>
              </w:rPr>
              <w:t>（P1-P</w:t>
            </w:r>
            <w:r>
              <w:rPr>
                <w:rFonts w:ascii="Times New Roman" w:hAnsi="Times New Roman" w:eastAsia="宋体" w:cs="Times New Roman"/>
                <w:color w:val="FF0000"/>
                <w:szCs w:val="20"/>
              </w:rPr>
              <w:t>3</w:t>
            </w:r>
            <w:r>
              <w:rPr>
                <w:rFonts w:hint="eastAsia" w:ascii="Times New Roman" w:hAnsi="Times New Roman" w:eastAsia="宋体" w:cs="Times New Roman"/>
                <w:color w:val="FF0000"/>
                <w:szCs w:val="20"/>
              </w:rPr>
              <w:t>）</w:t>
            </w:r>
          </w:p>
        </w:tc>
        <w:tc>
          <w:tcPr>
            <w:tcW w:w="2805" w:type="dxa"/>
            <w:vAlign w:val="center"/>
          </w:tcPr>
          <w:p>
            <w:pPr>
              <w:pStyle w:val="47"/>
            </w:pPr>
            <w:r>
              <w:rPr>
                <w:rFonts w:hint="eastAsia"/>
              </w:rPr>
              <w:t>《锅炉大气污染物排放标准》（</w:t>
            </w:r>
            <w:r>
              <w:rPr>
                <w:rFonts w:hint="eastAsia"/>
                <w:bCs/>
              </w:rPr>
              <w:t>DB</w:t>
            </w:r>
            <w:r>
              <w:rPr>
                <w:bCs/>
              </w:rPr>
              <w:t>61/1226-2018</w:t>
            </w:r>
            <w:r>
              <w:rPr>
                <w:rFonts w:hint="eastAsia"/>
              </w:rPr>
              <w:t>）表</w:t>
            </w:r>
            <w:r>
              <w:t>3</w:t>
            </w:r>
            <w:r>
              <w:rPr>
                <w:rFonts w:hint="eastAsia"/>
              </w:rPr>
              <w:t>中燃气锅炉大气污染物排放浓度限值要求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71" w:type="dxa"/>
            <w:vMerge w:val="continue"/>
            <w:vAlign w:val="center"/>
          </w:tcPr>
          <w:p>
            <w:pPr>
              <w:adjustRightInd w:val="0"/>
              <w:snapToGrid w:val="0"/>
              <w:jc w:val="center"/>
              <w:rPr>
                <w:rFonts w:ascii="Times New Roman" w:hAnsi="Times New Roman" w:eastAsia="宋体" w:cs="Times New Roman"/>
                <w:spacing w:val="-4"/>
                <w:szCs w:val="21"/>
              </w:rPr>
            </w:pPr>
          </w:p>
        </w:tc>
        <w:tc>
          <w:tcPr>
            <w:tcW w:w="1598" w:type="dxa"/>
            <w:vAlign w:val="center"/>
          </w:tcPr>
          <w:p>
            <w:pPr>
              <w:jc w:val="center"/>
              <w:rPr>
                <w:spacing w:val="-4"/>
                <w:szCs w:val="21"/>
              </w:rPr>
            </w:pPr>
            <w:r>
              <w:rPr>
                <w:rFonts w:hint="eastAsia"/>
                <w:spacing w:val="-4"/>
                <w:szCs w:val="21"/>
              </w:rPr>
              <w:t>食堂</w:t>
            </w:r>
          </w:p>
        </w:tc>
        <w:tc>
          <w:tcPr>
            <w:tcW w:w="1366" w:type="dxa"/>
            <w:vAlign w:val="center"/>
          </w:tcPr>
          <w:p>
            <w:pPr>
              <w:jc w:val="center"/>
              <w:rPr>
                <w:spacing w:val="-4"/>
                <w:szCs w:val="21"/>
              </w:rPr>
            </w:pPr>
            <w:r>
              <w:rPr>
                <w:rFonts w:hint="eastAsia"/>
                <w:spacing w:val="-4"/>
                <w:szCs w:val="21"/>
              </w:rPr>
              <w:t>油烟</w:t>
            </w:r>
          </w:p>
        </w:tc>
        <w:tc>
          <w:tcPr>
            <w:tcW w:w="2430" w:type="dxa"/>
            <w:vAlign w:val="center"/>
          </w:tcPr>
          <w:p>
            <w:pPr>
              <w:jc w:val="center"/>
              <w:rPr>
                <w:spacing w:val="-4"/>
                <w:szCs w:val="21"/>
              </w:rPr>
            </w:pPr>
            <w:r>
              <w:rPr>
                <w:rFonts w:hint="eastAsia"/>
                <w:spacing w:val="-4"/>
                <w:szCs w:val="21"/>
              </w:rPr>
              <w:t>经专用烟道引至建筑物楼顶经油烟净化器</w:t>
            </w:r>
            <w:r>
              <w:rPr>
                <w:rFonts w:ascii="Times New Roman" w:hAnsi="Times New Roman" w:cs="Times New Roman"/>
                <w:spacing w:val="-4"/>
                <w:szCs w:val="21"/>
              </w:rPr>
              <w:t>（净化效率75%以上）</w:t>
            </w:r>
            <w:r>
              <w:rPr>
                <w:rFonts w:hint="eastAsia"/>
                <w:spacing w:val="-4"/>
                <w:szCs w:val="21"/>
              </w:rPr>
              <w:t>处理后排放</w:t>
            </w:r>
          </w:p>
        </w:tc>
        <w:tc>
          <w:tcPr>
            <w:tcW w:w="2805" w:type="dxa"/>
            <w:vAlign w:val="center"/>
          </w:tcPr>
          <w:p>
            <w:pPr>
              <w:jc w:val="center"/>
              <w:rPr>
                <w:spacing w:val="-4"/>
                <w:szCs w:val="21"/>
              </w:rPr>
            </w:pPr>
            <w:r>
              <w:rPr>
                <w:rFonts w:hint="eastAsia"/>
                <w:szCs w:val="21"/>
              </w:rPr>
              <w:t>《饮食业油烟排放标准（试行）》（GB18483－2001）大型规模标准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Merge w:val="restart"/>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固废</w:t>
            </w: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污水处理站</w:t>
            </w:r>
          </w:p>
        </w:tc>
        <w:tc>
          <w:tcPr>
            <w:tcW w:w="1366"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污泥</w:t>
            </w:r>
          </w:p>
        </w:tc>
        <w:tc>
          <w:tcPr>
            <w:tcW w:w="2430"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交有资质</w:t>
            </w:r>
            <w:r>
              <w:rPr>
                <w:rFonts w:ascii="Times New Roman" w:hAnsi="Times New Roman" w:eastAsia="宋体" w:cs="Times New Roman"/>
                <w:spacing w:val="-4"/>
                <w:szCs w:val="21"/>
              </w:rPr>
              <w:t>单位处置</w:t>
            </w:r>
          </w:p>
        </w:tc>
        <w:tc>
          <w:tcPr>
            <w:tcW w:w="2805"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《医疗机构水污染物排放标准》（GB18466-2005）中“污泥控制与处置”的要求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Merge w:val="continue"/>
            <w:vAlign w:val="center"/>
          </w:tcPr>
          <w:p>
            <w:pPr>
              <w:adjustRightInd w:val="0"/>
              <w:snapToGrid w:val="0"/>
              <w:jc w:val="center"/>
              <w:rPr>
                <w:rFonts w:ascii="Times New Roman" w:hAnsi="Times New Roman" w:eastAsia="宋体" w:cs="Times New Roman"/>
                <w:spacing w:val="-4"/>
                <w:szCs w:val="21"/>
                <w:highlight w:val="yellow"/>
              </w:rPr>
            </w:pP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诊疗过程</w:t>
            </w:r>
          </w:p>
        </w:tc>
        <w:tc>
          <w:tcPr>
            <w:tcW w:w="1366"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医疗</w:t>
            </w:r>
            <w:r>
              <w:rPr>
                <w:rFonts w:ascii="Times New Roman" w:hAnsi="Times New Roman" w:eastAsia="宋体" w:cs="Times New Roman"/>
                <w:spacing w:val="-4"/>
                <w:szCs w:val="21"/>
              </w:rPr>
              <w:t>废物</w:t>
            </w:r>
          </w:p>
        </w:tc>
        <w:tc>
          <w:tcPr>
            <w:tcW w:w="2430"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交有资质单位</w:t>
            </w:r>
            <w:r>
              <w:rPr>
                <w:rFonts w:ascii="Times New Roman" w:hAnsi="Times New Roman" w:eastAsia="宋体" w:cs="Times New Roman"/>
                <w:spacing w:val="-4"/>
                <w:szCs w:val="21"/>
              </w:rPr>
              <w:t>处置</w:t>
            </w:r>
          </w:p>
        </w:tc>
        <w:tc>
          <w:tcPr>
            <w:tcW w:w="2805"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pacing w:val="-4"/>
                <w:szCs w:val="21"/>
              </w:rPr>
              <w:t>《危险废物贮存污染控制标准》（GB18597-2001）。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Merge w:val="continue"/>
            <w:vAlign w:val="center"/>
          </w:tcPr>
          <w:p>
            <w:pPr>
              <w:adjustRightInd w:val="0"/>
              <w:snapToGrid w:val="0"/>
              <w:jc w:val="center"/>
              <w:rPr>
                <w:rFonts w:ascii="Times New Roman" w:hAnsi="Times New Roman" w:eastAsia="宋体" w:cs="Times New Roman"/>
                <w:spacing w:val="-4"/>
                <w:szCs w:val="21"/>
                <w:highlight w:val="yellow"/>
              </w:rPr>
            </w:pPr>
          </w:p>
        </w:tc>
        <w:tc>
          <w:tcPr>
            <w:tcW w:w="1598" w:type="dxa"/>
            <w:vAlign w:val="center"/>
          </w:tcPr>
          <w:p>
            <w:pPr>
              <w:adjustRightInd w:val="0"/>
              <w:snapToGrid w:val="0"/>
              <w:jc w:val="center"/>
              <w:rPr>
                <w:rFonts w:ascii="Times New Roman" w:hAnsi="Times New Roman" w:eastAsia="宋体" w:cs="宋体"/>
              </w:rPr>
            </w:pPr>
            <w:r>
              <w:rPr>
                <w:rFonts w:hint="eastAsia" w:ascii="Times New Roman" w:hAnsi="Times New Roman" w:eastAsia="宋体" w:cs="宋体"/>
              </w:rPr>
              <w:t>就诊</w:t>
            </w:r>
            <w:r>
              <w:rPr>
                <w:rFonts w:ascii="Times New Roman" w:hAnsi="Times New Roman" w:eastAsia="宋体" w:cs="宋体"/>
              </w:rPr>
              <w:t>患者和医院职工</w:t>
            </w:r>
          </w:p>
        </w:tc>
        <w:tc>
          <w:tcPr>
            <w:tcW w:w="1366" w:type="dxa"/>
            <w:vAlign w:val="center"/>
          </w:tcPr>
          <w:p>
            <w:pPr>
              <w:adjustRightInd w:val="0"/>
              <w:snapToGrid w:val="0"/>
              <w:jc w:val="center"/>
              <w:rPr>
                <w:rFonts w:ascii="Times New Roman" w:hAnsi="Times New Roman" w:eastAsia="宋体" w:cs="宋体"/>
              </w:rPr>
            </w:pPr>
            <w:r>
              <w:rPr>
                <w:rFonts w:ascii="Times New Roman" w:hAnsi="Times New Roman" w:eastAsia="宋体" w:cs="宋体"/>
              </w:rPr>
              <w:t>生活垃圾</w:t>
            </w:r>
          </w:p>
        </w:tc>
        <w:tc>
          <w:tcPr>
            <w:tcW w:w="243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集中收集后，委托环卫部门清运、处置，日产日清</w:t>
            </w:r>
          </w:p>
        </w:tc>
        <w:tc>
          <w:tcPr>
            <w:tcW w:w="2805"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《城市生活</w:t>
            </w:r>
            <w:r>
              <w:rPr>
                <w:rFonts w:ascii="Times New Roman" w:hAnsi="Times New Roman" w:eastAsia="宋体" w:cs="Times New Roman"/>
                <w:szCs w:val="24"/>
              </w:rPr>
              <w:t>垃圾管理办法</w:t>
            </w:r>
            <w:r>
              <w:rPr>
                <w:rFonts w:hint="eastAsia" w:ascii="Times New Roman" w:hAnsi="Times New Roman" w:eastAsia="宋体" w:cs="Times New Roman"/>
                <w:szCs w:val="24"/>
              </w:rPr>
              <w:t>》中</w:t>
            </w:r>
            <w:r>
              <w:rPr>
                <w:rFonts w:ascii="Times New Roman" w:hAnsi="Times New Roman" w:eastAsia="宋体" w:cs="Times New Roman"/>
                <w:szCs w:val="24"/>
              </w:rPr>
              <w:t>有关规定</w:t>
            </w:r>
            <w:r>
              <w:rPr>
                <w:rFonts w:hint="eastAsia" w:ascii="Times New Roman" w:hAnsi="Times New Roman" w:eastAsia="宋体" w:cs="Times New Roman"/>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Merge w:val="continue"/>
            <w:vAlign w:val="center"/>
          </w:tcPr>
          <w:p>
            <w:pPr>
              <w:adjustRightInd w:val="0"/>
              <w:snapToGrid w:val="0"/>
              <w:jc w:val="center"/>
              <w:rPr>
                <w:rFonts w:ascii="Times New Roman" w:hAnsi="Times New Roman" w:eastAsia="宋体" w:cs="Times New Roman"/>
                <w:spacing w:val="-4"/>
                <w:szCs w:val="21"/>
                <w:highlight w:val="yellow"/>
              </w:rPr>
            </w:pPr>
          </w:p>
        </w:tc>
        <w:tc>
          <w:tcPr>
            <w:tcW w:w="1598" w:type="dxa"/>
            <w:vAlign w:val="center"/>
          </w:tcPr>
          <w:p>
            <w:pPr>
              <w:jc w:val="center"/>
              <w:rPr>
                <w:spacing w:val="-4"/>
                <w:szCs w:val="21"/>
              </w:rPr>
            </w:pPr>
            <w:r>
              <w:rPr>
                <w:rFonts w:hint="eastAsia"/>
                <w:spacing w:val="-4"/>
                <w:szCs w:val="21"/>
              </w:rPr>
              <w:t>食堂</w:t>
            </w:r>
          </w:p>
        </w:tc>
        <w:tc>
          <w:tcPr>
            <w:tcW w:w="1366" w:type="dxa"/>
            <w:vAlign w:val="center"/>
          </w:tcPr>
          <w:p>
            <w:pPr>
              <w:jc w:val="center"/>
              <w:rPr>
                <w:spacing w:val="-4"/>
                <w:szCs w:val="21"/>
              </w:rPr>
            </w:pPr>
            <w:r>
              <w:rPr>
                <w:rFonts w:hint="eastAsia"/>
                <w:spacing w:val="-4"/>
                <w:szCs w:val="21"/>
              </w:rPr>
              <w:t>餐厨</w:t>
            </w:r>
            <w:r>
              <w:rPr>
                <w:spacing w:val="-4"/>
                <w:szCs w:val="21"/>
              </w:rPr>
              <w:t>垃圾和废油脂</w:t>
            </w:r>
          </w:p>
        </w:tc>
        <w:tc>
          <w:tcPr>
            <w:tcW w:w="2430" w:type="dxa"/>
            <w:vAlign w:val="center"/>
          </w:tcPr>
          <w:p>
            <w:pPr>
              <w:jc w:val="center"/>
              <w:rPr>
                <w:spacing w:val="-4"/>
                <w:szCs w:val="21"/>
              </w:rPr>
            </w:pPr>
            <w:r>
              <w:rPr>
                <w:rFonts w:hint="eastAsia"/>
                <w:spacing w:val="-4"/>
                <w:szCs w:val="21"/>
              </w:rPr>
              <w:t>由专人</w:t>
            </w:r>
            <w:r>
              <w:rPr>
                <w:spacing w:val="-4"/>
                <w:szCs w:val="21"/>
              </w:rPr>
              <w:t>回收处理</w:t>
            </w:r>
          </w:p>
        </w:tc>
        <w:tc>
          <w:tcPr>
            <w:tcW w:w="2805" w:type="dxa"/>
            <w:vAlign w:val="center"/>
          </w:tcPr>
          <w:p>
            <w:pPr>
              <w:jc w:val="center"/>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1"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噪声</w:t>
            </w:r>
          </w:p>
        </w:tc>
        <w:tc>
          <w:tcPr>
            <w:tcW w:w="1598" w:type="dxa"/>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机械</w:t>
            </w:r>
            <w:r>
              <w:rPr>
                <w:rFonts w:ascii="Times New Roman" w:hAnsi="Times New Roman" w:eastAsia="宋体" w:cs="Times New Roman"/>
                <w:spacing w:val="-4"/>
                <w:szCs w:val="21"/>
              </w:rPr>
              <w:t>设备</w:t>
            </w:r>
          </w:p>
        </w:tc>
        <w:tc>
          <w:tcPr>
            <w:tcW w:w="1366"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机械、空气动力性噪声</w:t>
            </w:r>
          </w:p>
        </w:tc>
        <w:tc>
          <w:tcPr>
            <w:tcW w:w="2430" w:type="dxa"/>
            <w:vAlign w:val="center"/>
          </w:tcPr>
          <w:p>
            <w:pPr>
              <w:adjustRightInd w:val="0"/>
              <w:snapToGrid w:val="0"/>
              <w:jc w:val="center"/>
              <w:rPr>
                <w:rFonts w:ascii="Times New Roman" w:hAnsi="Times New Roman" w:eastAsia="宋体" w:cs="Times New Roman"/>
                <w:spacing w:val="-4"/>
                <w:szCs w:val="21"/>
              </w:rPr>
            </w:pPr>
            <w:r>
              <w:rPr>
                <w:rFonts w:ascii="Times New Roman" w:hAnsi="Times New Roman" w:eastAsia="宋体" w:cs="Times New Roman"/>
                <w:spacing w:val="-4"/>
                <w:szCs w:val="21"/>
              </w:rPr>
              <w:t>选用低噪声设备，对高噪声源采取</w:t>
            </w:r>
            <w:r>
              <w:rPr>
                <w:rFonts w:hint="eastAsia" w:ascii="Times New Roman" w:hAnsi="Times New Roman" w:eastAsia="宋体" w:cs="Times New Roman"/>
                <w:spacing w:val="-4"/>
                <w:szCs w:val="21"/>
              </w:rPr>
              <w:t>隔声</w:t>
            </w:r>
            <w:r>
              <w:rPr>
                <w:rFonts w:ascii="Times New Roman" w:hAnsi="Times New Roman" w:eastAsia="宋体" w:cs="Times New Roman"/>
                <w:spacing w:val="-4"/>
                <w:szCs w:val="21"/>
              </w:rPr>
              <w:t>、减振、吸声等降噪措施，并利用绿化降噪</w:t>
            </w:r>
          </w:p>
        </w:tc>
        <w:tc>
          <w:tcPr>
            <w:tcW w:w="2805" w:type="dxa"/>
            <w:vAlign w:val="center"/>
          </w:tcPr>
          <w:p>
            <w:pPr>
              <w:adjustRightInd w:val="0"/>
              <w:snapToGrid w:val="0"/>
              <w:jc w:val="center"/>
              <w:rPr>
                <w:rFonts w:ascii="Times New Roman" w:hAnsi="Times New Roman" w:eastAsia="宋体" w:cs="Times New Roman"/>
                <w:spacing w:val="-4"/>
                <w:szCs w:val="21"/>
                <w:highlight w:val="yellow"/>
              </w:rPr>
            </w:pPr>
            <w:r>
              <w:rPr>
                <w:rFonts w:ascii="Times New Roman" w:hAnsi="Times New Roman" w:eastAsia="宋体" w:cs="Times New Roman"/>
                <w:spacing w:val="-4"/>
                <w:szCs w:val="21"/>
              </w:rPr>
              <w:t>《工业企业厂界环境噪声排放标准》（GB12348-2008）中2类</w:t>
            </w:r>
            <w:r>
              <w:rPr>
                <w:rFonts w:hint="eastAsia" w:ascii="Times New Roman" w:hAnsi="Times New Roman" w:eastAsia="宋体" w:cs="Times New Roman"/>
                <w:spacing w:val="-4"/>
                <w:szCs w:val="21"/>
              </w:rPr>
              <w:t>和4类</w:t>
            </w:r>
            <w:r>
              <w:rPr>
                <w:rFonts w:ascii="Times New Roman" w:hAnsi="Times New Roman" w:eastAsia="宋体" w:cs="Times New Roman"/>
                <w:spacing w:val="-4"/>
                <w:szCs w:val="21"/>
              </w:rPr>
              <w:t>标准</w:t>
            </w:r>
          </w:p>
        </w:tc>
      </w:tr>
      <w:bookmarkEnd w:id="23"/>
    </w:tbl>
    <w:p>
      <w:pPr>
        <w:widowControl/>
        <w:adjustRightInd w:val="0"/>
        <w:snapToGrid w:val="0"/>
        <w:ind w:firstLine="199" w:firstLineChars="95"/>
        <w:jc w:val="center"/>
        <w:rPr>
          <w:rFonts w:ascii="Times New Roman" w:hAnsi="Times New Roman" w:eastAsia="宋体" w:cs="Times New Roman"/>
          <w:b/>
          <w:kern w:val="0"/>
          <w:szCs w:val="21"/>
          <w:highlight w:val="yellow"/>
        </w:rPr>
      </w:pPr>
    </w:p>
    <w:p>
      <w:pPr>
        <w:pStyle w:val="4"/>
      </w:pPr>
      <w:r>
        <w:rPr>
          <w:rFonts w:hint="eastAsia"/>
        </w:rPr>
        <w:t>环境</w:t>
      </w:r>
      <w:r>
        <w:t>保护目标</w:t>
      </w:r>
    </w:p>
    <w:p>
      <w:pPr>
        <w:pStyle w:val="40"/>
        <w:ind w:firstLine="480"/>
      </w:pPr>
      <w:r>
        <w:rPr>
          <w:rFonts w:hint="eastAsia"/>
        </w:rPr>
        <w:t>本项目位于安康市恒口示范区（试验区）月滨南大道，项目北侧为月滨南大道，项目现状为空地，西侧为空地，南侧、东侧为越南村住户，</w:t>
      </w:r>
      <w:r>
        <w:t>四邻关系图见图</w:t>
      </w:r>
      <w:r>
        <w:rPr>
          <w:rFonts w:hint="eastAsia"/>
        </w:rPr>
        <w:t>2.7-1。</w:t>
      </w:r>
    </w:p>
    <w:p>
      <w:pPr>
        <w:pStyle w:val="40"/>
        <w:ind w:firstLine="480"/>
      </w:pPr>
      <w:r>
        <w:rPr>
          <w:rFonts w:hint="eastAsia"/>
        </w:rPr>
        <w:t>评价区内无自然保护区、风景名胜区、饮用水源保护区等敏感区，项目周围现状和规划建设情况，并结合项目建设及使用功能的特点，确定本项目评价范围内有关环境保护敏感目标的情况见表2.7-</w:t>
      </w:r>
      <w:r>
        <w:t>3</w:t>
      </w:r>
      <w:r>
        <w:rPr>
          <w:rFonts w:hint="eastAsia"/>
        </w:rPr>
        <w:t>所示，环境</w:t>
      </w:r>
      <w:r>
        <w:t>保护目标图</w:t>
      </w:r>
      <w:r>
        <w:rPr>
          <w:rFonts w:hint="eastAsia"/>
        </w:rPr>
        <w:t>见图2.7-</w:t>
      </w:r>
      <w:r>
        <w:t>2</w:t>
      </w:r>
      <w:r>
        <w:rPr>
          <w:rFonts w:hint="eastAsia"/>
        </w:rPr>
        <w:t>。</w:t>
      </w:r>
    </w:p>
    <w:p>
      <w:pPr>
        <w:pStyle w:val="22"/>
        <w:rPr>
          <w:highlight w:val="yellow"/>
        </w:rPr>
      </w:pPr>
      <w:r>
        <w:t>表</w:t>
      </w:r>
      <w:r>
        <w:fldChar w:fldCharType="begin"/>
      </w:r>
      <w:r>
        <w:instrText xml:space="preserve"> STYLEREF 2 \s </w:instrText>
      </w:r>
      <w:r>
        <w:fldChar w:fldCharType="separate"/>
      </w:r>
      <w:r>
        <w:t>2.7</w:t>
      </w:r>
      <w:r>
        <w:fldChar w:fldCharType="end"/>
      </w:r>
      <w:r>
        <w:noBreakHyphen/>
      </w:r>
      <w:r>
        <w:t>3  项目环境保护目标</w:t>
      </w:r>
      <w:r>
        <w:rPr>
          <w:rFonts w:hint="eastAsia"/>
        </w:rPr>
        <w:t>表</w:t>
      </w:r>
    </w:p>
    <w:tbl>
      <w:tblPr>
        <w:tblStyle w:val="25"/>
        <w:tblW w:w="887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55"/>
        <w:gridCol w:w="538"/>
        <w:gridCol w:w="1073"/>
        <w:gridCol w:w="1228"/>
        <w:gridCol w:w="1348"/>
        <w:gridCol w:w="671"/>
        <w:gridCol w:w="694"/>
        <w:gridCol w:w="456"/>
        <w:gridCol w:w="1951"/>
        <w:gridCol w:w="45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55"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538"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环境要素</w:t>
            </w:r>
          </w:p>
        </w:tc>
        <w:tc>
          <w:tcPr>
            <w:tcW w:w="1073"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保护目标名称</w:t>
            </w:r>
          </w:p>
        </w:tc>
        <w:tc>
          <w:tcPr>
            <w:tcW w:w="2576" w:type="dxa"/>
            <w:gridSpan w:val="2"/>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地理</w:t>
            </w:r>
            <w:r>
              <w:rPr>
                <w:rFonts w:ascii="Times New Roman" w:hAnsi="Times New Roman" w:eastAsia="宋体" w:cs="Times New Roman"/>
                <w:szCs w:val="21"/>
              </w:rPr>
              <w:t>位置坐标/°（</w:t>
            </w:r>
            <w:r>
              <w:rPr>
                <w:rFonts w:hint="eastAsia" w:ascii="Times New Roman" w:hAnsi="Times New Roman" w:eastAsia="宋体" w:cs="Times New Roman"/>
                <w:szCs w:val="21"/>
              </w:rPr>
              <w:t>经纬度</w:t>
            </w:r>
            <w:r>
              <w:rPr>
                <w:rFonts w:ascii="Times New Roman" w:hAnsi="Times New Roman" w:eastAsia="宋体" w:cs="Times New Roman"/>
                <w:szCs w:val="21"/>
              </w:rPr>
              <w:t>坐标系）</w:t>
            </w:r>
          </w:p>
        </w:tc>
        <w:tc>
          <w:tcPr>
            <w:tcW w:w="67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相对厂址方位</w:t>
            </w:r>
          </w:p>
        </w:tc>
        <w:tc>
          <w:tcPr>
            <w:tcW w:w="69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相对厂界距离/m</w:t>
            </w:r>
          </w:p>
        </w:tc>
        <w:tc>
          <w:tcPr>
            <w:tcW w:w="45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保护对象</w:t>
            </w:r>
          </w:p>
        </w:tc>
        <w:tc>
          <w:tcPr>
            <w:tcW w:w="1951"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保护内容</w:t>
            </w:r>
            <w:r>
              <w:rPr>
                <w:rFonts w:hint="eastAsia" w:ascii="Times New Roman" w:hAnsi="Times New Roman" w:eastAsia="宋体" w:cs="Times New Roman"/>
                <w:szCs w:val="21"/>
              </w:rPr>
              <w:t>规模</w:t>
            </w:r>
          </w:p>
        </w:tc>
        <w:tc>
          <w:tcPr>
            <w:tcW w:w="45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环境功能区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55" w:type="dxa"/>
            <w:vMerge w:val="continue"/>
            <w:vAlign w:val="center"/>
          </w:tcPr>
          <w:p>
            <w:pPr>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Merge w:val="continue"/>
            <w:vAlign w:val="center"/>
          </w:tcPr>
          <w:p>
            <w:pPr>
              <w:jc w:val="center"/>
              <w:rPr>
                <w:rFonts w:ascii="Times New Roman" w:hAnsi="Times New Roman" w:eastAsia="宋体" w:cs="Times New Roman"/>
                <w:szCs w:val="21"/>
              </w:rPr>
            </w:pPr>
          </w:p>
        </w:tc>
        <w:tc>
          <w:tcPr>
            <w:tcW w:w="122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纬度</w:t>
            </w:r>
          </w:p>
        </w:tc>
        <w:tc>
          <w:tcPr>
            <w:tcW w:w="134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经度</w:t>
            </w:r>
          </w:p>
        </w:tc>
        <w:tc>
          <w:tcPr>
            <w:tcW w:w="671" w:type="dxa"/>
            <w:vMerge w:val="continue"/>
            <w:vAlign w:val="center"/>
          </w:tcPr>
          <w:p>
            <w:pPr>
              <w:jc w:val="center"/>
              <w:rPr>
                <w:rFonts w:ascii="Times New Roman" w:hAnsi="Times New Roman" w:eastAsia="宋体" w:cs="Times New Roman"/>
                <w:szCs w:val="21"/>
              </w:rPr>
            </w:pPr>
          </w:p>
        </w:tc>
        <w:tc>
          <w:tcPr>
            <w:tcW w:w="694" w:type="dxa"/>
            <w:vMerge w:val="continue"/>
            <w:vAlign w:val="center"/>
          </w:tcPr>
          <w:p>
            <w:pPr>
              <w:jc w:val="center"/>
              <w:rPr>
                <w:rFonts w:ascii="Times New Roman" w:hAnsi="Times New Roman" w:eastAsia="宋体" w:cs="Times New Roman"/>
                <w:szCs w:val="21"/>
              </w:rPr>
            </w:pPr>
          </w:p>
        </w:tc>
        <w:tc>
          <w:tcPr>
            <w:tcW w:w="456" w:type="dxa"/>
            <w:vMerge w:val="continue"/>
            <w:vAlign w:val="center"/>
          </w:tcPr>
          <w:p>
            <w:pPr>
              <w:jc w:val="center"/>
              <w:rPr>
                <w:rFonts w:ascii="Times New Roman" w:hAnsi="Times New Roman" w:eastAsia="宋体" w:cs="Times New Roman"/>
                <w:szCs w:val="21"/>
              </w:rPr>
            </w:pPr>
          </w:p>
        </w:tc>
        <w:tc>
          <w:tcPr>
            <w:tcW w:w="1951" w:type="dxa"/>
            <w:vMerge w:val="continue"/>
            <w:vAlign w:val="center"/>
          </w:tcPr>
          <w:p>
            <w:pPr>
              <w:jc w:val="center"/>
              <w:rPr>
                <w:rFonts w:ascii="Times New Roman" w:hAnsi="Times New Roman" w:eastAsia="宋体" w:cs="Times New Roman"/>
                <w:szCs w:val="21"/>
              </w:rPr>
            </w:pP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blHeader/>
        </w:trPr>
        <w:tc>
          <w:tcPr>
            <w:tcW w:w="455" w:type="dxa"/>
            <w:vMerge w:val="restart"/>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环境</w:t>
            </w:r>
            <w:r>
              <w:rPr>
                <w:rFonts w:ascii="Times New Roman" w:hAnsi="Times New Roman" w:eastAsia="宋体" w:cs="Times New Roman"/>
                <w:szCs w:val="21"/>
              </w:rPr>
              <w:t>空气</w:t>
            </w:r>
          </w:p>
        </w:tc>
        <w:tc>
          <w:tcPr>
            <w:tcW w:w="1073"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越南村</w:t>
            </w:r>
          </w:p>
        </w:tc>
        <w:tc>
          <w:tcPr>
            <w:tcW w:w="122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32.729194</w:t>
            </w:r>
          </w:p>
        </w:tc>
        <w:tc>
          <w:tcPr>
            <w:tcW w:w="134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108.768392</w:t>
            </w:r>
          </w:p>
        </w:tc>
        <w:tc>
          <w:tcPr>
            <w:tcW w:w="6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紧邻</w:t>
            </w:r>
          </w:p>
        </w:tc>
        <w:tc>
          <w:tcPr>
            <w:tcW w:w="4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居住区</w:t>
            </w:r>
          </w:p>
        </w:tc>
        <w:tc>
          <w:tcPr>
            <w:tcW w:w="1951"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100户/约320人</w:t>
            </w:r>
          </w:p>
        </w:tc>
        <w:tc>
          <w:tcPr>
            <w:tcW w:w="456"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二类区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9" w:hRule="atLeast"/>
          <w:tblHeader/>
        </w:trPr>
        <w:tc>
          <w:tcPr>
            <w:tcW w:w="455" w:type="dxa"/>
            <w:vMerge w:val="continue"/>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Merge w:val="continue"/>
            <w:vAlign w:val="center"/>
          </w:tcPr>
          <w:p>
            <w:pPr>
              <w:jc w:val="center"/>
              <w:rPr>
                <w:rFonts w:ascii="Times New Roman" w:hAnsi="Times New Roman" w:eastAsia="宋体" w:cs="Times New Roman"/>
                <w:szCs w:val="21"/>
              </w:rPr>
            </w:pPr>
          </w:p>
        </w:tc>
        <w:tc>
          <w:tcPr>
            <w:tcW w:w="1228" w:type="dxa"/>
            <w:vMerge w:val="continue"/>
            <w:vAlign w:val="center"/>
          </w:tcPr>
          <w:p>
            <w:pPr>
              <w:jc w:val="center"/>
              <w:rPr>
                <w:rFonts w:ascii="Times New Roman" w:hAnsi="Times New Roman" w:eastAsia="宋体" w:cs="Times New Roman"/>
                <w:szCs w:val="21"/>
              </w:rPr>
            </w:pPr>
          </w:p>
        </w:tc>
        <w:tc>
          <w:tcPr>
            <w:tcW w:w="1348" w:type="dxa"/>
            <w:vMerge w:val="continue"/>
            <w:vAlign w:val="center"/>
          </w:tcPr>
          <w:p>
            <w:pPr>
              <w:jc w:val="center"/>
              <w:rPr>
                <w:rFonts w:ascii="Times New Roman" w:hAnsi="Times New Roman" w:eastAsia="宋体" w:cs="Times New Roman"/>
                <w:szCs w:val="21"/>
              </w:rPr>
            </w:pP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456" w:type="dxa"/>
            <w:vMerge w:val="continue"/>
            <w:vAlign w:val="center"/>
          </w:tcPr>
          <w:p>
            <w:pPr>
              <w:jc w:val="center"/>
              <w:rPr>
                <w:rFonts w:ascii="Times New Roman" w:hAnsi="Times New Roman" w:eastAsia="宋体" w:cs="Times New Roman"/>
                <w:szCs w:val="21"/>
              </w:rPr>
            </w:pPr>
          </w:p>
        </w:tc>
        <w:tc>
          <w:tcPr>
            <w:tcW w:w="1951" w:type="dxa"/>
            <w:vMerge w:val="continue"/>
            <w:vAlign w:val="center"/>
          </w:tcPr>
          <w:p>
            <w:pPr>
              <w:jc w:val="center"/>
              <w:rPr>
                <w:rFonts w:ascii="Times New Roman" w:hAnsi="Times New Roman" w:eastAsia="宋体" w:cs="Times New Roman"/>
                <w:szCs w:val="21"/>
              </w:rPr>
            </w:pP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恒口镇越南村</w:t>
            </w:r>
            <w:r>
              <w:rPr>
                <w:rFonts w:ascii="Times New Roman" w:hAnsi="Times New Roman" w:eastAsia="宋体" w:cs="Times New Roman"/>
                <w:szCs w:val="21"/>
              </w:rPr>
              <w:t>刘星耀小学</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32.728561</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108.767132</w:t>
            </w:r>
          </w:p>
        </w:tc>
        <w:tc>
          <w:tcPr>
            <w:tcW w:w="6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紧邻</w:t>
            </w:r>
          </w:p>
        </w:tc>
        <w:tc>
          <w:tcPr>
            <w:tcW w:w="4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文教区</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师生</w:t>
            </w:r>
            <w:r>
              <w:rPr>
                <w:rFonts w:ascii="Times New Roman" w:hAnsi="Times New Roman" w:eastAsia="宋体" w:cs="Times New Roman"/>
                <w:szCs w:val="21"/>
              </w:rPr>
              <w:t>约</w:t>
            </w:r>
            <w:r>
              <w:rPr>
                <w:rFonts w:hint="eastAsia" w:ascii="Times New Roman" w:hAnsi="Times New Roman" w:eastAsia="宋体" w:cs="Times New Roman"/>
                <w:szCs w:val="21"/>
              </w:rPr>
              <w:t>300人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东风村</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32.729623</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108.760399</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310</w:t>
            </w:r>
          </w:p>
        </w:tc>
        <w:tc>
          <w:tcPr>
            <w:tcW w:w="4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居住区</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80户/约260人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blHeader/>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西家院子</w:t>
            </w:r>
            <w:r>
              <w:rPr>
                <w:rFonts w:ascii="Times New Roman" w:hAnsi="Times New Roman" w:eastAsia="宋体" w:cs="Times New Roman"/>
                <w:szCs w:val="21"/>
              </w:rPr>
              <w:t>村</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32.732477</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108.758018</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580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60户/约200人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集中村</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32.73503</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108.753843</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160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100户/约320人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三合村</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32.731918</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108.747622</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SW</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1340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80户/约260人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王家营</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32.738290</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108.751814</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1470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70户/约2</w:t>
            </w:r>
            <w:r>
              <w:rPr>
                <w:rFonts w:ascii="Times New Roman" w:hAnsi="Times New Roman" w:eastAsia="宋体" w:cs="Times New Roman"/>
                <w:szCs w:val="21"/>
              </w:rPr>
              <w:t>30</w:t>
            </w:r>
            <w:r>
              <w:rPr>
                <w:rFonts w:hint="eastAsia" w:ascii="Times New Roman" w:hAnsi="Times New Roman" w:eastAsia="宋体" w:cs="Times New Roman"/>
                <w:szCs w:val="21"/>
              </w:rPr>
              <w:t>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恒口镇</w:t>
            </w:r>
            <w:r>
              <w:rPr>
                <w:rFonts w:ascii="Times New Roman" w:hAnsi="Times New Roman" w:eastAsia="宋体" w:cs="Times New Roman"/>
                <w:szCs w:val="21"/>
              </w:rPr>
              <w:t>河南初级中学</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32.732432</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108.751700</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SW</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1150</w:t>
            </w:r>
          </w:p>
        </w:tc>
        <w:tc>
          <w:tcPr>
            <w:tcW w:w="4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文教区</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师生</w:t>
            </w:r>
            <w:r>
              <w:rPr>
                <w:rFonts w:ascii="Times New Roman" w:hAnsi="Times New Roman" w:eastAsia="宋体" w:cs="Times New Roman"/>
                <w:szCs w:val="21"/>
              </w:rPr>
              <w:t>约</w:t>
            </w:r>
            <w:r>
              <w:rPr>
                <w:rFonts w:hint="eastAsia" w:ascii="Times New Roman" w:hAnsi="Times New Roman" w:eastAsia="宋体" w:cs="Times New Roman"/>
                <w:szCs w:val="21"/>
              </w:rPr>
              <w:t>200人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恒口镇</w:t>
            </w:r>
            <w:r>
              <w:rPr>
                <w:rFonts w:ascii="Times New Roman" w:hAnsi="Times New Roman" w:eastAsia="宋体" w:cs="Times New Roman"/>
                <w:szCs w:val="21"/>
              </w:rPr>
              <w:t>天星小学</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32.734041</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108.748675</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1440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师生</w:t>
            </w:r>
            <w:r>
              <w:rPr>
                <w:rFonts w:ascii="Times New Roman" w:hAnsi="Times New Roman" w:eastAsia="宋体" w:cs="Times New Roman"/>
                <w:szCs w:val="21"/>
              </w:rPr>
              <w:t>约</w:t>
            </w:r>
            <w:r>
              <w:rPr>
                <w:rFonts w:hint="eastAsia" w:ascii="Times New Roman" w:hAnsi="Times New Roman" w:eastAsia="宋体" w:cs="Times New Roman"/>
                <w:szCs w:val="21"/>
              </w:rPr>
              <w:t>300人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金河坎</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32.741118</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108.749413</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WN</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2150</w:t>
            </w:r>
          </w:p>
        </w:tc>
        <w:tc>
          <w:tcPr>
            <w:tcW w:w="4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居住区</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120户/约390人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凯欣岭南</w:t>
            </w:r>
            <w:r>
              <w:rPr>
                <w:rFonts w:ascii="Times New Roman" w:hAnsi="Times New Roman" w:eastAsia="宋体" w:cs="Times New Roman"/>
                <w:szCs w:val="21"/>
              </w:rPr>
              <w:t>丽城</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32.734000</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108.771718</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NE</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360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300户/约960人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恒口镇</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32.738313</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108.772630</w:t>
            </w: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NE</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700</w:t>
            </w:r>
          </w:p>
        </w:tc>
        <w:tc>
          <w:tcPr>
            <w:tcW w:w="456" w:type="dxa"/>
            <w:vMerge w:val="continue"/>
            <w:vAlign w:val="center"/>
          </w:tcPr>
          <w:p>
            <w:pPr>
              <w:jc w:val="center"/>
              <w:rPr>
                <w:rFonts w:ascii="Times New Roman" w:hAnsi="Times New Roman" w:eastAsia="宋体" w:cs="Times New Roman"/>
                <w:szCs w:val="21"/>
              </w:rPr>
            </w:pP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约45000人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00" w:hRule="atLeast"/>
        </w:trPr>
        <w:tc>
          <w:tcPr>
            <w:tcW w:w="455" w:type="dxa"/>
            <w:vMerge w:val="restart"/>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声环境</w:t>
            </w:r>
          </w:p>
        </w:tc>
        <w:tc>
          <w:tcPr>
            <w:tcW w:w="1073"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越南村</w:t>
            </w:r>
          </w:p>
        </w:tc>
        <w:tc>
          <w:tcPr>
            <w:tcW w:w="122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32.729194</w:t>
            </w:r>
          </w:p>
        </w:tc>
        <w:tc>
          <w:tcPr>
            <w:tcW w:w="1348"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108.768392</w:t>
            </w:r>
          </w:p>
        </w:tc>
        <w:tc>
          <w:tcPr>
            <w:tcW w:w="6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紧邻</w:t>
            </w:r>
          </w:p>
        </w:tc>
        <w:tc>
          <w:tcPr>
            <w:tcW w:w="456" w:type="dxa"/>
            <w:vMerge w:val="continue"/>
            <w:vAlign w:val="center"/>
          </w:tcPr>
          <w:p>
            <w:pPr>
              <w:jc w:val="center"/>
              <w:rPr>
                <w:rFonts w:ascii="Times New Roman" w:hAnsi="Times New Roman" w:eastAsia="宋体" w:cs="Times New Roman"/>
                <w:szCs w:val="21"/>
              </w:rPr>
            </w:pPr>
          </w:p>
        </w:tc>
        <w:tc>
          <w:tcPr>
            <w:tcW w:w="1951"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100户/约320人</w:t>
            </w:r>
          </w:p>
        </w:tc>
        <w:tc>
          <w:tcPr>
            <w:tcW w:w="456" w:type="dxa"/>
            <w:vMerge w:val="restar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2类</w:t>
            </w:r>
            <w:r>
              <w:rPr>
                <w:rFonts w:ascii="Times New Roman" w:hAnsi="Times New Roman" w:eastAsia="宋体" w:cs="Times New Roman"/>
                <w:szCs w:val="21"/>
              </w:rPr>
              <w:t>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99" w:hRule="atLeast"/>
        </w:trPr>
        <w:tc>
          <w:tcPr>
            <w:tcW w:w="455" w:type="dxa"/>
            <w:vMerge w:val="continue"/>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Merge w:val="continue"/>
            <w:vAlign w:val="center"/>
          </w:tcPr>
          <w:p>
            <w:pPr>
              <w:jc w:val="center"/>
              <w:rPr>
                <w:rFonts w:ascii="Times New Roman" w:hAnsi="Times New Roman" w:eastAsia="宋体" w:cs="Times New Roman"/>
                <w:szCs w:val="21"/>
              </w:rPr>
            </w:pPr>
          </w:p>
        </w:tc>
        <w:tc>
          <w:tcPr>
            <w:tcW w:w="1228" w:type="dxa"/>
            <w:vMerge w:val="continue"/>
            <w:vAlign w:val="center"/>
          </w:tcPr>
          <w:p>
            <w:pPr>
              <w:jc w:val="center"/>
              <w:rPr>
                <w:rFonts w:ascii="Times New Roman" w:hAnsi="Times New Roman" w:eastAsia="宋体" w:cs="Times New Roman"/>
                <w:szCs w:val="21"/>
              </w:rPr>
            </w:pPr>
          </w:p>
        </w:tc>
        <w:tc>
          <w:tcPr>
            <w:tcW w:w="1348" w:type="dxa"/>
            <w:vMerge w:val="continue"/>
            <w:vAlign w:val="center"/>
          </w:tcPr>
          <w:p>
            <w:pPr>
              <w:jc w:val="center"/>
              <w:rPr>
                <w:rFonts w:ascii="Times New Roman" w:hAnsi="Times New Roman" w:eastAsia="宋体" w:cs="Times New Roman"/>
                <w:szCs w:val="21"/>
              </w:rPr>
            </w:pPr>
          </w:p>
        </w:tc>
        <w:tc>
          <w:tcPr>
            <w:tcW w:w="67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S</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w:t>
            </w:r>
          </w:p>
        </w:tc>
        <w:tc>
          <w:tcPr>
            <w:tcW w:w="456" w:type="dxa"/>
            <w:vMerge w:val="continue"/>
            <w:vAlign w:val="center"/>
          </w:tcPr>
          <w:p>
            <w:pPr>
              <w:jc w:val="center"/>
              <w:rPr>
                <w:rFonts w:ascii="Times New Roman" w:hAnsi="Times New Roman" w:eastAsia="宋体" w:cs="Times New Roman"/>
                <w:szCs w:val="21"/>
              </w:rPr>
            </w:pPr>
          </w:p>
        </w:tc>
        <w:tc>
          <w:tcPr>
            <w:tcW w:w="1951" w:type="dxa"/>
            <w:vMerge w:val="continue"/>
            <w:vAlign w:val="center"/>
          </w:tcPr>
          <w:p>
            <w:pPr>
              <w:jc w:val="center"/>
              <w:rPr>
                <w:rFonts w:ascii="Times New Roman" w:hAnsi="Times New Roman" w:eastAsia="宋体" w:cs="Times New Roman"/>
                <w:szCs w:val="21"/>
              </w:rPr>
            </w:pP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Merge w:val="continue"/>
            <w:vAlign w:val="center"/>
          </w:tcPr>
          <w:p>
            <w:pPr>
              <w:jc w:val="center"/>
              <w:rPr>
                <w:rFonts w:ascii="Times New Roman" w:hAnsi="Times New Roman" w:eastAsia="宋体" w:cs="Times New Roman"/>
                <w:szCs w:val="21"/>
              </w:rPr>
            </w:pPr>
          </w:p>
        </w:tc>
        <w:tc>
          <w:tcPr>
            <w:tcW w:w="107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恒口镇越南村</w:t>
            </w:r>
            <w:r>
              <w:rPr>
                <w:rFonts w:ascii="Times New Roman" w:hAnsi="Times New Roman" w:eastAsia="宋体" w:cs="Times New Roman"/>
                <w:szCs w:val="21"/>
              </w:rPr>
              <w:t>刘星耀小学</w:t>
            </w:r>
          </w:p>
        </w:tc>
        <w:tc>
          <w:tcPr>
            <w:tcW w:w="122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32.728561</w:t>
            </w:r>
          </w:p>
        </w:tc>
        <w:tc>
          <w:tcPr>
            <w:tcW w:w="134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108.767132</w:t>
            </w:r>
          </w:p>
        </w:tc>
        <w:tc>
          <w:tcPr>
            <w:tcW w:w="6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w:t>
            </w:r>
          </w:p>
        </w:tc>
        <w:tc>
          <w:tcPr>
            <w:tcW w:w="69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紧邻</w:t>
            </w:r>
          </w:p>
        </w:tc>
        <w:tc>
          <w:tcPr>
            <w:tcW w:w="4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文教区</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师生</w:t>
            </w:r>
            <w:r>
              <w:rPr>
                <w:rFonts w:ascii="Times New Roman" w:hAnsi="Times New Roman" w:eastAsia="宋体" w:cs="Times New Roman"/>
                <w:szCs w:val="21"/>
              </w:rPr>
              <w:t>约</w:t>
            </w:r>
            <w:r>
              <w:rPr>
                <w:rFonts w:hint="eastAsia" w:ascii="Times New Roman" w:hAnsi="Times New Roman" w:eastAsia="宋体" w:cs="Times New Roman"/>
                <w:szCs w:val="21"/>
              </w:rPr>
              <w:t>300人</w:t>
            </w:r>
          </w:p>
        </w:tc>
        <w:tc>
          <w:tcPr>
            <w:tcW w:w="456" w:type="dxa"/>
            <w:vMerge w:val="continue"/>
            <w:vAlign w:val="center"/>
          </w:tcPr>
          <w:p>
            <w:pPr>
              <w:jc w:val="center"/>
              <w:rPr>
                <w:rFonts w:ascii="Times New Roman" w:hAnsi="Times New Roman" w:eastAsia="宋体" w:cs="Times New Roman"/>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0" w:hRule="atLeast"/>
        </w:trPr>
        <w:tc>
          <w:tcPr>
            <w:tcW w:w="455" w:type="dxa"/>
            <w:vAlign w:val="center"/>
          </w:tcPr>
          <w:p>
            <w:pPr>
              <w:numPr>
                <w:ilvl w:val="0"/>
                <w:numId w:val="6"/>
              </w:numPr>
              <w:spacing w:line="360" w:lineRule="auto"/>
              <w:jc w:val="center"/>
              <w:rPr>
                <w:rFonts w:ascii="Times New Roman" w:hAnsi="Times New Roman" w:eastAsia="宋体" w:cs="Times New Roman"/>
                <w:szCs w:val="21"/>
              </w:rPr>
            </w:pPr>
          </w:p>
        </w:tc>
        <w:tc>
          <w:tcPr>
            <w:tcW w:w="538"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地表水</w:t>
            </w:r>
          </w:p>
        </w:tc>
        <w:tc>
          <w:tcPr>
            <w:tcW w:w="3649" w:type="dxa"/>
            <w:gridSpan w:val="3"/>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月河</w:t>
            </w:r>
          </w:p>
        </w:tc>
        <w:tc>
          <w:tcPr>
            <w:tcW w:w="67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w:t>
            </w:r>
          </w:p>
        </w:tc>
        <w:tc>
          <w:tcPr>
            <w:tcW w:w="6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70</w:t>
            </w:r>
          </w:p>
        </w:tc>
        <w:tc>
          <w:tcPr>
            <w:tcW w:w="456"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95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456" w:type="dxa"/>
            <w:vAlign w:val="center"/>
          </w:tcPr>
          <w:p>
            <w:pPr>
              <w:jc w:val="center"/>
              <w:rPr>
                <w:rFonts w:ascii="Times New Roman" w:hAnsi="Times New Roman" w:eastAsia="宋体" w:cs="Times New Roman"/>
                <w:szCs w:val="21"/>
              </w:rPr>
            </w:pPr>
            <w:r>
              <w:rPr>
                <w:rFonts w:hint="eastAsia"/>
              </w:rPr>
              <w:t>Ⅱ</w:t>
            </w:r>
            <w:r>
              <w:rPr>
                <w:rFonts w:ascii="Times New Roman" w:hAnsi="Times New Roman" w:eastAsia="宋体" w:cs="Times New Roman"/>
                <w:kern w:val="28"/>
                <w:szCs w:val="21"/>
              </w:rPr>
              <w:t>类</w:t>
            </w:r>
          </w:p>
        </w:tc>
      </w:tr>
    </w:tbl>
    <w:p>
      <w:pPr>
        <w:pStyle w:val="40"/>
        <w:ind w:firstLine="480"/>
        <w:rPr>
          <w:highlight w:val="yellow"/>
        </w:rPr>
      </w:pPr>
    </w:p>
    <w:p>
      <w:pPr>
        <w:rPr>
          <w:highlight w:val="yellow"/>
        </w:rPr>
      </w:pPr>
    </w:p>
    <w:p>
      <w:pPr>
        <w:rPr>
          <w:highlight w:val="yellow"/>
        </w:rPr>
        <w:sectPr>
          <w:headerReference r:id="rId13" w:type="default"/>
          <w:footerReference r:id="rId15" w:type="default"/>
          <w:headerReference r:id="rId14" w:type="even"/>
          <w:pgSz w:w="11906" w:h="16838"/>
          <w:pgMar w:top="1418" w:right="1418" w:bottom="1418" w:left="1588" w:header="851" w:footer="992" w:gutter="0"/>
          <w:pgNumType w:fmt="numberInDash"/>
          <w:cols w:space="425" w:num="1"/>
          <w:docGrid w:type="linesAndChars" w:linePitch="312" w:charSpace="0"/>
        </w:sectPr>
      </w:pPr>
    </w:p>
    <w:p>
      <w:pPr>
        <w:pStyle w:val="2"/>
      </w:pPr>
      <w:bookmarkStart w:id="24" w:name="_Toc113260423"/>
      <w:r>
        <w:rPr>
          <w:rFonts w:hint="eastAsia"/>
        </w:rPr>
        <w:t>建设项目</w:t>
      </w:r>
      <w:r>
        <w:t>概况</w:t>
      </w:r>
      <w:bookmarkEnd w:id="24"/>
    </w:p>
    <w:p>
      <w:pPr>
        <w:pStyle w:val="3"/>
      </w:pPr>
      <w:bookmarkStart w:id="25" w:name="_Toc113260424"/>
      <w:r>
        <w:t>项目概况</w:t>
      </w:r>
      <w:bookmarkEnd w:id="25"/>
    </w:p>
    <w:p>
      <w:pPr>
        <w:pStyle w:val="4"/>
      </w:pPr>
      <w:r>
        <w:rPr>
          <w:rFonts w:hint="eastAsia"/>
        </w:rPr>
        <w:t>项目</w:t>
      </w:r>
      <w:r>
        <w:t>基本</w:t>
      </w:r>
      <w:r>
        <w:rPr>
          <w:rFonts w:hint="eastAsia"/>
        </w:rPr>
        <w:t>信息</w:t>
      </w:r>
    </w:p>
    <w:p>
      <w:pPr>
        <w:pStyle w:val="40"/>
        <w:ind w:firstLine="480"/>
      </w:pPr>
      <w:r>
        <w:rPr>
          <w:rFonts w:hint="eastAsia"/>
        </w:rPr>
        <w:t>项目名称：恒口示范区（试验区）综合性三级中医医院建设项目</w:t>
      </w:r>
    </w:p>
    <w:p>
      <w:pPr>
        <w:pStyle w:val="40"/>
        <w:ind w:firstLine="480"/>
      </w:pPr>
      <w:r>
        <w:rPr>
          <w:rFonts w:hint="eastAsia"/>
        </w:rPr>
        <w:t xml:space="preserve">建设单位：恒口镇人民政府（恒口示范区卫生健康局） </w:t>
      </w:r>
    </w:p>
    <w:p>
      <w:pPr>
        <w:pStyle w:val="40"/>
        <w:ind w:firstLine="480"/>
      </w:pPr>
      <w:r>
        <w:rPr>
          <w:rFonts w:hint="eastAsia"/>
        </w:rPr>
        <w:t>建设性质：新建</w:t>
      </w:r>
    </w:p>
    <w:p>
      <w:pPr>
        <w:pStyle w:val="40"/>
        <w:ind w:firstLine="480"/>
      </w:pPr>
      <w:r>
        <w:rPr>
          <w:rFonts w:hint="eastAsia"/>
        </w:rPr>
        <w:t>行业类别：</w:t>
      </w:r>
      <w:r>
        <w:t>Q8411</w:t>
      </w:r>
      <w:r>
        <w:rPr>
          <w:rFonts w:hint="eastAsia"/>
        </w:rPr>
        <w:t xml:space="preserve"> 综合医院</w:t>
      </w:r>
    </w:p>
    <w:p>
      <w:pPr>
        <w:pStyle w:val="40"/>
        <w:ind w:firstLine="480"/>
      </w:pPr>
      <w:r>
        <w:rPr>
          <w:rFonts w:hint="eastAsia"/>
        </w:rPr>
        <w:t>地理位置：安康市恒口示范区（试验区）月滨南大道，项目地理位置图见图3.</w:t>
      </w:r>
      <w:r>
        <w:t>1</w:t>
      </w:r>
      <w:r>
        <w:rPr>
          <w:rFonts w:hint="eastAsia"/>
        </w:rPr>
        <w:t>-1。</w:t>
      </w:r>
    </w:p>
    <w:p>
      <w:pPr>
        <w:pStyle w:val="40"/>
        <w:ind w:firstLine="480"/>
        <w:rPr>
          <w:highlight w:val="yellow"/>
        </w:rPr>
      </w:pPr>
      <w:r>
        <w:rPr>
          <w:rFonts w:hint="eastAsia"/>
        </w:rPr>
        <w:t>项目总投资：项目总投资</w:t>
      </w:r>
      <w:r>
        <w:t>42503.55</w:t>
      </w:r>
      <w:r>
        <w:rPr>
          <w:rFonts w:hint="eastAsia"/>
        </w:rPr>
        <w:t>万元，其中环保投入</w:t>
      </w:r>
      <w:r>
        <w:rPr>
          <w:color w:val="FF0000"/>
        </w:rPr>
        <w:t>93</w:t>
      </w:r>
      <w:r>
        <w:rPr>
          <w:rFonts w:hint="eastAsia"/>
          <w:color w:val="FF0000"/>
        </w:rPr>
        <w:t>万元</w:t>
      </w:r>
      <w:r>
        <w:rPr>
          <w:rFonts w:hint="eastAsia"/>
        </w:rPr>
        <w:t>，占总投资的</w:t>
      </w:r>
      <w:r>
        <w:rPr>
          <w:color w:val="FF0000"/>
        </w:rPr>
        <w:t>0.22</w:t>
      </w:r>
      <w:r>
        <w:rPr>
          <w:rFonts w:hint="eastAsia"/>
          <w:color w:val="FF0000"/>
        </w:rPr>
        <w:t>%</w:t>
      </w:r>
      <w:r>
        <w:rPr>
          <w:rFonts w:hint="eastAsia"/>
        </w:rPr>
        <w:t>。</w:t>
      </w:r>
    </w:p>
    <w:p>
      <w:pPr>
        <w:pStyle w:val="40"/>
        <w:ind w:firstLine="480"/>
      </w:pPr>
      <w:r>
        <w:t>年工作时数：年工作365天，实行24小时／天连续运转；</w:t>
      </w:r>
    </w:p>
    <w:p>
      <w:pPr>
        <w:pStyle w:val="40"/>
        <w:ind w:firstLine="480"/>
      </w:pPr>
      <w:r>
        <w:t>劳动定员：</w:t>
      </w:r>
      <w:r>
        <w:rPr>
          <w:rFonts w:hint="eastAsia"/>
        </w:rPr>
        <w:t>项目</w:t>
      </w:r>
      <w:r>
        <w:t>建成后，</w:t>
      </w:r>
      <w:r>
        <w:rPr>
          <w:rFonts w:hint="eastAsia"/>
        </w:rPr>
        <w:t>项目</w:t>
      </w:r>
      <w:r>
        <w:t>病床500张，</w:t>
      </w:r>
      <w:r>
        <w:rPr>
          <w:rFonts w:hint="eastAsia"/>
        </w:rPr>
        <w:t>医护人员</w:t>
      </w:r>
      <w:r>
        <w:t>595</w:t>
      </w:r>
      <w:r>
        <w:rPr>
          <w:rFonts w:hint="eastAsia"/>
        </w:rPr>
        <w:t>人</w:t>
      </w:r>
      <w:r>
        <w:t>，</w:t>
      </w:r>
      <w:r>
        <w:rPr>
          <w:rFonts w:hint="eastAsia"/>
        </w:rPr>
        <w:t>办公</w:t>
      </w:r>
      <w:r>
        <w:t>及后勤服务人员225</w:t>
      </w:r>
      <w:r>
        <w:rPr>
          <w:rFonts w:hint="eastAsia"/>
        </w:rPr>
        <w:t>人，</w:t>
      </w:r>
      <w:r>
        <w:t>门诊人数1500</w:t>
      </w:r>
      <w:r>
        <w:rPr>
          <w:rFonts w:hint="eastAsia"/>
        </w:rPr>
        <w:t>人/</w:t>
      </w:r>
      <w:r>
        <w:t>d。</w:t>
      </w:r>
    </w:p>
    <w:p>
      <w:pPr>
        <w:pStyle w:val="4"/>
      </w:pPr>
      <w:r>
        <w:t>建设内容及规模</w:t>
      </w:r>
    </w:p>
    <w:p>
      <w:pPr>
        <w:pStyle w:val="40"/>
        <w:ind w:firstLine="480"/>
      </w:pPr>
      <w:r>
        <w:rPr>
          <w:rFonts w:hint="eastAsia"/>
        </w:rPr>
        <w:t>恒口</w:t>
      </w:r>
      <w:r>
        <w:t>示范区（</w:t>
      </w:r>
      <w:r>
        <w:rPr>
          <w:rFonts w:hint="eastAsia"/>
        </w:rPr>
        <w:t>试验区</w:t>
      </w:r>
      <w:r>
        <w:t>）</w:t>
      </w:r>
      <w:r>
        <w:rPr>
          <w:rFonts w:hint="eastAsia"/>
        </w:rPr>
        <w:t>综合性三级中医医院建设项目规划总</w:t>
      </w:r>
      <w:r>
        <w:t>用地面积</w:t>
      </w:r>
      <w:r>
        <w:rPr>
          <w:rFonts w:hint="eastAsia"/>
        </w:rPr>
        <w:t>46666.67</w:t>
      </w:r>
      <w:r>
        <w:t>m</w:t>
      </w:r>
      <w:r>
        <w:rPr>
          <w:vertAlign w:val="superscript"/>
        </w:rPr>
        <w:t>2</w:t>
      </w:r>
      <w:r>
        <w:rPr>
          <w:rFonts w:hint="eastAsia"/>
        </w:rPr>
        <w:t>，总建筑</w:t>
      </w:r>
      <w:r>
        <w:t>面积58300m</w:t>
      </w:r>
      <w:r>
        <w:rPr>
          <w:vertAlign w:val="superscript"/>
        </w:rPr>
        <w:t>2</w:t>
      </w:r>
      <w:r>
        <w:t>，</w:t>
      </w:r>
      <w:r>
        <w:rPr>
          <w:rFonts w:hint="eastAsia"/>
        </w:rPr>
        <w:t>其中</w:t>
      </w:r>
      <w:r>
        <w:t>地上总建筑面积</w:t>
      </w:r>
      <w:r>
        <w:rPr>
          <w:rFonts w:hint="eastAsia"/>
        </w:rPr>
        <w:t>51900</w:t>
      </w:r>
      <w:r>
        <w:t>m</w:t>
      </w:r>
      <w:r>
        <w:rPr>
          <w:vertAlign w:val="superscript"/>
        </w:rPr>
        <w:t>2</w:t>
      </w:r>
      <w:r>
        <w:t>，</w:t>
      </w:r>
      <w:r>
        <w:rPr>
          <w:rFonts w:hint="eastAsia"/>
        </w:rPr>
        <w:t>地下</w:t>
      </w:r>
      <w:r>
        <w:t>总建筑面积</w:t>
      </w:r>
      <w:r>
        <w:rPr>
          <w:rFonts w:hint="eastAsia"/>
        </w:rPr>
        <w:t>6400</w:t>
      </w:r>
      <w:r>
        <w:t>m</w:t>
      </w:r>
      <w:r>
        <w:rPr>
          <w:vertAlign w:val="superscript"/>
        </w:rPr>
        <w:t>2</w:t>
      </w:r>
      <w:r>
        <w:t>，项目设置综合床位共</w:t>
      </w:r>
      <w:r>
        <w:rPr>
          <w:rFonts w:hint="eastAsia"/>
        </w:rPr>
        <w:t>500张</w:t>
      </w:r>
      <w:r>
        <w:t>，</w:t>
      </w:r>
      <w:r>
        <w:rPr>
          <w:rFonts w:hint="eastAsia"/>
        </w:rPr>
        <w:t>主要</w:t>
      </w:r>
      <w:r>
        <w:t>建设内容为</w:t>
      </w:r>
      <w:r>
        <w:rPr>
          <w:rFonts w:hint="eastAsia"/>
        </w:rPr>
        <w:t>新建</w:t>
      </w:r>
      <w:r>
        <w:t>急诊部、门诊部、住院部、</w:t>
      </w:r>
      <w:r>
        <w:rPr>
          <w:rFonts w:hint="eastAsia"/>
        </w:rPr>
        <w:t>医技</w:t>
      </w:r>
      <w:r>
        <w:t>部、保障系统用房，</w:t>
      </w:r>
      <w:r>
        <w:rPr>
          <w:rFonts w:hint="eastAsia"/>
        </w:rPr>
        <w:t>配套</w:t>
      </w:r>
      <w:r>
        <w:t>建设</w:t>
      </w:r>
      <w:r>
        <w:rPr>
          <w:rFonts w:hint="eastAsia"/>
        </w:rPr>
        <w:t>供排水</w:t>
      </w:r>
      <w:r>
        <w:t>、电气、暖通、消防、道路、停车场、</w:t>
      </w:r>
      <w:r>
        <w:rPr>
          <w:rFonts w:hint="eastAsia"/>
        </w:rPr>
        <w:t>广场</w:t>
      </w:r>
      <w:r>
        <w:t>和</w:t>
      </w:r>
      <w:r>
        <w:rPr>
          <w:rFonts w:hint="eastAsia"/>
        </w:rPr>
        <w:t>绿</w:t>
      </w:r>
      <w:r>
        <w:t>化等附属设施</w:t>
      </w:r>
      <w:r>
        <w:rPr>
          <w:rFonts w:hint="eastAsia"/>
        </w:rPr>
        <w:t>。</w:t>
      </w:r>
    </w:p>
    <w:p>
      <w:pPr>
        <w:pStyle w:val="40"/>
        <w:ind w:firstLine="480"/>
      </w:pPr>
      <w:r>
        <w:rPr>
          <w:rFonts w:hint="eastAsia"/>
          <w:color w:val="FF0000"/>
        </w:rPr>
        <w:t>其中</w:t>
      </w:r>
      <w:r>
        <w:rPr>
          <w:color w:val="FF0000"/>
        </w:rPr>
        <w:t>后勤</w:t>
      </w:r>
      <w:r>
        <w:rPr>
          <w:rFonts w:hint="eastAsia"/>
          <w:color w:val="FF0000"/>
        </w:rPr>
        <w:t>楼</w:t>
      </w:r>
      <w:r>
        <w:rPr>
          <w:color w:val="FF0000"/>
        </w:rPr>
        <w:t>利用原有安康仁济医院项目</w:t>
      </w:r>
      <w:r>
        <w:rPr>
          <w:rFonts w:hint="eastAsia"/>
          <w:color w:val="FF0000"/>
        </w:rPr>
        <w:t>，用地</w:t>
      </w:r>
      <w:r>
        <w:rPr>
          <w:color w:val="FF0000"/>
        </w:rPr>
        <w:t>性质为医疗用地</w:t>
      </w:r>
      <w:r>
        <w:rPr>
          <w:rFonts w:hint="eastAsia"/>
          <w:color w:val="FF0000"/>
        </w:rPr>
        <w:t>，</w:t>
      </w:r>
      <w:r>
        <w:rPr>
          <w:color w:val="FF0000"/>
        </w:rPr>
        <w:t>于</w:t>
      </w:r>
      <w:r>
        <w:rPr>
          <w:rFonts w:hint="eastAsia"/>
          <w:color w:val="FF0000"/>
        </w:rPr>
        <w:t>2020年7月9日取得</w:t>
      </w:r>
      <w:r>
        <w:rPr>
          <w:color w:val="FF0000"/>
        </w:rPr>
        <w:t>安康市生态</w:t>
      </w:r>
      <w:r>
        <w:rPr>
          <w:rFonts w:hint="eastAsia"/>
          <w:color w:val="FF0000"/>
        </w:rPr>
        <w:t>环境</w:t>
      </w:r>
      <w:r>
        <w:rPr>
          <w:color w:val="FF0000"/>
        </w:rPr>
        <w:t>局汉滨分局</w:t>
      </w:r>
      <w:r>
        <w:rPr>
          <w:rFonts w:hint="eastAsia"/>
          <w:color w:val="FF0000"/>
        </w:rPr>
        <w:t>《关于</w:t>
      </w:r>
      <w:r>
        <w:rPr>
          <w:color w:val="FF0000"/>
        </w:rPr>
        <w:t>安康仁济医院</w:t>
      </w:r>
      <w:r>
        <w:rPr>
          <w:rFonts w:hint="eastAsia"/>
          <w:color w:val="FF0000"/>
        </w:rPr>
        <w:t>建设</w:t>
      </w:r>
      <w:r>
        <w:rPr>
          <w:color w:val="FF0000"/>
        </w:rPr>
        <w:t>项目环境影响报告表的批复</w:t>
      </w:r>
      <w:r>
        <w:rPr>
          <w:rFonts w:hint="eastAsia"/>
          <w:color w:val="FF0000"/>
        </w:rPr>
        <w:t>》（汉</w:t>
      </w:r>
      <w:r>
        <w:rPr>
          <w:color w:val="FF0000"/>
        </w:rPr>
        <w:t>环分函</w:t>
      </w:r>
      <w:r>
        <w:rPr>
          <w:rFonts w:hint="eastAsia"/>
          <w:color w:val="FF0000"/>
        </w:rPr>
        <w:t>[</w:t>
      </w:r>
      <w:r>
        <w:rPr>
          <w:color w:val="FF0000"/>
        </w:rPr>
        <w:t>2020</w:t>
      </w:r>
      <w:r>
        <w:rPr>
          <w:rFonts w:hint="eastAsia"/>
          <w:color w:val="FF0000"/>
        </w:rPr>
        <w:t>]</w:t>
      </w:r>
      <w:r>
        <w:rPr>
          <w:color w:val="FF0000"/>
        </w:rPr>
        <w:t>120</w:t>
      </w:r>
      <w:r>
        <w:rPr>
          <w:rFonts w:hint="eastAsia"/>
          <w:color w:val="FF0000"/>
        </w:rPr>
        <w:t>号），于2020年10月开工建设，由于资金短缺，原仁济医院项目未建设完成，于2021年10月由恒口镇人民政府（恒口示范区卫生健康局）接手后建设本项目，后勤</w:t>
      </w:r>
      <w:r>
        <w:rPr>
          <w:color w:val="FF0000"/>
        </w:rPr>
        <w:t>楼</w:t>
      </w:r>
      <w:r>
        <w:rPr>
          <w:rFonts w:hint="eastAsia"/>
          <w:color w:val="FF0000"/>
        </w:rPr>
        <w:t>在</w:t>
      </w:r>
      <w:r>
        <w:rPr>
          <w:color w:val="FF0000"/>
        </w:rPr>
        <w:t>原有</w:t>
      </w:r>
      <w:r>
        <w:rPr>
          <w:rFonts w:hint="eastAsia"/>
        </w:rPr>
        <w:t>安康</w:t>
      </w:r>
      <w:r>
        <w:t>仁济医院</w:t>
      </w:r>
      <w:r>
        <w:rPr>
          <w:rFonts w:hint="eastAsia"/>
        </w:rPr>
        <w:t>未建设</w:t>
      </w:r>
      <w:r>
        <w:t>完成的楼体框架上增加一层</w:t>
      </w:r>
      <w:r>
        <w:rPr>
          <w:rFonts w:hint="eastAsia"/>
        </w:rPr>
        <w:t>，最终</w:t>
      </w:r>
      <w:r>
        <w:t>为</w:t>
      </w:r>
      <w:r>
        <w:rPr>
          <w:rFonts w:hint="eastAsia"/>
        </w:rPr>
        <w:t>9</w:t>
      </w:r>
      <w:r>
        <w:t>F建筑。</w:t>
      </w:r>
    </w:p>
    <w:p>
      <w:pPr>
        <w:pStyle w:val="40"/>
        <w:ind w:firstLine="480"/>
      </w:pPr>
      <w:r>
        <w:rPr>
          <w:rFonts w:hint="eastAsia"/>
        </w:rPr>
        <w:t>项目主要</w:t>
      </w:r>
      <w:r>
        <w:t>建设内容见表</w:t>
      </w:r>
      <w:r>
        <w:rPr>
          <w:rFonts w:hint="eastAsia"/>
        </w:rPr>
        <w:t>3.</w:t>
      </w:r>
      <w:r>
        <w:t>1</w:t>
      </w:r>
      <w:r>
        <w:rPr>
          <w:rFonts w:hint="eastAsia"/>
        </w:rPr>
        <w:t>-1。</w:t>
      </w:r>
    </w:p>
    <w:p>
      <w:pPr>
        <w:pStyle w:val="22"/>
      </w:pPr>
      <w:r>
        <w:br w:type="column"/>
      </w:r>
      <w:r>
        <w:t>表</w:t>
      </w:r>
      <w:r>
        <w:fldChar w:fldCharType="begin"/>
      </w:r>
      <w:r>
        <w:instrText xml:space="preserve"> STYLEREF 2 \s </w:instrText>
      </w:r>
      <w:r>
        <w:fldChar w:fldCharType="separate"/>
      </w:r>
      <w:r>
        <w:t>3.1</w:t>
      </w:r>
      <w:r>
        <w:fldChar w:fldCharType="end"/>
      </w:r>
      <w:r>
        <w:noBreakHyphen/>
      </w:r>
      <w:r>
        <w:fldChar w:fldCharType="begin"/>
      </w:r>
      <w:r>
        <w:instrText xml:space="preserve"> SEQ 表 \* ARABIC \s 2 </w:instrText>
      </w:r>
      <w:r>
        <w:fldChar w:fldCharType="separate"/>
      </w:r>
      <w:r>
        <w:t>1</w:t>
      </w:r>
      <w:r>
        <w:fldChar w:fldCharType="end"/>
      </w:r>
      <w:r>
        <w:t xml:space="preserve">  项目</w:t>
      </w:r>
      <w:r>
        <w:rPr>
          <w:rFonts w:hint="eastAsia"/>
        </w:rPr>
        <w:t>组成</w:t>
      </w:r>
      <w:r>
        <w:t>一览表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414"/>
        <w:gridCol w:w="1983"/>
        <w:gridCol w:w="4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26" w:type="dxa"/>
            <w:vMerge w:val="restart"/>
            <w:vAlign w:val="center"/>
          </w:tcPr>
          <w:p>
            <w:pPr>
              <w:jc w:val="center"/>
              <w:rPr>
                <w:szCs w:val="21"/>
              </w:rPr>
            </w:pPr>
            <w:r>
              <w:rPr>
                <w:szCs w:val="21"/>
              </w:rPr>
              <w:t>项目组成</w:t>
            </w:r>
          </w:p>
        </w:tc>
        <w:tc>
          <w:tcPr>
            <w:tcW w:w="8144" w:type="dxa"/>
            <w:gridSpan w:val="3"/>
            <w:vAlign w:val="center"/>
          </w:tcPr>
          <w:p>
            <w:pPr>
              <w:jc w:val="center"/>
              <w:rPr>
                <w:szCs w:val="21"/>
              </w:rPr>
            </w:pPr>
            <w:r>
              <w:rPr>
                <w:szCs w:val="21"/>
              </w:rPr>
              <w:t>工程内容及规模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26" w:type="dxa"/>
            <w:vMerge w:val="continue"/>
            <w:vAlign w:val="center"/>
          </w:tcPr>
          <w:p>
            <w:pPr>
              <w:jc w:val="center"/>
              <w:rPr>
                <w:szCs w:val="21"/>
              </w:rPr>
            </w:pPr>
          </w:p>
        </w:tc>
        <w:tc>
          <w:tcPr>
            <w:tcW w:w="1414" w:type="dxa"/>
            <w:vAlign w:val="center"/>
          </w:tcPr>
          <w:p>
            <w:pPr>
              <w:jc w:val="center"/>
              <w:rPr>
                <w:szCs w:val="21"/>
              </w:rPr>
            </w:pPr>
            <w:r>
              <w:rPr>
                <w:szCs w:val="21"/>
              </w:rPr>
              <w:t>名称</w:t>
            </w:r>
          </w:p>
        </w:tc>
        <w:tc>
          <w:tcPr>
            <w:tcW w:w="6730" w:type="dxa"/>
            <w:gridSpan w:val="2"/>
            <w:vAlign w:val="center"/>
          </w:tcPr>
          <w:p>
            <w:pPr>
              <w:jc w:val="center"/>
              <w:rPr>
                <w:szCs w:val="21"/>
              </w:rPr>
            </w:pPr>
            <w:r>
              <w:rPr>
                <w:szCs w:val="21"/>
              </w:rPr>
              <w:t>功能</w:t>
            </w:r>
            <w:r>
              <w:rPr>
                <w:rFonts w:hint="eastAsia"/>
                <w:szCs w:val="21"/>
              </w:rPr>
              <w:t>及</w:t>
            </w:r>
            <w:r>
              <w:rPr>
                <w:szCs w:val="21"/>
              </w:rPr>
              <w:t>楼层</w:t>
            </w:r>
            <w:r>
              <w:rPr>
                <w:rFonts w:hint="eastAsia"/>
                <w:szCs w:val="21"/>
              </w:rPr>
              <w:t>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restart"/>
            <w:vAlign w:val="center"/>
          </w:tcPr>
          <w:p>
            <w:pPr>
              <w:jc w:val="center"/>
              <w:rPr>
                <w:szCs w:val="21"/>
              </w:rPr>
            </w:pPr>
            <w:r>
              <w:rPr>
                <w:szCs w:val="21"/>
              </w:rPr>
              <w:t>主体工程</w:t>
            </w:r>
          </w:p>
        </w:tc>
        <w:tc>
          <w:tcPr>
            <w:tcW w:w="1414" w:type="dxa"/>
            <w:vAlign w:val="center"/>
          </w:tcPr>
          <w:p>
            <w:pPr>
              <w:pStyle w:val="43"/>
            </w:pPr>
            <w:r>
              <w:rPr>
                <w:rFonts w:hint="eastAsia"/>
              </w:rPr>
              <w:t>住院楼</w:t>
            </w:r>
          </w:p>
        </w:tc>
        <w:tc>
          <w:tcPr>
            <w:tcW w:w="6730" w:type="dxa"/>
            <w:gridSpan w:val="2"/>
            <w:vAlign w:val="center"/>
          </w:tcPr>
          <w:p>
            <w:pPr>
              <w:pStyle w:val="47"/>
              <w:jc w:val="both"/>
            </w:pPr>
            <w:r>
              <w:rPr>
                <w:rFonts w:hint="eastAsia"/>
              </w:rPr>
              <w:t>位于</w:t>
            </w:r>
            <w:r>
              <w:t>医院西北侧，</w:t>
            </w:r>
            <w:r>
              <w:rPr>
                <w:rFonts w:hint="eastAsia"/>
              </w:rPr>
              <w:t>1</w:t>
            </w:r>
            <w:r>
              <w:t>3F，</w:t>
            </w:r>
            <w:r>
              <w:rPr>
                <w:rFonts w:hint="eastAsia"/>
              </w:rPr>
              <w:t>1</w:t>
            </w:r>
            <w:r>
              <w:t>F</w:t>
            </w:r>
            <w:r>
              <w:rPr>
                <w:rFonts w:hint="eastAsia"/>
              </w:rPr>
              <w:t>为</w:t>
            </w:r>
            <w:r>
              <w:t>出入院办理</w:t>
            </w:r>
            <w:r>
              <w:rPr>
                <w:rFonts w:hint="eastAsia"/>
              </w:rPr>
              <w:t>、</w:t>
            </w:r>
            <w:r>
              <w:t>中西药房；</w:t>
            </w:r>
            <w:r>
              <w:rPr>
                <w:rFonts w:hint="eastAsia"/>
              </w:rPr>
              <w:t>2</w:t>
            </w:r>
            <w:r>
              <w:t>F为血液透析；</w:t>
            </w:r>
            <w:r>
              <w:rPr>
                <w:rFonts w:hint="eastAsia"/>
              </w:rPr>
              <w:t>3</w:t>
            </w:r>
            <w:r>
              <w:t>F为病理</w:t>
            </w:r>
            <w:r>
              <w:rPr>
                <w:rFonts w:hint="eastAsia"/>
              </w:rPr>
              <w:t>/血</w:t>
            </w:r>
            <w:r>
              <w:t>库；</w:t>
            </w:r>
            <w:r>
              <w:rPr>
                <w:rFonts w:hint="eastAsia"/>
              </w:rPr>
              <w:t>4</w:t>
            </w:r>
            <w:r>
              <w:t>F为标准病房护理单元；</w:t>
            </w:r>
            <w:r>
              <w:rPr>
                <w:rFonts w:hint="eastAsia"/>
              </w:rPr>
              <w:t>5~</w:t>
            </w:r>
            <w:r>
              <w:t>13F为标准病房</w:t>
            </w:r>
            <w:r>
              <w:rPr>
                <w:rFonts w:hint="eastAsia"/>
              </w:rPr>
              <w:t>、</w:t>
            </w:r>
            <w:r>
              <w:t>护理单元</w:t>
            </w:r>
            <w:r>
              <w:rPr>
                <w:rFonts w:hint="eastAsia"/>
              </w:rPr>
              <w:t>。</w:t>
            </w:r>
          </w:p>
          <w:p>
            <w:pPr>
              <w:pStyle w:val="47"/>
              <w:jc w:val="both"/>
            </w:pPr>
            <w:r>
              <w:rPr>
                <w:rFonts w:hint="eastAsia"/>
              </w:rPr>
              <w:t>地下一层</w:t>
            </w:r>
            <w:r>
              <w:t>设置医疗废物暂存间</w:t>
            </w:r>
            <w:r>
              <w:rPr>
                <w:rFonts w:hint="eastAsia"/>
              </w:rPr>
              <w:t>，垃圾站</w:t>
            </w:r>
            <w:r>
              <w:t>，太平间等。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pStyle w:val="43"/>
            </w:pPr>
            <w:r>
              <w:rPr>
                <w:rFonts w:hint="eastAsia"/>
              </w:rPr>
              <w:t>医技楼</w:t>
            </w:r>
          </w:p>
        </w:tc>
        <w:tc>
          <w:tcPr>
            <w:tcW w:w="6730" w:type="dxa"/>
            <w:gridSpan w:val="2"/>
            <w:vAlign w:val="center"/>
          </w:tcPr>
          <w:p>
            <w:pPr>
              <w:pStyle w:val="47"/>
              <w:jc w:val="both"/>
            </w:pPr>
            <w:r>
              <w:t>位于住院楼南侧，</w:t>
            </w:r>
            <w:r>
              <w:rPr>
                <w:rFonts w:hint="eastAsia"/>
              </w:rPr>
              <w:t>4</w:t>
            </w:r>
            <w:r>
              <w:t>F</w:t>
            </w:r>
            <w:r>
              <w:rPr>
                <w:rFonts w:hint="eastAsia"/>
              </w:rPr>
              <w:t>，1</w:t>
            </w:r>
            <w:r>
              <w:t>F为急诊急救；</w:t>
            </w:r>
            <w:r>
              <w:rPr>
                <w:rFonts w:hint="eastAsia"/>
              </w:rPr>
              <w:t>2</w:t>
            </w:r>
            <w:r>
              <w:t>F为内镜中</w:t>
            </w:r>
            <w:r>
              <w:rPr>
                <w:rFonts w:hint="eastAsia"/>
              </w:rPr>
              <w:t>心</w:t>
            </w:r>
            <w:r>
              <w:t>；</w:t>
            </w:r>
            <w:r>
              <w:rPr>
                <w:rFonts w:hint="eastAsia"/>
              </w:rPr>
              <w:t>3</w:t>
            </w:r>
            <w:r>
              <w:t>F检验中心</w:t>
            </w:r>
            <w:r>
              <w:rPr>
                <w:rFonts w:hint="eastAsia"/>
              </w:rPr>
              <w:t>、</w:t>
            </w:r>
            <w:r>
              <w:t>中心供应；</w:t>
            </w:r>
            <w:r>
              <w:rPr>
                <w:rFonts w:hint="eastAsia"/>
              </w:rPr>
              <w:t>手术</w:t>
            </w:r>
            <w:r>
              <w:t>DSA；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pStyle w:val="43"/>
            </w:pPr>
            <w:r>
              <w:rPr>
                <w:rFonts w:hint="eastAsia"/>
              </w:rPr>
              <w:t>门诊</w:t>
            </w:r>
          </w:p>
        </w:tc>
        <w:tc>
          <w:tcPr>
            <w:tcW w:w="6730" w:type="dxa"/>
            <w:gridSpan w:val="2"/>
            <w:vAlign w:val="center"/>
          </w:tcPr>
          <w:p>
            <w:pPr>
              <w:pStyle w:val="47"/>
              <w:jc w:val="both"/>
              <w:rPr>
                <w:color w:val="FF0000"/>
              </w:rPr>
            </w:pPr>
            <w:r>
              <w:rPr>
                <w:rFonts w:hint="eastAsia"/>
              </w:rPr>
              <w:t>位于住院</w:t>
            </w:r>
            <w:r>
              <w:t>医技楼东侧，</w:t>
            </w:r>
            <w:r>
              <w:rPr>
                <w:rFonts w:hint="eastAsia"/>
              </w:rPr>
              <w:t>从南到</w:t>
            </w:r>
            <w:r>
              <w:t>北设置</w:t>
            </w:r>
            <w:r>
              <w:rPr>
                <w:rFonts w:hint="eastAsia"/>
              </w:rPr>
              <w:t>4</w:t>
            </w:r>
            <w:r>
              <w:t>F</w:t>
            </w:r>
            <w:r>
              <w:rPr>
                <w:rFonts w:hint="eastAsia"/>
              </w:rPr>
              <w:t>，1</w:t>
            </w:r>
            <w:r>
              <w:t>F为体检、影像科、挂号收费、儿科；</w:t>
            </w:r>
            <w:r>
              <w:rPr>
                <w:rFonts w:hint="eastAsia"/>
              </w:rPr>
              <w:t>2</w:t>
            </w:r>
            <w:r>
              <w:t>F为功能检查、内科、外科；</w:t>
            </w:r>
            <w:r>
              <w:rPr>
                <w:rFonts w:hint="eastAsia"/>
              </w:rPr>
              <w:t>3</w:t>
            </w:r>
            <w:r>
              <w:t>F设置待产分娩、妇产科、皮肤科；</w:t>
            </w:r>
            <w:r>
              <w:rPr>
                <w:rFonts w:hint="eastAsia"/>
              </w:rPr>
              <w:t>4</w:t>
            </w:r>
            <w:r>
              <w:t>F为ICU、五官科、名中医馆；</w:t>
            </w:r>
            <w:r>
              <w:rPr>
                <w:rFonts w:hint="eastAsia"/>
                <w:color w:val="FF0000"/>
              </w:rPr>
              <w:t>锅炉</w:t>
            </w:r>
            <w:r>
              <w:rPr>
                <w:color w:val="FF0000"/>
              </w:rPr>
              <w:t>房位于门诊地下一层东北侧。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pStyle w:val="43"/>
              <w:rPr>
                <w:highlight w:val="yellow"/>
              </w:rPr>
            </w:pPr>
            <w:r>
              <w:rPr>
                <w:rFonts w:hint="eastAsia"/>
              </w:rPr>
              <w:t>发热</w:t>
            </w:r>
            <w:r>
              <w:t>门诊</w:t>
            </w:r>
          </w:p>
        </w:tc>
        <w:tc>
          <w:tcPr>
            <w:tcW w:w="6730" w:type="dxa"/>
            <w:gridSpan w:val="2"/>
            <w:vAlign w:val="center"/>
          </w:tcPr>
          <w:p>
            <w:pPr>
              <w:pStyle w:val="43"/>
              <w:jc w:val="left"/>
            </w:pPr>
            <w:r>
              <w:rPr>
                <w:rFonts w:hint="eastAsia"/>
              </w:rPr>
              <w:t>建筑</w:t>
            </w:r>
            <w:r>
              <w:t>面积</w:t>
            </w:r>
            <w:r>
              <w:rPr>
                <w:rFonts w:hint="eastAsia"/>
              </w:rPr>
              <w:t>1500</w:t>
            </w:r>
            <w:r>
              <w:t>m</w:t>
            </w:r>
            <w:r>
              <w:rPr>
                <w:vertAlign w:val="superscript"/>
              </w:rPr>
              <w:t>2</w:t>
            </w:r>
            <w:r>
              <w:t>，</w:t>
            </w:r>
            <w:r>
              <w:rPr>
                <w:rFonts w:hint="eastAsia"/>
              </w:rPr>
              <w:t>地上2层</w:t>
            </w:r>
            <w:r>
              <w:t>建筑，</w:t>
            </w:r>
            <w:r>
              <w:rPr>
                <w:rFonts w:hint="eastAsia"/>
              </w:rPr>
              <w:t>框架</w:t>
            </w:r>
            <w:r>
              <w:t>结构，</w:t>
            </w:r>
            <w:r>
              <w:rPr>
                <w:rFonts w:hint="eastAsia"/>
              </w:rPr>
              <w:t>位于办公楼</w:t>
            </w:r>
            <w:r>
              <w:t>东北侧，</w:t>
            </w:r>
            <w:r>
              <w:rPr>
                <w:rFonts w:hint="eastAsia"/>
              </w:rPr>
              <w:t>1栋</w:t>
            </w:r>
            <w:r>
              <w:t xml:space="preserve">， </w:t>
            </w:r>
            <w:r>
              <w:rPr>
                <w:rFonts w:hint="eastAsia"/>
              </w:rPr>
              <w:t>一层为门诊、检查、挂号收费，二层为病房。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restart"/>
            <w:vAlign w:val="center"/>
          </w:tcPr>
          <w:p>
            <w:pPr>
              <w:jc w:val="center"/>
              <w:rPr>
                <w:szCs w:val="21"/>
              </w:rPr>
            </w:pPr>
            <w:r>
              <w:rPr>
                <w:szCs w:val="21"/>
              </w:rPr>
              <w:t>辅助工程</w:t>
            </w:r>
          </w:p>
        </w:tc>
        <w:tc>
          <w:tcPr>
            <w:tcW w:w="1414" w:type="dxa"/>
            <w:vAlign w:val="center"/>
          </w:tcPr>
          <w:p>
            <w:pPr>
              <w:pStyle w:val="43"/>
              <w:rPr>
                <w:highlight w:val="yellow"/>
              </w:rPr>
            </w:pPr>
            <w:r>
              <w:rPr>
                <w:rFonts w:hint="eastAsia"/>
              </w:rPr>
              <w:t>后勤</w:t>
            </w:r>
            <w:r>
              <w:t>楼</w:t>
            </w:r>
          </w:p>
        </w:tc>
        <w:tc>
          <w:tcPr>
            <w:tcW w:w="6730" w:type="dxa"/>
            <w:gridSpan w:val="2"/>
            <w:vAlign w:val="center"/>
          </w:tcPr>
          <w:p>
            <w:pPr>
              <w:pStyle w:val="43"/>
            </w:pPr>
            <w:r>
              <w:rPr>
                <w:rFonts w:hint="eastAsia"/>
              </w:rPr>
              <w:t>位于门</w:t>
            </w:r>
            <w:r>
              <w:t>诊楼东侧，</w:t>
            </w:r>
            <w:r>
              <w:rPr>
                <w:rFonts w:hint="eastAsia"/>
                <w:color w:val="FF0000"/>
              </w:rPr>
              <w:t>在</w:t>
            </w:r>
            <w:r>
              <w:rPr>
                <w:color w:val="FF0000"/>
              </w:rPr>
              <w:t>原有</w:t>
            </w:r>
            <w:r>
              <w:rPr>
                <w:rFonts w:hint="eastAsia"/>
                <w:color w:val="FF0000"/>
              </w:rPr>
              <w:t>仁济医院未</w:t>
            </w:r>
            <w:r>
              <w:rPr>
                <w:color w:val="FF0000"/>
              </w:rPr>
              <w:t>建设完成的</w:t>
            </w:r>
            <w:r>
              <w:rPr>
                <w:rFonts w:hint="eastAsia"/>
                <w:color w:val="FF0000"/>
              </w:rPr>
              <w:t>楼体</w:t>
            </w:r>
            <w:r>
              <w:rPr>
                <w:color w:val="FF0000"/>
              </w:rPr>
              <w:t>框架上</w:t>
            </w:r>
            <w:r>
              <w:rPr>
                <w:rFonts w:hint="eastAsia"/>
                <w:color w:val="FF0000"/>
              </w:rPr>
              <w:t>增加</w:t>
            </w:r>
            <w:r>
              <w:rPr>
                <w:color w:val="FF0000"/>
              </w:rPr>
              <w:t>一层，</w:t>
            </w:r>
            <w:r>
              <w:t>9F，</w:t>
            </w:r>
            <w:r>
              <w:rPr>
                <w:rFonts w:hint="eastAsia"/>
              </w:rPr>
              <w:t>地上建筑</w:t>
            </w:r>
            <w:r>
              <w:t>面积1170</w:t>
            </w:r>
            <w:r>
              <w:rPr>
                <w:rFonts w:hint="eastAsia"/>
              </w:rPr>
              <w:t>0</w:t>
            </w:r>
            <w:r>
              <w:t>m</w:t>
            </w:r>
            <w:r>
              <w:rPr>
                <w:vertAlign w:val="superscript"/>
              </w:rPr>
              <w:t>2</w:t>
            </w:r>
            <w:r>
              <w:t>，</w:t>
            </w:r>
            <w:r>
              <w:rPr>
                <w:rFonts w:hint="eastAsia"/>
              </w:rPr>
              <w:t>1</w:t>
            </w:r>
            <w:r>
              <w:t>F</w:t>
            </w:r>
            <w:r>
              <w:rPr>
                <w:rFonts w:hint="eastAsia"/>
              </w:rPr>
              <w:t>为</w:t>
            </w:r>
            <w:r>
              <w:t>营养厨房</w:t>
            </w:r>
            <w:r>
              <w:rPr>
                <w:rFonts w:hint="eastAsia"/>
              </w:rPr>
              <w:t>/患者</w:t>
            </w:r>
            <w:r>
              <w:t>餐厅，接待大厅；</w:t>
            </w:r>
            <w:r>
              <w:rPr>
                <w:rFonts w:hint="eastAsia"/>
              </w:rPr>
              <w:t>2</w:t>
            </w:r>
            <w:r>
              <w:t>F为职工餐厅</w:t>
            </w:r>
            <w:r>
              <w:rPr>
                <w:rFonts w:hint="eastAsia"/>
              </w:rPr>
              <w:t>、</w:t>
            </w:r>
            <w:r>
              <w:t>营养</w:t>
            </w:r>
            <w:r>
              <w:rPr>
                <w:rFonts w:hint="eastAsia"/>
              </w:rPr>
              <w:t>科</w:t>
            </w:r>
            <w:r>
              <w:t>；</w:t>
            </w:r>
            <w:r>
              <w:rPr>
                <w:rFonts w:hint="eastAsia"/>
              </w:rPr>
              <w:t>3</w:t>
            </w:r>
            <w:r>
              <w:t>F为静配中心</w:t>
            </w:r>
            <w:r>
              <w:rPr>
                <w:rFonts w:hint="eastAsia"/>
              </w:rPr>
              <w:t>；4</w:t>
            </w:r>
            <w:r>
              <w:t>F为康复中心；</w:t>
            </w:r>
            <w:r>
              <w:rPr>
                <w:rFonts w:hint="eastAsia"/>
              </w:rPr>
              <w:t>5~7</w:t>
            </w:r>
            <w:r>
              <w:t>F为康复护理单元；</w:t>
            </w:r>
            <w:r>
              <w:rPr>
                <w:rFonts w:hint="eastAsia"/>
              </w:rPr>
              <w:t>8</w:t>
            </w:r>
            <w:r>
              <w:t>F为信息中心；</w:t>
            </w:r>
            <w:r>
              <w:rPr>
                <w:rFonts w:hint="eastAsia"/>
              </w:rPr>
              <w:t>9</w:t>
            </w:r>
            <w:r>
              <w:t>F为科研；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pStyle w:val="43"/>
              <w:rPr>
                <w:highlight w:val="yellow"/>
              </w:rPr>
            </w:pPr>
            <w:r>
              <w:rPr>
                <w:rFonts w:hint="eastAsia"/>
              </w:rPr>
              <w:t>液氧站</w:t>
            </w:r>
          </w:p>
        </w:tc>
        <w:tc>
          <w:tcPr>
            <w:tcW w:w="6730" w:type="dxa"/>
            <w:gridSpan w:val="2"/>
            <w:vAlign w:val="center"/>
          </w:tcPr>
          <w:p>
            <w:pPr>
              <w:pStyle w:val="43"/>
            </w:pPr>
            <w:r>
              <w:rPr>
                <w:rFonts w:hint="eastAsia"/>
              </w:rPr>
              <w:t>医院西</w:t>
            </w:r>
            <w:r>
              <w:t>南侧</w:t>
            </w:r>
            <w:r>
              <w:rPr>
                <w:rFonts w:hint="eastAsia"/>
              </w:rPr>
              <w:t>设液氧站一座，建筑面积</w:t>
            </w:r>
            <w:r>
              <w:t>75</w:t>
            </w:r>
            <w:r>
              <w:rPr>
                <w:rFonts w:hint="eastAsia"/>
              </w:rPr>
              <w:t>m</w:t>
            </w:r>
            <w:r>
              <w:rPr>
                <w:rFonts w:hint="eastAsia"/>
                <w:vertAlign w:val="superscript"/>
              </w:rPr>
              <w:t>2</w:t>
            </w:r>
            <w:r>
              <w:rPr>
                <w:rFonts w:hint="eastAsia"/>
              </w:rPr>
              <w:t>，液氧经气化器汽化后通过管道送至各用气点，供给楼内的病人使用。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jc w:val="center"/>
        </w:trPr>
        <w:tc>
          <w:tcPr>
            <w:tcW w:w="726" w:type="dxa"/>
            <w:vMerge w:val="continue"/>
            <w:vAlign w:val="center"/>
          </w:tcPr>
          <w:p>
            <w:pPr>
              <w:jc w:val="center"/>
              <w:rPr>
                <w:szCs w:val="21"/>
              </w:rPr>
            </w:pPr>
          </w:p>
        </w:tc>
        <w:tc>
          <w:tcPr>
            <w:tcW w:w="1414" w:type="dxa"/>
            <w:vAlign w:val="center"/>
          </w:tcPr>
          <w:p>
            <w:pPr>
              <w:pStyle w:val="43"/>
              <w:rPr>
                <w:highlight w:val="yellow"/>
              </w:rPr>
            </w:pPr>
            <w:r>
              <w:rPr>
                <w:rFonts w:hint="eastAsia"/>
              </w:rPr>
              <w:t>地上</w:t>
            </w:r>
            <w:r>
              <w:t>停车库</w:t>
            </w:r>
          </w:p>
        </w:tc>
        <w:tc>
          <w:tcPr>
            <w:tcW w:w="6730" w:type="dxa"/>
            <w:gridSpan w:val="2"/>
            <w:vAlign w:val="center"/>
          </w:tcPr>
          <w:p>
            <w:pPr>
              <w:pStyle w:val="43"/>
            </w:pPr>
            <w:r>
              <w:rPr>
                <w:rFonts w:hint="eastAsia"/>
              </w:rPr>
              <w:t>在院区后勤</w:t>
            </w:r>
            <w:r>
              <w:t>楼南北两</w:t>
            </w:r>
            <w:r>
              <w:rPr>
                <w:rFonts w:hint="eastAsia"/>
              </w:rPr>
              <w:t>侧建设地上停车场，停车位</w:t>
            </w:r>
            <w:r>
              <w:t>100</w:t>
            </w:r>
            <w:r>
              <w:rPr>
                <w:rFonts w:hint="eastAsia"/>
              </w:rPr>
              <w:t>辆机动车。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pStyle w:val="43"/>
              <w:rPr>
                <w:highlight w:val="yellow"/>
              </w:rPr>
            </w:pPr>
            <w:r>
              <w:rPr>
                <w:rFonts w:hint="eastAsia"/>
              </w:rPr>
              <w:t>地下</w:t>
            </w:r>
            <w:r>
              <w:t>建筑</w:t>
            </w:r>
          </w:p>
        </w:tc>
        <w:tc>
          <w:tcPr>
            <w:tcW w:w="6730" w:type="dxa"/>
            <w:gridSpan w:val="2"/>
            <w:vAlign w:val="center"/>
          </w:tcPr>
          <w:p>
            <w:pPr>
              <w:pStyle w:val="43"/>
            </w:pPr>
            <w:r>
              <w:rPr>
                <w:rFonts w:hint="eastAsia"/>
              </w:rPr>
              <w:t>地下建筑共建设6400 m</w:t>
            </w:r>
            <w:r>
              <w:rPr>
                <w:rFonts w:hint="eastAsia"/>
                <w:vertAlign w:val="superscript"/>
              </w:rPr>
              <w:t>2</w:t>
            </w:r>
            <w:r>
              <w:rPr>
                <w:rFonts w:hint="eastAsia"/>
              </w:rPr>
              <w:t>，地下一层，框架结构。主要为设备机房，药品库房、总务库房、病案库、人防等。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restart"/>
            <w:vAlign w:val="center"/>
          </w:tcPr>
          <w:p>
            <w:pPr>
              <w:jc w:val="center"/>
              <w:rPr>
                <w:szCs w:val="21"/>
              </w:rPr>
            </w:pPr>
            <w:r>
              <w:rPr>
                <w:szCs w:val="21"/>
              </w:rPr>
              <w:t>公用工程</w:t>
            </w:r>
          </w:p>
        </w:tc>
        <w:tc>
          <w:tcPr>
            <w:tcW w:w="1414" w:type="dxa"/>
            <w:vAlign w:val="center"/>
          </w:tcPr>
          <w:p>
            <w:pPr>
              <w:jc w:val="center"/>
              <w:rPr>
                <w:szCs w:val="21"/>
              </w:rPr>
            </w:pPr>
            <w:r>
              <w:rPr>
                <w:szCs w:val="21"/>
              </w:rPr>
              <w:t>供水工程</w:t>
            </w:r>
          </w:p>
        </w:tc>
        <w:tc>
          <w:tcPr>
            <w:tcW w:w="6730" w:type="dxa"/>
            <w:gridSpan w:val="2"/>
            <w:vAlign w:val="center"/>
          </w:tcPr>
          <w:p>
            <w:pPr>
              <w:jc w:val="center"/>
              <w:rPr>
                <w:szCs w:val="21"/>
              </w:rPr>
            </w:pPr>
            <w:r>
              <w:rPr>
                <w:rFonts w:hint="eastAsia"/>
                <w:szCs w:val="21"/>
              </w:rPr>
              <w:t>恒口</w:t>
            </w:r>
            <w:r>
              <w:rPr>
                <w:szCs w:val="21"/>
              </w:rPr>
              <w:t>示范区市政自来水管网供给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jc w:val="center"/>
              <w:rPr>
                <w:szCs w:val="21"/>
              </w:rPr>
            </w:pPr>
            <w:r>
              <w:rPr>
                <w:szCs w:val="21"/>
              </w:rPr>
              <w:t>排水工程</w:t>
            </w:r>
          </w:p>
        </w:tc>
        <w:tc>
          <w:tcPr>
            <w:tcW w:w="6730" w:type="dxa"/>
            <w:gridSpan w:val="2"/>
            <w:vAlign w:val="center"/>
          </w:tcPr>
          <w:p>
            <w:pPr>
              <w:jc w:val="center"/>
              <w:rPr>
                <w:szCs w:val="21"/>
              </w:rPr>
            </w:pPr>
            <w:r>
              <w:rPr>
                <w:szCs w:val="21"/>
              </w:rPr>
              <w:t>雨、污分流，医院废水经污水处理站处理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center"/>
              <w:rPr>
                <w:szCs w:val="21"/>
              </w:rPr>
            </w:pPr>
          </w:p>
        </w:tc>
        <w:tc>
          <w:tcPr>
            <w:tcW w:w="1414" w:type="dxa"/>
            <w:vAlign w:val="center"/>
          </w:tcPr>
          <w:p>
            <w:pPr>
              <w:jc w:val="center"/>
              <w:rPr>
                <w:szCs w:val="21"/>
              </w:rPr>
            </w:pPr>
            <w:r>
              <w:rPr>
                <w:szCs w:val="21"/>
              </w:rPr>
              <w:t>供电工程</w:t>
            </w:r>
          </w:p>
        </w:tc>
        <w:tc>
          <w:tcPr>
            <w:tcW w:w="6730" w:type="dxa"/>
            <w:gridSpan w:val="2"/>
            <w:vAlign w:val="center"/>
          </w:tcPr>
          <w:p>
            <w:pPr>
              <w:pStyle w:val="43"/>
            </w:pPr>
            <w:r>
              <w:t>由</w:t>
            </w:r>
            <w:r>
              <w:rPr>
                <w:rFonts w:hint="eastAsia"/>
              </w:rPr>
              <w:t>恒口示范区市政</w:t>
            </w:r>
            <w:r>
              <w:t>供电公司供给，两路10KV电缆引入医院配电室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tcBorders>
              <w:bottom w:val="single" w:color="auto" w:sz="4" w:space="0"/>
            </w:tcBorders>
            <w:vAlign w:val="center"/>
          </w:tcPr>
          <w:p>
            <w:pPr>
              <w:jc w:val="center"/>
              <w:rPr>
                <w:szCs w:val="21"/>
              </w:rPr>
            </w:pPr>
          </w:p>
        </w:tc>
        <w:tc>
          <w:tcPr>
            <w:tcW w:w="1414" w:type="dxa"/>
            <w:vAlign w:val="center"/>
          </w:tcPr>
          <w:p>
            <w:pPr>
              <w:jc w:val="center"/>
              <w:rPr>
                <w:szCs w:val="21"/>
              </w:rPr>
            </w:pPr>
            <w:r>
              <w:rPr>
                <w:szCs w:val="21"/>
              </w:rPr>
              <w:t>供暖</w:t>
            </w:r>
            <w:r>
              <w:rPr>
                <w:rFonts w:hint="eastAsia"/>
                <w:szCs w:val="21"/>
              </w:rPr>
              <w:t>及</w:t>
            </w:r>
            <w:r>
              <w:rPr>
                <w:szCs w:val="21"/>
              </w:rPr>
              <w:t>制冷</w:t>
            </w:r>
          </w:p>
        </w:tc>
        <w:tc>
          <w:tcPr>
            <w:tcW w:w="6730" w:type="dxa"/>
            <w:gridSpan w:val="2"/>
            <w:vAlign w:val="center"/>
          </w:tcPr>
          <w:p>
            <w:pPr>
              <w:pStyle w:val="43"/>
            </w:pPr>
            <w:r>
              <w:rPr>
                <w:color w:val="FF0000"/>
              </w:rPr>
              <w:t>冬季供暖由</w:t>
            </w:r>
            <w:r>
              <w:rPr>
                <w:rFonts w:hint="eastAsia"/>
                <w:color w:val="FF0000"/>
              </w:rPr>
              <w:t>采用</w:t>
            </w:r>
            <w:r>
              <w:rPr>
                <w:color w:val="FF0000"/>
              </w:rPr>
              <w:t>2</w:t>
            </w:r>
            <w:r>
              <w:rPr>
                <w:rFonts w:hint="eastAsia"/>
                <w:color w:val="FF0000"/>
              </w:rPr>
              <w:t>台</w:t>
            </w:r>
            <w:r>
              <w:rPr>
                <w:color w:val="FF0000"/>
              </w:rPr>
              <w:t>4t/h的燃气</w:t>
            </w:r>
            <w:r>
              <w:rPr>
                <w:rFonts w:hint="eastAsia"/>
                <w:color w:val="FF0000"/>
              </w:rPr>
              <w:t>热水</w:t>
            </w:r>
            <w:r>
              <w:rPr>
                <w:color w:val="FF0000"/>
              </w:rPr>
              <w:t>锅炉</w:t>
            </w:r>
            <w:r>
              <w:rPr>
                <w:rFonts w:hint="eastAsia"/>
                <w:color w:val="FF0000"/>
              </w:rPr>
              <w:t>为</w:t>
            </w:r>
            <w:r>
              <w:rPr>
                <w:color w:val="FF0000"/>
              </w:rPr>
              <w:t>医院提供冬季采暖</w:t>
            </w:r>
            <w:r>
              <w:rPr>
                <w:rFonts w:hint="eastAsia"/>
                <w:color w:val="FF0000"/>
              </w:rPr>
              <w:t>，1</w:t>
            </w:r>
            <w:r>
              <w:rPr>
                <w:color w:val="FF0000"/>
              </w:rPr>
              <w:t>台1.5</w:t>
            </w:r>
            <w:r>
              <w:rPr>
                <w:rFonts w:hint="eastAsia"/>
                <w:color w:val="FF0000"/>
              </w:rPr>
              <w:t>t/h燃气热水锅炉为医院</w:t>
            </w:r>
            <w:r>
              <w:rPr>
                <w:color w:val="FF0000"/>
              </w:rPr>
              <w:t>提供平时</w:t>
            </w:r>
            <w:r>
              <w:rPr>
                <w:rFonts w:hint="eastAsia"/>
                <w:color w:val="FF0000"/>
              </w:rPr>
              <w:t>的生活</w:t>
            </w:r>
            <w:r>
              <w:rPr>
                <w:color w:val="FF0000"/>
              </w:rPr>
              <w:t>热水</w:t>
            </w:r>
            <w:r>
              <w:rPr>
                <w:rFonts w:hint="eastAsia"/>
                <w:color w:val="FF0000"/>
              </w:rPr>
              <w:t>。</w:t>
            </w:r>
            <w:r>
              <w:rPr>
                <w:color w:val="FF0000"/>
              </w:rPr>
              <w:t>夏季</w:t>
            </w:r>
            <w:r>
              <w:rPr>
                <w:rFonts w:hint="eastAsia"/>
                <w:color w:val="FF0000"/>
              </w:rPr>
              <w:t>制冷</w:t>
            </w:r>
            <w:r>
              <w:rPr>
                <w:color w:val="FF0000"/>
              </w:rPr>
              <w:t>采用分体式空调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restart"/>
            <w:tcBorders>
              <w:top w:val="single" w:color="auto" w:sz="4" w:space="0"/>
            </w:tcBorders>
            <w:vAlign w:val="center"/>
          </w:tcPr>
          <w:p>
            <w:pPr>
              <w:jc w:val="left"/>
              <w:rPr>
                <w:szCs w:val="20"/>
              </w:rPr>
            </w:pPr>
            <w:r>
              <w:rPr>
                <w:szCs w:val="20"/>
              </w:rPr>
              <w:t>环保工程</w:t>
            </w:r>
          </w:p>
        </w:tc>
        <w:tc>
          <w:tcPr>
            <w:tcW w:w="1414" w:type="dxa"/>
            <w:vAlign w:val="center"/>
          </w:tcPr>
          <w:p>
            <w:pPr>
              <w:jc w:val="center"/>
              <w:rPr>
                <w:szCs w:val="21"/>
              </w:rPr>
            </w:pPr>
            <w:r>
              <w:rPr>
                <w:szCs w:val="21"/>
              </w:rPr>
              <w:t>废水治理</w:t>
            </w:r>
          </w:p>
        </w:tc>
        <w:tc>
          <w:tcPr>
            <w:tcW w:w="6730" w:type="dxa"/>
            <w:gridSpan w:val="2"/>
            <w:vAlign w:val="center"/>
          </w:tcPr>
          <w:p>
            <w:pPr>
              <w:pStyle w:val="47"/>
              <w:jc w:val="both"/>
            </w:pPr>
            <w:r>
              <w:rPr>
                <w:rFonts w:hint="eastAsia"/>
              </w:rPr>
              <w:t>食堂</w:t>
            </w:r>
            <w:r>
              <w:t>废水经</w:t>
            </w:r>
            <w:r>
              <w:rPr>
                <w:rFonts w:hint="eastAsia"/>
              </w:rPr>
              <w:t>隔油池</w:t>
            </w:r>
            <w:r>
              <w:t>处理后，</w:t>
            </w:r>
            <w:r>
              <w:rPr>
                <w:rFonts w:hint="eastAsia"/>
              </w:rPr>
              <w:t>与其余</w:t>
            </w:r>
            <w:r>
              <w:t>医疗污水</w:t>
            </w:r>
            <w:r>
              <w:rPr>
                <w:rFonts w:hint="eastAsia"/>
              </w:rPr>
              <w:t>混合</w:t>
            </w:r>
            <w:r>
              <w:t>进入化粪池，经化粪池处理后，进入污水处理站处理达标，经市政管网排入</w:t>
            </w:r>
            <w:r>
              <w:rPr>
                <w:rFonts w:hint="eastAsia"/>
              </w:rPr>
              <w:t>安康市恒口示范区污水</w:t>
            </w:r>
            <w:r>
              <w:t>处理厂处理</w:t>
            </w:r>
            <w:r>
              <w:rPr>
                <w:rFonts w:hint="eastAsia"/>
              </w:rPr>
              <w:t>，</w:t>
            </w:r>
            <w:r>
              <w:t>污水处理站位于</w:t>
            </w:r>
            <w:r>
              <w:rPr>
                <w:rFonts w:hint="eastAsia"/>
              </w:rPr>
              <w:t>院</w:t>
            </w:r>
            <w:r>
              <w:t>内东北侧，</w:t>
            </w:r>
            <w:r>
              <w:rPr>
                <w:rFonts w:hint="eastAsia"/>
              </w:rPr>
              <w:t>地埋式</w:t>
            </w:r>
            <w:r>
              <w:t>设计</w:t>
            </w:r>
            <w:r>
              <w:rPr>
                <w:rFonts w:hint="eastAsia"/>
              </w:rPr>
              <w:t>，</w:t>
            </w:r>
            <w:r>
              <w:t>污水处理工艺采用</w:t>
            </w:r>
            <w:r>
              <w:rPr>
                <w:rFonts w:hint="eastAsia"/>
              </w:rPr>
              <w:t>预处理＋混凝</w:t>
            </w:r>
            <w:r>
              <w:t>沉淀</w:t>
            </w:r>
            <w:r>
              <w:rPr>
                <w:rFonts w:hint="eastAsia"/>
              </w:rPr>
              <w:t>处理＋次氯</w:t>
            </w:r>
            <w:r>
              <w:t>酸钠</w:t>
            </w:r>
            <w:r>
              <w:rPr>
                <w:rFonts w:hint="eastAsia"/>
              </w:rPr>
              <w:t>消毒工艺，</w:t>
            </w:r>
            <w:r>
              <w:t>处理规模</w:t>
            </w:r>
            <w:r>
              <w:rPr>
                <w:rFonts w:hint="eastAsia"/>
              </w:rPr>
              <w:t>250</w:t>
            </w:r>
            <w:r>
              <w:t>m</w:t>
            </w:r>
            <w:r>
              <w:rPr>
                <w:vertAlign w:val="superscript"/>
              </w:rPr>
              <w:t>3</w:t>
            </w:r>
            <w: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废气治理</w:t>
            </w:r>
          </w:p>
        </w:tc>
        <w:tc>
          <w:tcPr>
            <w:tcW w:w="1983" w:type="dxa"/>
            <w:vAlign w:val="center"/>
          </w:tcPr>
          <w:p>
            <w:pPr>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天然气锅炉</w:t>
            </w:r>
          </w:p>
        </w:tc>
        <w:tc>
          <w:tcPr>
            <w:tcW w:w="4747" w:type="dxa"/>
            <w:vAlign w:val="center"/>
          </w:tcPr>
          <w:p>
            <w:pPr>
              <w:jc w:val="center"/>
              <w:rPr>
                <w:rFonts w:ascii="Times New Roman" w:hAnsi="Times New Roman" w:eastAsia="宋体" w:cs="Times New Roman"/>
                <w:szCs w:val="20"/>
                <w:highlight w:val="yellow"/>
              </w:rPr>
            </w:pPr>
            <w:r>
              <w:rPr>
                <w:rFonts w:hint="eastAsia" w:ascii="Times New Roman" w:hAnsi="Times New Roman" w:eastAsia="宋体" w:cs="Times New Roman"/>
                <w:szCs w:val="20"/>
              </w:rPr>
              <w:t>经锅</w:t>
            </w:r>
            <w:r>
              <w:rPr>
                <w:rFonts w:hint="eastAsia" w:ascii="Times New Roman" w:hAnsi="Times New Roman" w:eastAsia="宋体" w:cs="Times New Roman"/>
                <w:color w:val="FF0000"/>
                <w:szCs w:val="20"/>
              </w:rPr>
              <w:t>炉房</w:t>
            </w:r>
            <w:r>
              <w:rPr>
                <w:rFonts w:ascii="Times New Roman" w:hAnsi="Times New Roman" w:eastAsia="宋体" w:cs="Times New Roman"/>
                <w:color w:val="FF0000"/>
                <w:szCs w:val="20"/>
              </w:rPr>
              <w:t>引至</w:t>
            </w:r>
            <w:r>
              <w:rPr>
                <w:rFonts w:hint="eastAsia" w:ascii="Times New Roman" w:hAnsi="Times New Roman" w:eastAsia="宋体" w:cs="Times New Roman"/>
                <w:color w:val="FF0000"/>
                <w:szCs w:val="20"/>
              </w:rPr>
              <w:t>高于</w:t>
            </w:r>
            <w:r>
              <w:rPr>
                <w:rFonts w:ascii="Times New Roman" w:hAnsi="Times New Roman" w:eastAsia="宋体" w:cs="Times New Roman"/>
                <w:color w:val="FF0000"/>
                <w:szCs w:val="20"/>
              </w:rPr>
              <w:t>住院楼楼顶</w:t>
            </w:r>
            <w:r>
              <w:rPr>
                <w:rFonts w:hint="eastAsia" w:ascii="Times New Roman" w:hAnsi="Times New Roman" w:eastAsia="宋体" w:cs="Times New Roman"/>
                <w:color w:val="FF0000"/>
                <w:szCs w:val="20"/>
              </w:rPr>
              <w:t>3</w:t>
            </w:r>
            <w:r>
              <w:rPr>
                <w:rFonts w:ascii="Times New Roman" w:hAnsi="Times New Roman" w:eastAsia="宋体" w:cs="Times New Roman"/>
                <w:color w:val="FF0000"/>
                <w:szCs w:val="20"/>
              </w:rPr>
              <w:t>m</w:t>
            </w:r>
            <w:r>
              <w:rPr>
                <w:rFonts w:hint="eastAsia" w:ascii="Times New Roman" w:hAnsi="Times New Roman" w:eastAsia="宋体" w:cs="Times New Roman"/>
                <w:color w:val="FF0000"/>
                <w:szCs w:val="20"/>
              </w:rPr>
              <w:t>处</w:t>
            </w:r>
            <w:r>
              <w:rPr>
                <w:rFonts w:ascii="Times New Roman" w:hAnsi="Times New Roman" w:eastAsia="宋体" w:cs="Times New Roman"/>
                <w:color w:val="FF0000"/>
                <w:szCs w:val="20"/>
              </w:rPr>
              <w:t>排放，</w:t>
            </w:r>
            <w:r>
              <w:rPr>
                <w:rFonts w:hint="eastAsia" w:ascii="Times New Roman" w:hAnsi="Times New Roman" w:eastAsia="宋体" w:cs="Times New Roman"/>
                <w:color w:val="FF0000"/>
                <w:szCs w:val="20"/>
              </w:rPr>
              <w:t>排气筒</w:t>
            </w:r>
            <w:r>
              <w:rPr>
                <w:rFonts w:ascii="Times New Roman" w:hAnsi="Times New Roman" w:eastAsia="宋体" w:cs="Times New Roman"/>
                <w:color w:val="FF0000"/>
                <w:szCs w:val="20"/>
              </w:rPr>
              <w:t>高度</w:t>
            </w:r>
            <w:r>
              <w:rPr>
                <w:rFonts w:hint="eastAsia" w:ascii="Times New Roman" w:hAnsi="Times New Roman" w:eastAsia="宋体" w:cs="Times New Roman"/>
                <w:color w:val="FF0000"/>
                <w:szCs w:val="20"/>
              </w:rPr>
              <w:t>约</w:t>
            </w:r>
            <w:r>
              <w:rPr>
                <w:rFonts w:ascii="Times New Roman" w:hAnsi="Times New Roman" w:eastAsia="宋体" w:cs="Times New Roman"/>
                <w:color w:val="FF0000"/>
                <w:szCs w:val="20"/>
              </w:rPr>
              <w:t>60m</w:t>
            </w:r>
            <w:r>
              <w:rPr>
                <w:rFonts w:hint="eastAsia" w:ascii="Times New Roman" w:hAnsi="Times New Roman" w:eastAsia="宋体" w:cs="Times New Roman"/>
                <w:color w:val="FF0000"/>
                <w:szCs w:val="20"/>
              </w:rPr>
              <w:t>（P1-P</w:t>
            </w:r>
            <w:r>
              <w:rPr>
                <w:rFonts w:ascii="Times New Roman" w:hAnsi="Times New Roman" w:eastAsia="宋体" w:cs="Times New Roman"/>
                <w:color w:val="FF0000"/>
                <w:szCs w:val="20"/>
              </w:rPr>
              <w:t>3</w:t>
            </w:r>
            <w:r>
              <w:rPr>
                <w:rFonts w:hint="eastAsia" w:ascii="Times New Roman" w:hAnsi="Times New Roman" w:eastAsia="宋体" w:cs="Times New Roman"/>
                <w:color w:val="FF000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处理站恶臭</w:t>
            </w:r>
          </w:p>
        </w:tc>
        <w:tc>
          <w:tcPr>
            <w:tcW w:w="4747" w:type="dxa"/>
            <w:vAlign w:val="center"/>
          </w:tcPr>
          <w:p>
            <w:pPr>
              <w:jc w:val="center"/>
              <w:rPr>
                <w:rFonts w:ascii="Times New Roman" w:hAnsi="Times New Roman" w:eastAsia="宋体" w:cs="Times New Roman"/>
                <w:szCs w:val="20"/>
                <w:highlight w:val="yellow"/>
              </w:rPr>
            </w:pPr>
            <w:r>
              <w:rPr>
                <w:rFonts w:hint="eastAsia" w:ascii="Times New Roman" w:hAnsi="Times New Roman" w:eastAsia="宋体" w:cs="Times New Roman"/>
                <w:szCs w:val="20"/>
              </w:rPr>
              <w:t>采用地埋式，并加盖板密闭，定期喷洒生物除臭剂，加强污水处理站的运行操作管理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食堂油烟</w:t>
            </w:r>
          </w:p>
        </w:tc>
        <w:tc>
          <w:tcPr>
            <w:tcW w:w="4747" w:type="dxa"/>
            <w:vAlign w:val="center"/>
          </w:tcPr>
          <w:p>
            <w:pPr>
              <w:jc w:val="center"/>
              <w:rPr>
                <w:rFonts w:ascii="Times New Roman" w:hAnsi="Times New Roman" w:eastAsia="宋体" w:cs="Times New Roman"/>
                <w:szCs w:val="20"/>
                <w:highlight w:val="yellow"/>
              </w:rPr>
            </w:pPr>
            <w:r>
              <w:rPr>
                <w:rFonts w:hint="eastAsia" w:ascii="Times New Roman" w:hAnsi="Times New Roman" w:eastAsia="宋体" w:cs="Times New Roman"/>
                <w:szCs w:val="20"/>
              </w:rPr>
              <w:t>油烟</w:t>
            </w:r>
            <w:r>
              <w:rPr>
                <w:rFonts w:ascii="Times New Roman" w:hAnsi="Times New Roman" w:eastAsia="宋体" w:cs="Times New Roman"/>
                <w:szCs w:val="20"/>
              </w:rPr>
              <w:t>净化处理装置处理，净化效率75%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发电机废气</w:t>
            </w:r>
          </w:p>
        </w:tc>
        <w:tc>
          <w:tcPr>
            <w:tcW w:w="4747"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kern w:val="0"/>
                <w:szCs w:val="20"/>
              </w:rPr>
              <w:t>经专用管道</w:t>
            </w:r>
            <w:r>
              <w:rPr>
                <w:rFonts w:ascii="Times New Roman" w:hAnsi="Times New Roman" w:eastAsia="宋体" w:cs="Times New Roman"/>
                <w:kern w:val="0"/>
                <w:szCs w:val="20"/>
              </w:rPr>
              <w:t>引至楼顶排放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噪声治理</w:t>
            </w:r>
          </w:p>
        </w:tc>
        <w:tc>
          <w:tcPr>
            <w:tcW w:w="6730" w:type="dxa"/>
            <w:gridSpan w:val="2"/>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采取</w:t>
            </w:r>
            <w:r>
              <w:rPr>
                <w:rFonts w:hint="eastAsia" w:ascii="Times New Roman" w:hAnsi="Times New Roman" w:eastAsia="宋体" w:cs="Times New Roman"/>
                <w:kern w:val="0"/>
                <w:szCs w:val="20"/>
              </w:rPr>
              <w:t>消声</w:t>
            </w:r>
            <w:r>
              <w:rPr>
                <w:rFonts w:ascii="Times New Roman" w:hAnsi="Times New Roman" w:eastAsia="宋体" w:cs="Times New Roman"/>
                <w:kern w:val="0"/>
                <w:szCs w:val="20"/>
              </w:rPr>
              <w:t>、隔音、减振等综合措施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固废处置</w:t>
            </w: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生活垃圾</w:t>
            </w:r>
          </w:p>
        </w:tc>
        <w:tc>
          <w:tcPr>
            <w:tcW w:w="4747"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设垃圾桶若干，收集后送环卫部门指定点处理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医疗垃圾</w:t>
            </w:r>
          </w:p>
        </w:tc>
        <w:tc>
          <w:tcPr>
            <w:tcW w:w="4747" w:type="dxa"/>
            <w:vAlign w:val="center"/>
          </w:tcPr>
          <w:p>
            <w:pPr>
              <w:rPr>
                <w:rFonts w:ascii="Times New Roman" w:hAnsi="Times New Roman" w:eastAsia="宋体" w:cs="Times New Roman"/>
                <w:szCs w:val="20"/>
              </w:rPr>
            </w:pPr>
            <w:r>
              <w:rPr>
                <w:rFonts w:ascii="Times New Roman" w:hAnsi="Times New Roman" w:eastAsia="宋体" w:cs="Times New Roman"/>
                <w:szCs w:val="20"/>
              </w:rPr>
              <w:t>医疗垃圾集中收集后在医院暂存</w:t>
            </w:r>
            <w:r>
              <w:rPr>
                <w:rFonts w:hint="eastAsia" w:ascii="Times New Roman" w:hAnsi="Times New Roman" w:eastAsia="宋体" w:cs="Times New Roman"/>
                <w:szCs w:val="20"/>
              </w:rPr>
              <w:t>（医疗废物暂存间位于项目住院楼</w:t>
            </w:r>
            <w:r>
              <w:rPr>
                <w:rFonts w:ascii="Times New Roman" w:hAnsi="Times New Roman" w:eastAsia="宋体" w:cs="Times New Roman"/>
                <w:szCs w:val="20"/>
              </w:rPr>
              <w:t>医技楼负一层</w:t>
            </w:r>
            <w:r>
              <w:rPr>
                <w:rFonts w:hint="eastAsia" w:ascii="Times New Roman" w:hAnsi="Times New Roman" w:eastAsia="宋体" w:cs="Times New Roman"/>
                <w:szCs w:val="20"/>
              </w:rPr>
              <w:t>，总面积</w:t>
            </w:r>
            <w:r>
              <w:rPr>
                <w:rFonts w:ascii="Times New Roman" w:hAnsi="Times New Roman" w:eastAsia="宋体" w:cs="Times New Roman"/>
                <w:szCs w:val="20"/>
              </w:rPr>
              <w:t>40.66m</w:t>
            </w:r>
            <w:r>
              <w:rPr>
                <w:rFonts w:ascii="Times New Roman" w:hAnsi="Times New Roman" w:eastAsia="宋体" w:cs="Times New Roman"/>
                <w:szCs w:val="20"/>
                <w:vertAlign w:val="superscript"/>
              </w:rPr>
              <w:t>2</w:t>
            </w:r>
            <w:r>
              <w:rPr>
                <w:rFonts w:hint="eastAsia" w:ascii="Times New Roman" w:hAnsi="Times New Roman" w:eastAsia="宋体" w:cs="Times New Roman"/>
                <w:szCs w:val="20"/>
              </w:rPr>
              <w:t>）</w:t>
            </w:r>
            <w:r>
              <w:rPr>
                <w:rFonts w:ascii="Times New Roman" w:hAnsi="Times New Roman" w:eastAsia="宋体" w:cs="Times New Roman"/>
                <w:szCs w:val="20"/>
              </w:rPr>
              <w:t>，</w:t>
            </w:r>
            <w:r>
              <w:rPr>
                <w:rFonts w:hint="eastAsia" w:ascii="Times New Roman" w:hAnsi="Times New Roman" w:eastAsia="宋体" w:cs="Times New Roman"/>
                <w:szCs w:val="20"/>
              </w:rPr>
              <w:t>交由有资质单位</w:t>
            </w:r>
            <w:r>
              <w:rPr>
                <w:rFonts w:ascii="Times New Roman" w:hAnsi="Times New Roman" w:eastAsia="宋体" w:cs="Times New Roman"/>
                <w:szCs w:val="20"/>
              </w:rPr>
              <w:t>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污水处理站污泥</w:t>
            </w:r>
            <w:r>
              <w:rPr>
                <w:rFonts w:hint="eastAsia" w:ascii="Times New Roman" w:hAnsi="Times New Roman" w:eastAsia="宋体" w:cs="Times New Roman"/>
                <w:kern w:val="0"/>
                <w:szCs w:val="20"/>
              </w:rPr>
              <w:t>及</w:t>
            </w:r>
            <w:r>
              <w:rPr>
                <w:rFonts w:ascii="Times New Roman" w:hAnsi="Times New Roman" w:eastAsia="宋体" w:cs="Times New Roman"/>
                <w:kern w:val="0"/>
                <w:szCs w:val="20"/>
              </w:rPr>
              <w:t>栅渣</w:t>
            </w:r>
          </w:p>
        </w:tc>
        <w:tc>
          <w:tcPr>
            <w:tcW w:w="4747"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定期清理，</w:t>
            </w:r>
            <w:r>
              <w:rPr>
                <w:rFonts w:hint="eastAsia" w:ascii="Times New Roman" w:hAnsi="Times New Roman" w:eastAsia="宋体" w:cs="Times New Roman"/>
                <w:szCs w:val="20"/>
              </w:rPr>
              <w:t>消毒</w:t>
            </w:r>
            <w:r>
              <w:rPr>
                <w:rFonts w:ascii="Times New Roman" w:hAnsi="Times New Roman" w:eastAsia="宋体" w:cs="Times New Roman"/>
                <w:szCs w:val="20"/>
              </w:rPr>
              <w:t>处理后，</w:t>
            </w:r>
            <w:r>
              <w:rPr>
                <w:rFonts w:hint="eastAsia" w:ascii="Times New Roman" w:hAnsi="Times New Roman" w:eastAsia="宋体" w:cs="Times New Roman"/>
                <w:szCs w:val="20"/>
              </w:rPr>
              <w:t>交由有资质</w:t>
            </w:r>
            <w:r>
              <w:rPr>
                <w:rFonts w:ascii="Times New Roman" w:hAnsi="Times New Roman" w:eastAsia="宋体" w:cs="Times New Roman"/>
                <w:szCs w:val="20"/>
              </w:rPr>
              <w:t>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餐厨垃圾和废油脂</w:t>
            </w:r>
          </w:p>
        </w:tc>
        <w:tc>
          <w:tcPr>
            <w:tcW w:w="4747"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收集</w:t>
            </w:r>
            <w:r>
              <w:rPr>
                <w:rFonts w:ascii="Times New Roman" w:hAnsi="Times New Roman" w:eastAsia="宋体" w:cs="Times New Roman"/>
                <w:szCs w:val="20"/>
              </w:rPr>
              <w:t>后</w:t>
            </w:r>
            <w:r>
              <w:rPr>
                <w:rFonts w:hint="eastAsia" w:ascii="Times New Roman" w:hAnsi="Times New Roman" w:eastAsia="宋体" w:cs="Times New Roman"/>
                <w:szCs w:val="20"/>
              </w:rPr>
              <w:t>由专人</w:t>
            </w:r>
            <w:r>
              <w:rPr>
                <w:rFonts w:ascii="Times New Roman" w:hAnsi="Times New Roman" w:eastAsia="宋体" w:cs="Times New Roman"/>
                <w:szCs w:val="20"/>
              </w:rPr>
              <w:t>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restart"/>
            <w:vAlign w:val="center"/>
          </w:tcPr>
          <w:p>
            <w:pPr>
              <w:jc w:val="left"/>
              <w:rPr>
                <w:rFonts w:ascii="Times New Roman" w:hAnsi="Times New Roman" w:eastAsia="宋体" w:cs="Times New Roman"/>
                <w:szCs w:val="20"/>
              </w:rPr>
            </w:pPr>
            <w:r>
              <w:rPr>
                <w:rFonts w:hint="eastAsia" w:ascii="Times New Roman" w:hAnsi="Times New Roman" w:eastAsia="宋体" w:cs="Times New Roman"/>
                <w:szCs w:val="20"/>
              </w:rPr>
              <w:t>环保</w:t>
            </w:r>
            <w:r>
              <w:rPr>
                <w:rFonts w:ascii="Times New Roman" w:hAnsi="Times New Roman" w:eastAsia="宋体" w:cs="Times New Roman"/>
                <w:szCs w:val="20"/>
              </w:rPr>
              <w:t>工程</w:t>
            </w:r>
          </w:p>
        </w:tc>
        <w:tc>
          <w:tcPr>
            <w:tcW w:w="1414"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固废</w:t>
            </w:r>
            <w:r>
              <w:rPr>
                <w:rFonts w:ascii="Times New Roman" w:hAnsi="Times New Roman" w:eastAsia="宋体" w:cs="Times New Roman"/>
                <w:szCs w:val="20"/>
              </w:rPr>
              <w:t>处置</w:t>
            </w:r>
          </w:p>
        </w:tc>
        <w:tc>
          <w:tcPr>
            <w:tcW w:w="1983" w:type="dxa"/>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废包装材料</w:t>
            </w:r>
          </w:p>
        </w:tc>
        <w:tc>
          <w:tcPr>
            <w:tcW w:w="4747"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集中收集后由废旧资源回收部门回收利用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中药</w:t>
            </w:r>
            <w:r>
              <w:rPr>
                <w:rFonts w:ascii="Times New Roman" w:hAnsi="Times New Roman" w:eastAsia="宋体" w:cs="Times New Roman"/>
                <w:kern w:val="0"/>
                <w:szCs w:val="20"/>
              </w:rPr>
              <w:t>渣</w:t>
            </w:r>
          </w:p>
        </w:tc>
        <w:tc>
          <w:tcPr>
            <w:tcW w:w="4747"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分类</w:t>
            </w:r>
            <w:r>
              <w:rPr>
                <w:rFonts w:ascii="Times New Roman" w:hAnsi="Times New Roman" w:eastAsia="宋体" w:cs="Times New Roman"/>
                <w:szCs w:val="20"/>
              </w:rPr>
              <w:t>收集后交环卫部门处置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26" w:type="dxa"/>
            <w:vMerge w:val="continue"/>
            <w:vAlign w:val="center"/>
          </w:tcPr>
          <w:p>
            <w:pPr>
              <w:jc w:val="left"/>
              <w:rPr>
                <w:rFonts w:ascii="Times New Roman" w:hAnsi="Times New Roman" w:eastAsia="宋体" w:cs="Times New Roman"/>
                <w:szCs w:val="20"/>
              </w:rPr>
            </w:pPr>
          </w:p>
        </w:tc>
        <w:tc>
          <w:tcPr>
            <w:tcW w:w="1414" w:type="dxa"/>
            <w:vMerge w:val="continue"/>
            <w:vAlign w:val="center"/>
          </w:tcPr>
          <w:p>
            <w:pPr>
              <w:jc w:val="center"/>
              <w:rPr>
                <w:rFonts w:ascii="Times New Roman" w:hAnsi="Times New Roman" w:eastAsia="宋体" w:cs="Times New Roman"/>
                <w:szCs w:val="20"/>
              </w:rPr>
            </w:pPr>
          </w:p>
        </w:tc>
        <w:tc>
          <w:tcPr>
            <w:tcW w:w="1983" w:type="dxa"/>
            <w:vAlign w:val="center"/>
          </w:tcPr>
          <w:p>
            <w:pPr>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废离子</w:t>
            </w:r>
            <w:r>
              <w:rPr>
                <w:rFonts w:ascii="Times New Roman" w:hAnsi="Times New Roman" w:eastAsia="宋体" w:cs="Times New Roman"/>
                <w:kern w:val="0"/>
                <w:szCs w:val="20"/>
              </w:rPr>
              <w:t>交换树脂</w:t>
            </w:r>
          </w:p>
        </w:tc>
        <w:tc>
          <w:tcPr>
            <w:tcW w:w="4747"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厂界</w:t>
            </w:r>
            <w:r>
              <w:rPr>
                <w:rFonts w:ascii="Times New Roman" w:hAnsi="Times New Roman" w:eastAsia="宋体" w:cs="Times New Roman"/>
                <w:szCs w:val="20"/>
              </w:rPr>
              <w:t>定期更换并回收处理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870" w:type="dxa"/>
            <w:gridSpan w:val="4"/>
            <w:vAlign w:val="center"/>
          </w:tcPr>
          <w:p>
            <w:pPr>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注</w:t>
            </w:r>
            <w:r>
              <w:rPr>
                <w:rFonts w:ascii="Times New Roman" w:hAnsi="Times New Roman" w:eastAsia="宋体" w:cs="Times New Roman"/>
                <w:sz w:val="18"/>
                <w:szCs w:val="18"/>
              </w:rPr>
              <w:t>：</w:t>
            </w:r>
            <w:r>
              <w:rPr>
                <w:rFonts w:hint="eastAsia" w:ascii="Times New Roman" w:hAnsi="Times New Roman" w:eastAsia="宋体" w:cs="Times New Roman"/>
                <w:sz w:val="18"/>
                <w:szCs w:val="18"/>
              </w:rPr>
              <w:t>本项目不设置传染科，不设放化疗治疗科。本项目设置医学影像科，项目建成后将安装相关放射设备。根据《放射性同位素与射线装置安全许可管理办法》（国家环境保护总局第31号），该医院将对新建放射科的事项单独申报，委托有资质单位进行单独评价并报送环保部门审批，并按有关规定取得辐射安全许可。本次环评不包括医学影像科放射设备的相关内容。</w:t>
            </w:r>
          </w:p>
        </w:tc>
      </w:tr>
    </w:tbl>
    <w:p>
      <w:pPr>
        <w:rPr>
          <w:highlight w:val="yellow"/>
        </w:rPr>
      </w:pPr>
    </w:p>
    <w:p>
      <w:pPr>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表</w:t>
      </w:r>
      <w:r>
        <w:rPr>
          <w:rFonts w:ascii="Times New Roman" w:hAnsi="Times New Roman" w:eastAsia="宋体" w:cs="Times New Roman"/>
          <w:b/>
          <w:sz w:val="24"/>
          <w:szCs w:val="24"/>
        </w:rPr>
        <w:t>3.1-2</w:t>
      </w:r>
      <w:r>
        <w:rPr>
          <w:rFonts w:hint="eastAsia" w:ascii="Times New Roman" w:hAnsi="Times New Roman" w:eastAsia="宋体" w:cs="Times New Roman"/>
          <w:b/>
          <w:sz w:val="24"/>
          <w:szCs w:val="24"/>
        </w:rPr>
        <w:t xml:space="preserve"> 项目技术</w:t>
      </w:r>
      <w:r>
        <w:rPr>
          <w:rFonts w:ascii="Times New Roman" w:hAnsi="Times New Roman" w:eastAsia="宋体" w:cs="Times New Roman"/>
          <w:b/>
          <w:sz w:val="24"/>
          <w:szCs w:val="24"/>
        </w:rPr>
        <w:t>经济指标表</w:t>
      </w:r>
    </w:p>
    <w:tbl>
      <w:tblPr>
        <w:tblStyle w:val="25"/>
        <w:tblpPr w:leftFromText="180" w:rightFromText="180" w:vertAnchor="text" w:horzAnchor="margin" w:tblpY="60"/>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426"/>
        <w:gridCol w:w="688"/>
        <w:gridCol w:w="797"/>
        <w:gridCol w:w="1868"/>
        <w:gridCol w:w="1134"/>
        <w:gridCol w:w="1004"/>
        <w:gridCol w:w="22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序号</w:t>
            </w:r>
          </w:p>
        </w:tc>
        <w:tc>
          <w:tcPr>
            <w:tcW w:w="3779" w:type="dxa"/>
            <w:gridSpan w:val="4"/>
            <w:vAlign w:val="center"/>
          </w:tcPr>
          <w:p>
            <w:pPr>
              <w:jc w:val="center"/>
              <w:rPr>
                <w:rFonts w:ascii="Times New Roman" w:hAnsi="Times New Roman" w:eastAsia="宋体" w:cs="Times New Roman"/>
                <w:szCs w:val="20"/>
              </w:rPr>
            </w:pPr>
            <w:r>
              <w:rPr>
                <w:rFonts w:ascii="Times New Roman" w:hAnsi="Times New Roman" w:eastAsia="宋体" w:cs="Times New Roman"/>
                <w:szCs w:val="20"/>
              </w:rPr>
              <w:t>项  目</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单位</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数  量</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w:t>
            </w:r>
          </w:p>
        </w:tc>
        <w:tc>
          <w:tcPr>
            <w:tcW w:w="3779" w:type="dxa"/>
            <w:gridSpan w:val="4"/>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建设</w:t>
            </w:r>
            <w:r>
              <w:rPr>
                <w:rFonts w:ascii="Times New Roman" w:hAnsi="Times New Roman" w:eastAsia="宋体" w:cs="Times New Roman"/>
                <w:szCs w:val="20"/>
              </w:rPr>
              <w:t>用地面积</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highlight w:val="yellow"/>
              </w:rPr>
            </w:pPr>
            <w:r>
              <w:rPr>
                <w:rFonts w:ascii="Times New Roman" w:hAnsi="Times New Roman" w:eastAsia="宋体" w:cs="Times New Roman"/>
                <w:szCs w:val="20"/>
              </w:rPr>
              <w:t>46666.67</w:t>
            </w:r>
          </w:p>
        </w:tc>
        <w:tc>
          <w:tcPr>
            <w:tcW w:w="2210"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70</w:t>
            </w:r>
            <w:r>
              <w:rPr>
                <w:rFonts w:hint="eastAsia" w:ascii="Times New Roman" w:hAnsi="Times New Roman" w:eastAsia="宋体" w:cs="Times New Roman"/>
                <w:szCs w:val="20"/>
              </w:rPr>
              <w:t>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w:t>
            </w:r>
          </w:p>
        </w:tc>
        <w:tc>
          <w:tcPr>
            <w:tcW w:w="3779" w:type="dxa"/>
            <w:gridSpan w:val="4"/>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总建筑面积</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highlight w:val="yellow"/>
              </w:rPr>
            </w:pPr>
            <w:r>
              <w:rPr>
                <w:rFonts w:ascii="Times New Roman" w:hAnsi="Times New Roman" w:eastAsia="宋体" w:cs="Times New Roman"/>
                <w:szCs w:val="20"/>
              </w:rPr>
              <w:t>58300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2.1</w:t>
            </w:r>
          </w:p>
        </w:tc>
        <w:tc>
          <w:tcPr>
            <w:tcW w:w="426"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其中</w:t>
            </w:r>
          </w:p>
        </w:tc>
        <w:tc>
          <w:tcPr>
            <w:tcW w:w="3353" w:type="dxa"/>
            <w:gridSpan w:val="3"/>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地上</w:t>
            </w:r>
            <w:r>
              <w:rPr>
                <w:rFonts w:ascii="Times New Roman" w:hAnsi="Times New Roman" w:eastAsia="宋体" w:cs="Times New Roman"/>
                <w:szCs w:val="20"/>
              </w:rPr>
              <w:t>总建筑</w:t>
            </w:r>
            <w:r>
              <w:rPr>
                <w:rFonts w:hint="eastAsia" w:ascii="Times New Roman" w:hAnsi="Times New Roman" w:eastAsia="宋体" w:cs="Times New Roman"/>
                <w:szCs w:val="20"/>
              </w:rPr>
              <w:t>面积</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51900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2.1.1</w:t>
            </w:r>
          </w:p>
        </w:tc>
        <w:tc>
          <w:tcPr>
            <w:tcW w:w="426" w:type="dxa"/>
            <w:vMerge w:val="continue"/>
            <w:vAlign w:val="center"/>
          </w:tcPr>
          <w:p>
            <w:pPr>
              <w:jc w:val="center"/>
              <w:rPr>
                <w:rFonts w:ascii="Times New Roman" w:hAnsi="Times New Roman" w:eastAsia="宋体" w:cs="Times New Roman"/>
                <w:szCs w:val="20"/>
              </w:rPr>
            </w:pPr>
          </w:p>
        </w:tc>
        <w:tc>
          <w:tcPr>
            <w:tcW w:w="688"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其中</w:t>
            </w:r>
          </w:p>
        </w:tc>
        <w:tc>
          <w:tcPr>
            <w:tcW w:w="2665" w:type="dxa"/>
            <w:gridSpan w:val="2"/>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现状</w:t>
            </w:r>
            <w:r>
              <w:rPr>
                <w:rFonts w:ascii="Times New Roman" w:hAnsi="Times New Roman" w:eastAsia="宋体" w:cs="Times New Roman"/>
                <w:szCs w:val="20"/>
              </w:rPr>
              <w:t>地上建筑</w:t>
            </w:r>
          </w:p>
        </w:tc>
        <w:tc>
          <w:tcPr>
            <w:tcW w:w="11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m</w:t>
            </w:r>
            <w:r>
              <w:rPr>
                <w:rFonts w:hint="eastAsia"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highlight w:val="yellow"/>
              </w:rPr>
            </w:pPr>
            <w:r>
              <w:rPr>
                <w:rFonts w:hint="eastAsia" w:ascii="Times New Roman" w:hAnsi="Times New Roman" w:eastAsia="宋体" w:cs="Times New Roman"/>
                <w:szCs w:val="20"/>
              </w:rPr>
              <w:t>10400</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仅</w:t>
            </w:r>
            <w:r>
              <w:rPr>
                <w:rFonts w:ascii="Times New Roman" w:hAnsi="Times New Roman" w:eastAsia="宋体" w:cs="Times New Roman"/>
                <w:szCs w:val="20"/>
              </w:rPr>
              <w:t>地面</w:t>
            </w:r>
            <w:r>
              <w:rPr>
                <w:rFonts w:hint="eastAsia" w:ascii="Times New Roman" w:hAnsi="Times New Roman" w:eastAsia="宋体" w:cs="Times New Roman"/>
                <w:szCs w:val="20"/>
              </w:rPr>
              <w:t>面积（八层）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rPr>
            </w:pPr>
          </w:p>
        </w:tc>
        <w:tc>
          <w:tcPr>
            <w:tcW w:w="2665" w:type="dxa"/>
            <w:gridSpan w:val="2"/>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规划</w:t>
            </w:r>
            <w:r>
              <w:rPr>
                <w:rFonts w:ascii="Times New Roman" w:hAnsi="Times New Roman" w:eastAsia="宋体" w:cs="Times New Roman"/>
                <w:szCs w:val="20"/>
              </w:rPr>
              <w:t>地上建筑</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41500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highlight w:val="yellow"/>
              </w:rPr>
            </w:pPr>
          </w:p>
        </w:tc>
        <w:tc>
          <w:tcPr>
            <w:tcW w:w="797"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其中</w:t>
            </w:r>
          </w:p>
        </w:tc>
        <w:tc>
          <w:tcPr>
            <w:tcW w:w="1868"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医疗</w:t>
            </w:r>
            <w:r>
              <w:rPr>
                <w:rFonts w:ascii="Times New Roman" w:hAnsi="Times New Roman" w:eastAsia="宋体" w:cs="Times New Roman"/>
                <w:szCs w:val="20"/>
              </w:rPr>
              <w:t>综合楼</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38270</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13</w:t>
            </w:r>
            <w:r>
              <w:rPr>
                <w:rFonts w:ascii="Times New Roman" w:hAnsi="Times New Roman" w:eastAsia="宋体" w:cs="Times New Roman"/>
                <w:szCs w:val="20"/>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highlight w:val="yellow"/>
              </w:rPr>
            </w:pPr>
          </w:p>
        </w:tc>
        <w:tc>
          <w:tcPr>
            <w:tcW w:w="797" w:type="dxa"/>
            <w:vMerge w:val="continue"/>
            <w:vAlign w:val="center"/>
          </w:tcPr>
          <w:p>
            <w:pPr>
              <w:jc w:val="center"/>
              <w:rPr>
                <w:rFonts w:ascii="Times New Roman" w:hAnsi="Times New Roman" w:eastAsia="宋体" w:cs="Times New Roman"/>
                <w:szCs w:val="20"/>
              </w:rPr>
            </w:pPr>
          </w:p>
        </w:tc>
        <w:tc>
          <w:tcPr>
            <w:tcW w:w="1868"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后勤</w:t>
            </w:r>
            <w:r>
              <w:rPr>
                <w:rFonts w:ascii="Times New Roman" w:hAnsi="Times New Roman" w:eastAsia="宋体" w:cs="Times New Roman"/>
                <w:szCs w:val="20"/>
              </w:rPr>
              <w:t>办公楼</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1300</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9</w:t>
            </w:r>
            <w:r>
              <w:rPr>
                <w:rFonts w:ascii="Times New Roman" w:hAnsi="Times New Roman" w:eastAsia="宋体" w:cs="Times New Roman"/>
                <w:szCs w:val="20"/>
              </w:rPr>
              <w:t>F，</w:t>
            </w:r>
            <w:r>
              <w:rPr>
                <w:rFonts w:hint="eastAsia" w:ascii="Times New Roman" w:hAnsi="Times New Roman" w:eastAsia="宋体" w:cs="Times New Roman"/>
                <w:szCs w:val="20"/>
              </w:rPr>
              <w:t>仁济</w:t>
            </w:r>
            <w:r>
              <w:rPr>
                <w:rFonts w:ascii="Times New Roman" w:hAnsi="Times New Roman" w:eastAsia="宋体" w:cs="Times New Roman"/>
                <w:szCs w:val="20"/>
              </w:rPr>
              <w:t>楼</w:t>
            </w:r>
            <w:r>
              <w:rPr>
                <w:rFonts w:hint="eastAsia" w:ascii="Times New Roman" w:hAnsi="Times New Roman" w:eastAsia="宋体" w:cs="Times New Roman"/>
                <w:szCs w:val="20"/>
              </w:rPr>
              <w:t>增加</w:t>
            </w:r>
            <w:r>
              <w:rPr>
                <w:rFonts w:ascii="Times New Roman" w:hAnsi="Times New Roman" w:eastAsia="宋体" w:cs="Times New Roman"/>
                <w:szCs w:val="20"/>
              </w:rPr>
              <w:t>一层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highlight w:val="yellow"/>
              </w:rPr>
            </w:pPr>
          </w:p>
        </w:tc>
        <w:tc>
          <w:tcPr>
            <w:tcW w:w="797" w:type="dxa"/>
            <w:vMerge w:val="continue"/>
            <w:vAlign w:val="center"/>
          </w:tcPr>
          <w:p>
            <w:pPr>
              <w:jc w:val="center"/>
              <w:rPr>
                <w:rFonts w:ascii="Times New Roman" w:hAnsi="Times New Roman" w:eastAsia="宋体" w:cs="Times New Roman"/>
                <w:szCs w:val="20"/>
                <w:highlight w:val="yellow"/>
              </w:rPr>
            </w:pPr>
          </w:p>
        </w:tc>
        <w:tc>
          <w:tcPr>
            <w:tcW w:w="1868"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发热门诊</w:t>
            </w:r>
            <w:r>
              <w:rPr>
                <w:rFonts w:ascii="Times New Roman" w:hAnsi="Times New Roman" w:eastAsia="宋体" w:cs="Times New Roman"/>
                <w:szCs w:val="20"/>
              </w:rPr>
              <w:t>楼</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1500</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2</w:t>
            </w:r>
            <w:r>
              <w:rPr>
                <w:rFonts w:ascii="Times New Roman" w:hAnsi="Times New Roman" w:eastAsia="宋体" w:cs="Times New Roman"/>
                <w:szCs w:val="20"/>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highlight w:val="yellow"/>
              </w:rPr>
            </w:pPr>
          </w:p>
        </w:tc>
        <w:tc>
          <w:tcPr>
            <w:tcW w:w="797" w:type="dxa"/>
            <w:vMerge w:val="continue"/>
            <w:vAlign w:val="center"/>
          </w:tcPr>
          <w:p>
            <w:pPr>
              <w:jc w:val="center"/>
              <w:rPr>
                <w:rFonts w:ascii="Times New Roman" w:hAnsi="Times New Roman" w:eastAsia="宋体" w:cs="Times New Roman"/>
                <w:szCs w:val="20"/>
                <w:highlight w:val="yellow"/>
              </w:rPr>
            </w:pPr>
          </w:p>
        </w:tc>
        <w:tc>
          <w:tcPr>
            <w:tcW w:w="1868"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设备</w:t>
            </w:r>
            <w:r>
              <w:rPr>
                <w:rFonts w:ascii="Times New Roman" w:hAnsi="Times New Roman" w:eastAsia="宋体" w:cs="Times New Roman"/>
                <w:szCs w:val="20"/>
              </w:rPr>
              <w:t>房</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430</w:t>
            </w:r>
          </w:p>
        </w:tc>
        <w:tc>
          <w:tcPr>
            <w:tcW w:w="2210"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w:t>
            </w:r>
            <w:r>
              <w:rPr>
                <w:rFonts w:ascii="Times New Roman" w:hAnsi="Times New Roman" w:eastAsia="宋体" w:cs="Times New Roman"/>
                <w:szCs w:val="20"/>
              </w:rPr>
              <w:t>F</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2.2</w:t>
            </w:r>
          </w:p>
        </w:tc>
        <w:tc>
          <w:tcPr>
            <w:tcW w:w="426" w:type="dxa"/>
            <w:vMerge w:val="continue"/>
            <w:vAlign w:val="center"/>
          </w:tcPr>
          <w:p>
            <w:pPr>
              <w:jc w:val="center"/>
              <w:rPr>
                <w:rFonts w:ascii="Times New Roman" w:hAnsi="Times New Roman" w:eastAsia="宋体" w:cs="Times New Roman"/>
                <w:szCs w:val="20"/>
              </w:rPr>
            </w:pPr>
          </w:p>
        </w:tc>
        <w:tc>
          <w:tcPr>
            <w:tcW w:w="3353" w:type="dxa"/>
            <w:gridSpan w:val="3"/>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地下</w:t>
            </w:r>
            <w:r>
              <w:rPr>
                <w:rFonts w:ascii="Times New Roman" w:hAnsi="Times New Roman" w:eastAsia="宋体" w:cs="Times New Roman"/>
                <w:szCs w:val="20"/>
              </w:rPr>
              <w:t>总建筑面积</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6400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restart"/>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其中</w:t>
            </w:r>
          </w:p>
        </w:tc>
        <w:tc>
          <w:tcPr>
            <w:tcW w:w="2665" w:type="dxa"/>
            <w:gridSpan w:val="2"/>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现状</w:t>
            </w:r>
            <w:r>
              <w:rPr>
                <w:rFonts w:ascii="Times New Roman" w:hAnsi="Times New Roman" w:eastAsia="宋体" w:cs="Times New Roman"/>
                <w:szCs w:val="20"/>
              </w:rPr>
              <w:t>地下室</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m</w:t>
            </w:r>
            <w:r>
              <w:rPr>
                <w:rFonts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1600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Merge w:val="continue"/>
            <w:vAlign w:val="center"/>
          </w:tcPr>
          <w:p>
            <w:pPr>
              <w:jc w:val="center"/>
              <w:rPr>
                <w:rFonts w:ascii="Times New Roman" w:hAnsi="Times New Roman" w:eastAsia="宋体" w:cs="Times New Roman"/>
                <w:szCs w:val="20"/>
              </w:rPr>
            </w:pPr>
          </w:p>
        </w:tc>
        <w:tc>
          <w:tcPr>
            <w:tcW w:w="426" w:type="dxa"/>
            <w:vMerge w:val="continue"/>
            <w:vAlign w:val="center"/>
          </w:tcPr>
          <w:p>
            <w:pPr>
              <w:jc w:val="center"/>
              <w:rPr>
                <w:rFonts w:ascii="Times New Roman" w:hAnsi="Times New Roman" w:eastAsia="宋体" w:cs="Times New Roman"/>
                <w:szCs w:val="20"/>
              </w:rPr>
            </w:pPr>
          </w:p>
        </w:tc>
        <w:tc>
          <w:tcPr>
            <w:tcW w:w="688" w:type="dxa"/>
            <w:vMerge w:val="continue"/>
            <w:vAlign w:val="center"/>
          </w:tcPr>
          <w:p>
            <w:pPr>
              <w:jc w:val="center"/>
              <w:rPr>
                <w:rFonts w:ascii="Times New Roman" w:hAnsi="Times New Roman" w:eastAsia="宋体" w:cs="Times New Roman"/>
                <w:szCs w:val="20"/>
              </w:rPr>
            </w:pPr>
          </w:p>
        </w:tc>
        <w:tc>
          <w:tcPr>
            <w:tcW w:w="2665" w:type="dxa"/>
            <w:gridSpan w:val="2"/>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规划</w:t>
            </w:r>
            <w:r>
              <w:rPr>
                <w:rFonts w:ascii="Times New Roman" w:hAnsi="Times New Roman" w:eastAsia="宋体" w:cs="Times New Roman"/>
                <w:szCs w:val="20"/>
              </w:rPr>
              <w:t>地下</w:t>
            </w:r>
            <w:r>
              <w:rPr>
                <w:rFonts w:hint="eastAsia" w:ascii="Times New Roman" w:hAnsi="Times New Roman" w:eastAsia="宋体" w:cs="Times New Roman"/>
                <w:szCs w:val="20"/>
              </w:rPr>
              <w:t>建筑</w:t>
            </w:r>
          </w:p>
        </w:tc>
        <w:tc>
          <w:tcPr>
            <w:tcW w:w="11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m</w:t>
            </w:r>
            <w:r>
              <w:rPr>
                <w:rFonts w:hint="eastAsia" w:ascii="Times New Roman" w:hAnsi="Times New Roman" w:eastAsia="宋体" w:cs="Times New Roman"/>
                <w:szCs w:val="20"/>
                <w:vertAlign w:val="superscript"/>
              </w:rPr>
              <w:t>2</w:t>
            </w:r>
          </w:p>
        </w:tc>
        <w:tc>
          <w:tcPr>
            <w:tcW w:w="100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4800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3</w:t>
            </w:r>
          </w:p>
        </w:tc>
        <w:tc>
          <w:tcPr>
            <w:tcW w:w="3779" w:type="dxa"/>
            <w:gridSpan w:val="4"/>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建筑</w:t>
            </w:r>
            <w:r>
              <w:rPr>
                <w:rFonts w:ascii="Times New Roman" w:hAnsi="Times New Roman" w:eastAsia="宋体" w:cs="Times New Roman"/>
                <w:szCs w:val="20"/>
              </w:rPr>
              <w:t>密度</w:t>
            </w:r>
          </w:p>
        </w:tc>
        <w:tc>
          <w:tcPr>
            <w:tcW w:w="1134" w:type="dxa"/>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004" w:type="dxa"/>
            <w:vAlign w:val="center"/>
          </w:tcPr>
          <w:p>
            <w:pPr>
              <w:jc w:val="center"/>
              <w:rPr>
                <w:rFonts w:ascii="Times New Roman" w:hAnsi="Times New Roman" w:eastAsia="宋体" w:cs="Times New Roman"/>
                <w:szCs w:val="20"/>
                <w:highlight w:val="yellow"/>
              </w:rPr>
            </w:pPr>
            <w:r>
              <w:rPr>
                <w:rFonts w:ascii="Times New Roman" w:hAnsi="Times New Roman" w:eastAsia="宋体" w:cs="Times New Roman"/>
                <w:szCs w:val="20"/>
              </w:rPr>
              <w:t>20.41</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4</w:t>
            </w:r>
          </w:p>
        </w:tc>
        <w:tc>
          <w:tcPr>
            <w:tcW w:w="3779" w:type="dxa"/>
            <w:gridSpan w:val="4"/>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容积率</w:t>
            </w:r>
          </w:p>
        </w:tc>
        <w:tc>
          <w:tcPr>
            <w:tcW w:w="1134" w:type="dxa"/>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00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1.1</w:t>
            </w:r>
            <w:r>
              <w:rPr>
                <w:rFonts w:ascii="Times New Roman" w:hAnsi="Times New Roman" w:eastAsia="宋体" w:cs="Times New Roman"/>
                <w:szCs w:val="20"/>
              </w:rPr>
              <w:t>1</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5</w:t>
            </w:r>
          </w:p>
        </w:tc>
        <w:tc>
          <w:tcPr>
            <w:tcW w:w="3779" w:type="dxa"/>
            <w:gridSpan w:val="4"/>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绿化率</w:t>
            </w:r>
          </w:p>
        </w:tc>
        <w:tc>
          <w:tcPr>
            <w:tcW w:w="1134" w:type="dxa"/>
            <w:vAlign w:val="center"/>
          </w:tcPr>
          <w:p>
            <w:pPr>
              <w:jc w:val="center"/>
              <w:rPr>
                <w:rFonts w:ascii="Times New Roman" w:hAnsi="Times New Roman" w:eastAsia="宋体" w:cs="Times New Roman"/>
              </w:rPr>
            </w:pPr>
            <w:r>
              <w:rPr>
                <w:rFonts w:ascii="Times New Roman" w:hAnsi="Times New Roman" w:eastAsia="宋体" w:cs="Times New Roman"/>
              </w:rPr>
              <w:t>%</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34.70</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6</w:t>
            </w:r>
          </w:p>
        </w:tc>
        <w:tc>
          <w:tcPr>
            <w:tcW w:w="3779" w:type="dxa"/>
            <w:gridSpan w:val="4"/>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总床位数</w:t>
            </w:r>
          </w:p>
        </w:tc>
        <w:tc>
          <w:tcPr>
            <w:tcW w:w="1134" w:type="dxa"/>
            <w:vAlign w:val="center"/>
          </w:tcPr>
          <w:p>
            <w:pPr>
              <w:jc w:val="center"/>
              <w:rPr>
                <w:rFonts w:ascii="Times New Roman" w:hAnsi="Times New Roman" w:eastAsia="宋体" w:cs="Times New Roman"/>
              </w:rPr>
            </w:pPr>
            <w:r>
              <w:rPr>
                <w:rFonts w:ascii="Times New Roman" w:hAnsi="Times New Roman" w:eastAsia="宋体" w:cs="Times New Roman"/>
              </w:rPr>
              <w:t>床</w:t>
            </w:r>
          </w:p>
        </w:tc>
        <w:tc>
          <w:tcPr>
            <w:tcW w:w="1004" w:type="dxa"/>
            <w:vAlign w:val="center"/>
          </w:tcPr>
          <w:p>
            <w:pPr>
              <w:jc w:val="center"/>
              <w:rPr>
                <w:rFonts w:ascii="Times New Roman" w:hAnsi="Times New Roman" w:eastAsia="宋体" w:cs="Times New Roman"/>
                <w:szCs w:val="20"/>
                <w:highlight w:val="yellow"/>
              </w:rPr>
            </w:pPr>
            <w:r>
              <w:rPr>
                <w:rFonts w:ascii="Times New Roman" w:hAnsi="Times New Roman" w:eastAsia="宋体" w:cs="Times New Roman"/>
                <w:szCs w:val="20"/>
              </w:rPr>
              <w:t>500床</w:t>
            </w:r>
          </w:p>
        </w:tc>
        <w:tc>
          <w:tcPr>
            <w:tcW w:w="2210" w:type="dxa"/>
            <w:vAlign w:val="center"/>
          </w:tcPr>
          <w:p>
            <w:pPr>
              <w:jc w:val="center"/>
              <w:rPr>
                <w:rFonts w:ascii="Times New Roman" w:hAnsi="Times New Roman" w:eastAsia="宋体" w:cs="Times New Roman"/>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7</w:t>
            </w:r>
          </w:p>
        </w:tc>
        <w:tc>
          <w:tcPr>
            <w:tcW w:w="3779" w:type="dxa"/>
            <w:gridSpan w:val="4"/>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地上</w:t>
            </w:r>
            <w:r>
              <w:rPr>
                <w:rFonts w:ascii="Times New Roman" w:hAnsi="Times New Roman" w:eastAsia="宋体" w:cs="Times New Roman"/>
                <w:szCs w:val="20"/>
              </w:rPr>
              <w:t>停车位数</w:t>
            </w:r>
          </w:p>
        </w:tc>
        <w:tc>
          <w:tcPr>
            <w:tcW w:w="11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个</w:t>
            </w:r>
          </w:p>
        </w:tc>
        <w:tc>
          <w:tcPr>
            <w:tcW w:w="100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100</w:t>
            </w:r>
          </w:p>
        </w:tc>
        <w:tc>
          <w:tcPr>
            <w:tcW w:w="2210" w:type="dxa"/>
            <w:vAlign w:val="center"/>
          </w:tcPr>
          <w:p>
            <w:pPr>
              <w:jc w:val="center"/>
              <w:rPr>
                <w:rFonts w:ascii="Times New Roman" w:hAnsi="Times New Roman" w:eastAsia="宋体" w:cs="Times New Roman"/>
                <w:szCs w:val="20"/>
              </w:rPr>
            </w:pPr>
          </w:p>
        </w:tc>
      </w:tr>
    </w:tbl>
    <w:p>
      <w:pPr>
        <w:pStyle w:val="4"/>
      </w:pPr>
      <w:r>
        <w:rPr>
          <w:rFonts w:hint="eastAsia"/>
        </w:rPr>
        <w:t>主要</w:t>
      </w:r>
      <w:r>
        <w:t>设备</w:t>
      </w:r>
    </w:p>
    <w:p>
      <w:pPr>
        <w:pStyle w:val="40"/>
        <w:ind w:firstLine="480"/>
      </w:pPr>
      <w:r>
        <w:t>项目</w:t>
      </w:r>
      <w:r>
        <w:rPr>
          <w:rFonts w:hint="eastAsia"/>
        </w:rPr>
        <w:t>主要医疗</w:t>
      </w:r>
      <w:r>
        <w:t>设备见表</w:t>
      </w:r>
      <w:r>
        <w:rPr>
          <w:rFonts w:hint="eastAsia"/>
        </w:rPr>
        <w:t>3.</w:t>
      </w:r>
      <w:r>
        <w:t>1</w:t>
      </w:r>
      <w:r>
        <w:rPr>
          <w:rFonts w:hint="eastAsia"/>
        </w:rPr>
        <w:t>-</w:t>
      </w:r>
      <w:r>
        <w:t>3</w:t>
      </w:r>
      <w:r>
        <w:rPr>
          <w:rFonts w:hint="eastAsia"/>
        </w:rPr>
        <w:t>。</w:t>
      </w:r>
    </w:p>
    <w:p>
      <w:pPr>
        <w:pStyle w:val="22"/>
      </w:pPr>
      <w:r>
        <w:t>表</w:t>
      </w:r>
      <w:r>
        <w:fldChar w:fldCharType="begin"/>
      </w:r>
      <w:r>
        <w:instrText xml:space="preserve"> STYLEREF 2 \s </w:instrText>
      </w:r>
      <w:r>
        <w:fldChar w:fldCharType="separate"/>
      </w:r>
      <w:r>
        <w:t>3.1</w:t>
      </w:r>
      <w:r>
        <w:fldChar w:fldCharType="end"/>
      </w:r>
      <w:r>
        <w:noBreakHyphen/>
      </w:r>
      <w:r>
        <w:t>3  项目主要设备一览表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3789"/>
        <w:gridCol w:w="2068"/>
        <w:gridCol w:w="1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blHeader/>
          <w:jc w:val="center"/>
        </w:trPr>
        <w:tc>
          <w:tcPr>
            <w:tcW w:w="1473" w:type="dxa"/>
            <w:vAlign w:val="center"/>
          </w:tcPr>
          <w:p>
            <w:pPr>
              <w:tabs>
                <w:tab w:val="left" w:pos="2340"/>
              </w:tabs>
              <w:snapToGrid w:val="0"/>
              <w:jc w:val="center"/>
              <w:rPr>
                <w:rFonts w:ascii="Times New Roman" w:hAnsi="宋体" w:eastAsia="宋体" w:cs="Times New Roman"/>
                <w:kern w:val="0"/>
                <w:szCs w:val="20"/>
              </w:rPr>
            </w:pPr>
            <w:r>
              <w:rPr>
                <w:rFonts w:hint="eastAsia" w:ascii="Times New Roman" w:hAnsi="宋体" w:eastAsia="宋体" w:cs="Times New Roman"/>
                <w:kern w:val="0"/>
                <w:szCs w:val="20"/>
              </w:rPr>
              <w:t>序号</w:t>
            </w:r>
          </w:p>
        </w:tc>
        <w:tc>
          <w:tcPr>
            <w:tcW w:w="3789" w:type="dxa"/>
            <w:vAlign w:val="center"/>
          </w:tcPr>
          <w:p>
            <w:pPr>
              <w:tabs>
                <w:tab w:val="left" w:pos="2340"/>
              </w:tabs>
              <w:snapToGrid w:val="0"/>
              <w:jc w:val="center"/>
              <w:rPr>
                <w:rFonts w:ascii="Times New Roman" w:hAnsi="宋体" w:eastAsia="宋体" w:cs="Times New Roman"/>
                <w:kern w:val="0"/>
                <w:szCs w:val="20"/>
              </w:rPr>
            </w:pPr>
            <w:r>
              <w:rPr>
                <w:rFonts w:hint="eastAsia" w:ascii="Times New Roman" w:hAnsi="宋体" w:eastAsia="宋体" w:cs="Times New Roman"/>
                <w:kern w:val="0"/>
                <w:szCs w:val="20"/>
              </w:rPr>
              <w:t>名</w:t>
            </w:r>
            <w:r>
              <w:rPr>
                <w:rFonts w:ascii="Times New Roman" w:hAnsi="宋体" w:eastAsia="宋体" w:cs="Times New Roman"/>
                <w:kern w:val="0"/>
                <w:szCs w:val="20"/>
              </w:rPr>
              <w:t xml:space="preserve">   </w:t>
            </w:r>
            <w:r>
              <w:rPr>
                <w:rFonts w:hint="eastAsia" w:ascii="Times New Roman" w:hAnsi="宋体" w:eastAsia="宋体" w:cs="Times New Roman"/>
                <w:kern w:val="0"/>
                <w:szCs w:val="20"/>
              </w:rPr>
              <w:t>称</w:t>
            </w:r>
          </w:p>
        </w:tc>
        <w:tc>
          <w:tcPr>
            <w:tcW w:w="2068" w:type="dxa"/>
            <w:vAlign w:val="center"/>
          </w:tcPr>
          <w:p>
            <w:pPr>
              <w:tabs>
                <w:tab w:val="left" w:pos="2340"/>
              </w:tabs>
              <w:snapToGrid w:val="0"/>
              <w:jc w:val="center"/>
              <w:rPr>
                <w:rFonts w:ascii="Times New Roman" w:hAnsi="宋体" w:eastAsia="宋体" w:cs="Times New Roman"/>
                <w:kern w:val="0"/>
                <w:szCs w:val="20"/>
              </w:rPr>
            </w:pPr>
            <w:r>
              <w:rPr>
                <w:rFonts w:hint="eastAsia" w:ascii="Times New Roman" w:hAnsi="宋体" w:eastAsia="宋体" w:cs="Times New Roman"/>
                <w:kern w:val="0"/>
                <w:szCs w:val="20"/>
              </w:rPr>
              <w:t>数量（台/套）</w:t>
            </w:r>
          </w:p>
        </w:tc>
        <w:tc>
          <w:tcPr>
            <w:tcW w:w="1540" w:type="dxa"/>
            <w:vAlign w:val="center"/>
          </w:tcPr>
          <w:p>
            <w:pPr>
              <w:tabs>
                <w:tab w:val="left" w:pos="2340"/>
              </w:tabs>
              <w:snapToGrid w:val="0"/>
              <w:jc w:val="center"/>
              <w:rPr>
                <w:rFonts w:ascii="Times New Roman" w:hAnsi="宋体" w:eastAsia="宋体" w:cs="Times New Roman"/>
                <w:kern w:val="0"/>
                <w:szCs w:val="20"/>
              </w:rPr>
            </w:pPr>
            <w:r>
              <w:rPr>
                <w:rFonts w:hint="eastAsia" w:ascii="Times New Roman" w:hAnsi="宋体" w:eastAsia="宋体" w:cs="Times New Roman"/>
                <w:kern w:val="0"/>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D</w:t>
            </w:r>
            <w:r>
              <w:t>R</w:t>
            </w:r>
          </w:p>
        </w:tc>
        <w:tc>
          <w:tcPr>
            <w:tcW w:w="2068" w:type="dxa"/>
            <w:vAlign w:val="center"/>
          </w:tcPr>
          <w:p>
            <w:pPr>
              <w:pStyle w:val="43"/>
            </w:pPr>
            <w:r>
              <w:t>3</w:t>
            </w:r>
            <w:r>
              <w:rPr>
                <w:rFonts w:hint="eastAsia"/>
              </w:rPr>
              <w:t>台</w:t>
            </w:r>
          </w:p>
        </w:tc>
        <w:tc>
          <w:tcPr>
            <w:tcW w:w="1540" w:type="dxa"/>
            <w:vAlign w:val="center"/>
          </w:tcPr>
          <w:p>
            <w:pPr>
              <w:pStyle w:val="78"/>
            </w:pPr>
            <w:r>
              <w:rPr>
                <w:rFonts w:hint="eastAsia"/>
              </w:rPr>
              <w:t>放射科/体检科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C</w:t>
            </w:r>
            <w:r>
              <w:t>T</w:t>
            </w:r>
          </w:p>
        </w:tc>
        <w:tc>
          <w:tcPr>
            <w:tcW w:w="2068" w:type="dxa"/>
            <w:vAlign w:val="center"/>
          </w:tcPr>
          <w:p>
            <w:pPr>
              <w:pStyle w:val="43"/>
            </w:pPr>
            <w:r>
              <w:rPr>
                <w:rFonts w:hint="eastAsia"/>
              </w:rPr>
              <w:t>1台</w:t>
            </w:r>
          </w:p>
        </w:tc>
        <w:tc>
          <w:tcPr>
            <w:tcW w:w="1540" w:type="dxa"/>
            <w:vAlign w:val="center"/>
          </w:tcPr>
          <w:p>
            <w:pPr>
              <w:pStyle w:val="78"/>
            </w:pPr>
            <w:r>
              <w:rPr>
                <w:rFonts w:hint="eastAsia"/>
              </w:rPr>
              <w:t>放射科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骨密度</w:t>
            </w:r>
          </w:p>
        </w:tc>
        <w:tc>
          <w:tcPr>
            <w:tcW w:w="2068" w:type="dxa"/>
            <w:vAlign w:val="center"/>
          </w:tcPr>
          <w:p>
            <w:pPr>
              <w:pStyle w:val="43"/>
            </w:pPr>
            <w:r>
              <w:rPr>
                <w:rFonts w:hint="eastAsia"/>
              </w:rPr>
              <w:t>1台</w:t>
            </w:r>
          </w:p>
        </w:tc>
        <w:tc>
          <w:tcPr>
            <w:tcW w:w="1540" w:type="dxa"/>
            <w:vAlign w:val="center"/>
          </w:tcPr>
          <w:p>
            <w:pPr>
              <w:pStyle w:val="78"/>
            </w:pPr>
            <w:r>
              <w:rPr>
                <w:rFonts w:hint="eastAsia"/>
              </w:rPr>
              <w:t>放射科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乳腺钼靶</w:t>
            </w:r>
          </w:p>
        </w:tc>
        <w:tc>
          <w:tcPr>
            <w:tcW w:w="2068" w:type="dxa"/>
            <w:vAlign w:val="center"/>
          </w:tcPr>
          <w:p>
            <w:pPr>
              <w:pStyle w:val="43"/>
            </w:pPr>
            <w:r>
              <w:rPr>
                <w:rFonts w:hint="eastAsia"/>
              </w:rPr>
              <w:t>1台</w:t>
            </w:r>
          </w:p>
        </w:tc>
        <w:tc>
          <w:tcPr>
            <w:tcW w:w="1540" w:type="dxa"/>
            <w:vAlign w:val="center"/>
          </w:tcPr>
          <w:p>
            <w:pPr>
              <w:pStyle w:val="78"/>
            </w:pPr>
            <w:r>
              <w:rPr>
                <w:rFonts w:hint="eastAsia"/>
              </w:rPr>
              <w:t>放射科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胃肠机</w:t>
            </w:r>
          </w:p>
        </w:tc>
        <w:tc>
          <w:tcPr>
            <w:tcW w:w="2068" w:type="dxa"/>
            <w:vAlign w:val="center"/>
          </w:tcPr>
          <w:p>
            <w:pPr>
              <w:pStyle w:val="43"/>
            </w:pPr>
            <w:r>
              <w:rPr>
                <w:rFonts w:hint="eastAsia"/>
              </w:rPr>
              <w:t>1台</w:t>
            </w:r>
          </w:p>
        </w:tc>
        <w:tc>
          <w:tcPr>
            <w:tcW w:w="1540" w:type="dxa"/>
            <w:vAlign w:val="center"/>
          </w:tcPr>
          <w:p>
            <w:pPr>
              <w:pStyle w:val="78"/>
            </w:pPr>
            <w:r>
              <w:rPr>
                <w:rFonts w:hint="eastAsia"/>
              </w:rPr>
              <w:t>放射科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rPr>
              <w:t>M</w:t>
            </w:r>
            <w:r>
              <w:t>RI</w:t>
            </w:r>
          </w:p>
        </w:tc>
        <w:tc>
          <w:tcPr>
            <w:tcW w:w="2068" w:type="dxa"/>
            <w:vAlign w:val="center"/>
          </w:tcPr>
          <w:p>
            <w:pPr>
              <w:pStyle w:val="43"/>
            </w:pPr>
            <w:r>
              <w:rPr>
                <w:rFonts w:hint="eastAsia"/>
              </w:rPr>
              <w:t>1台</w:t>
            </w:r>
          </w:p>
        </w:tc>
        <w:tc>
          <w:tcPr>
            <w:tcW w:w="1540" w:type="dxa"/>
            <w:vAlign w:val="center"/>
          </w:tcPr>
          <w:p>
            <w:pPr>
              <w:pStyle w:val="78"/>
            </w:pPr>
            <w:r>
              <w:rPr>
                <w:rFonts w:hint="eastAsia"/>
              </w:rPr>
              <w:t>放射科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73" w:type="dxa"/>
            <w:vAlign w:val="center"/>
          </w:tcPr>
          <w:p>
            <w:pPr>
              <w:pStyle w:val="34"/>
              <w:numPr>
                <w:ilvl w:val="0"/>
                <w:numId w:val="7"/>
              </w:numPr>
              <w:tabs>
                <w:tab w:val="left" w:pos="2340"/>
              </w:tabs>
              <w:snapToGrid w:val="0"/>
              <w:ind w:firstLineChars="0"/>
              <w:jc w:val="center"/>
              <w:rPr>
                <w:rFonts w:ascii="Times New Roman" w:hAnsi="宋体" w:eastAsia="宋体" w:cs="Times New Roman"/>
                <w:kern w:val="0"/>
                <w:szCs w:val="20"/>
              </w:rPr>
            </w:pPr>
          </w:p>
        </w:tc>
        <w:tc>
          <w:tcPr>
            <w:tcW w:w="3789" w:type="dxa"/>
            <w:vAlign w:val="center"/>
          </w:tcPr>
          <w:p>
            <w:pPr>
              <w:pStyle w:val="43"/>
            </w:pPr>
            <w:r>
              <w:rPr>
                <w:rFonts w:hint="eastAsia"/>
                <w:szCs w:val="24"/>
              </w:rPr>
              <w:t>X线造影机</w:t>
            </w:r>
          </w:p>
        </w:tc>
        <w:tc>
          <w:tcPr>
            <w:tcW w:w="2068" w:type="dxa"/>
            <w:vAlign w:val="center"/>
          </w:tcPr>
          <w:p>
            <w:pPr>
              <w:pStyle w:val="43"/>
            </w:pPr>
            <w:r>
              <w:rPr>
                <w:rFonts w:hint="eastAsia"/>
              </w:rPr>
              <w:t>1台</w:t>
            </w:r>
          </w:p>
        </w:tc>
        <w:tc>
          <w:tcPr>
            <w:tcW w:w="1540" w:type="dxa"/>
            <w:vAlign w:val="center"/>
          </w:tcPr>
          <w:p>
            <w:pPr>
              <w:pStyle w:val="78"/>
            </w:pPr>
            <w:r>
              <w:rPr>
                <w:rFonts w:hint="eastAsia"/>
              </w:rPr>
              <w:t>手术室</w:t>
            </w:r>
          </w:p>
        </w:tc>
      </w:tr>
    </w:tbl>
    <w:p>
      <w:pPr>
        <w:pStyle w:val="4"/>
      </w:pPr>
      <w:r>
        <w:rPr>
          <w:rFonts w:hint="eastAsia"/>
        </w:rPr>
        <w:t>公用工程</w:t>
      </w:r>
    </w:p>
    <w:p>
      <w:pPr>
        <w:pStyle w:val="5"/>
      </w:pPr>
      <w:r>
        <w:rPr>
          <w:rFonts w:hint="eastAsia"/>
        </w:rPr>
        <w:t>给水</w:t>
      </w:r>
    </w:p>
    <w:p>
      <w:pPr>
        <w:pStyle w:val="40"/>
        <w:ind w:firstLine="480"/>
        <w:rPr>
          <w:rFonts w:hAnsi="宋体" w:cs="Times New Roman"/>
          <w:color w:val="FF0000"/>
          <w:kern w:val="0"/>
          <w:szCs w:val="20"/>
          <w:highlight w:val="yellow"/>
        </w:rPr>
      </w:pPr>
      <w:r>
        <w:rPr>
          <w:rFonts w:hint="eastAsia"/>
        </w:rPr>
        <w:t>项目用水由恒口</w:t>
      </w:r>
      <w:r>
        <w:t>示范区</w:t>
      </w:r>
      <w:r>
        <w:rPr>
          <w:rFonts w:hint="eastAsia"/>
        </w:rPr>
        <w:t>市政自来水供水管网供给，项目用水主要</w:t>
      </w:r>
      <w:r>
        <w:t>为</w:t>
      </w:r>
      <w:r>
        <w:rPr>
          <w:rFonts w:hint="eastAsia"/>
        </w:rPr>
        <w:t>门诊、</w:t>
      </w:r>
      <w:r>
        <w:t>住院病房、食堂、锅炉房</w:t>
      </w:r>
      <w:r>
        <w:rPr>
          <w:rFonts w:hint="eastAsia"/>
        </w:rPr>
        <w:t>以及</w:t>
      </w:r>
      <w:r>
        <w:t>医护人员用水等，</w:t>
      </w:r>
      <w:r>
        <w:rPr>
          <w:rFonts w:hint="eastAsia"/>
          <w:color w:val="FF0000"/>
        </w:rPr>
        <w:t>采暖期</w:t>
      </w:r>
      <w:r>
        <w:rPr>
          <w:color w:val="FF0000"/>
        </w:rPr>
        <w:t>用水量</w:t>
      </w:r>
      <w:r>
        <w:rPr>
          <w:rFonts w:hint="eastAsia"/>
          <w:color w:val="FF0000"/>
        </w:rPr>
        <w:t>32</w:t>
      </w:r>
      <w:r>
        <w:rPr>
          <w:color w:val="FF0000"/>
        </w:rPr>
        <w:t>0</w:t>
      </w:r>
      <w:r>
        <w:rPr>
          <w:rFonts w:hint="eastAsia"/>
          <w:color w:val="FF0000"/>
        </w:rPr>
        <w:t>.</w:t>
      </w:r>
      <w:r>
        <w:rPr>
          <w:color w:val="FF0000"/>
        </w:rPr>
        <w:t>98m</w:t>
      </w:r>
      <w:r>
        <w:rPr>
          <w:color w:val="FF0000"/>
          <w:vertAlign w:val="superscript"/>
        </w:rPr>
        <w:t>3</w:t>
      </w:r>
      <w:r>
        <w:rPr>
          <w:color w:val="FF0000"/>
        </w:rPr>
        <w:t>/d，非采暖季用水量244.18m</w:t>
      </w:r>
      <w:r>
        <w:rPr>
          <w:color w:val="FF0000"/>
          <w:vertAlign w:val="superscript"/>
        </w:rPr>
        <w:t>3</w:t>
      </w:r>
      <w:r>
        <w:rPr>
          <w:color w:val="FF0000"/>
        </w:rPr>
        <w:t>/d，</w:t>
      </w:r>
      <w:r>
        <w:rPr>
          <w:rFonts w:hint="eastAsia"/>
          <w:color w:val="FF0000"/>
        </w:rPr>
        <w:t>用水</w:t>
      </w:r>
      <w:r>
        <w:rPr>
          <w:color w:val="FF0000"/>
        </w:rPr>
        <w:t>总量98341.7</w:t>
      </w:r>
      <w:r>
        <w:rPr>
          <w:rFonts w:hint="eastAsia"/>
          <w:color w:val="FF0000"/>
        </w:rPr>
        <w:t>m</w:t>
      </w:r>
      <w:r>
        <w:rPr>
          <w:rFonts w:hint="eastAsia"/>
          <w:color w:val="FF0000"/>
          <w:vertAlign w:val="superscript"/>
        </w:rPr>
        <w:t>3</w:t>
      </w:r>
      <w:r>
        <w:rPr>
          <w:rFonts w:hint="eastAsia"/>
          <w:color w:val="FF0000"/>
        </w:rPr>
        <w:t>/a。</w:t>
      </w:r>
    </w:p>
    <w:p>
      <w:pPr>
        <w:pStyle w:val="5"/>
      </w:pPr>
      <w:r>
        <w:rPr>
          <w:rFonts w:hint="eastAsia"/>
        </w:rPr>
        <w:t>排水</w:t>
      </w:r>
    </w:p>
    <w:p>
      <w:pPr>
        <w:pStyle w:val="40"/>
        <w:ind w:firstLine="480"/>
      </w:pPr>
      <w:r>
        <w:t>厂区建设完善的排水系统，排水采取雨污分流。</w:t>
      </w:r>
    </w:p>
    <w:p>
      <w:pPr>
        <w:pStyle w:val="40"/>
        <w:ind w:firstLine="480"/>
      </w:pPr>
      <w:r>
        <w:rPr>
          <w:rFonts w:hint="eastAsia"/>
        </w:rPr>
        <w:t>（1）雨水：</w:t>
      </w:r>
      <w:r>
        <w:t>通过雨水管收集后就近汇入雨水管道中，统一收集后排入市政雨水管网。</w:t>
      </w:r>
    </w:p>
    <w:p>
      <w:pPr>
        <w:pStyle w:val="40"/>
        <w:ind w:firstLine="480"/>
      </w:pPr>
      <w:r>
        <w:rPr>
          <w:rFonts w:hint="eastAsia"/>
        </w:rPr>
        <w:t>（2）污水</w:t>
      </w:r>
      <w:r>
        <w:t>：</w:t>
      </w:r>
    </w:p>
    <w:p>
      <w:pPr>
        <w:pStyle w:val="40"/>
        <w:ind w:firstLine="480"/>
        <w:rPr>
          <w:highlight w:val="yellow"/>
        </w:rPr>
      </w:pPr>
      <w:r>
        <w:rPr>
          <w:rFonts w:hint="eastAsia"/>
        </w:rPr>
        <w:t>项目废水</w:t>
      </w:r>
      <w:r>
        <w:t>主要</w:t>
      </w:r>
      <w:r>
        <w:rPr>
          <w:rFonts w:hint="eastAsia"/>
        </w:rPr>
        <w:t>为锅炉</w:t>
      </w:r>
      <w:r>
        <w:t>软水系统排水</w:t>
      </w:r>
      <w:r>
        <w:rPr>
          <w:rFonts w:hint="eastAsia"/>
        </w:rPr>
        <w:t>、</w:t>
      </w:r>
      <w:r>
        <w:t>锅炉排污水、食堂废水、医疗废水等。</w:t>
      </w:r>
      <w:r>
        <w:rPr>
          <w:rFonts w:hint="eastAsia"/>
        </w:rPr>
        <w:t>废水</w:t>
      </w:r>
      <w:r>
        <w:t>排放量</w:t>
      </w:r>
      <w:r>
        <w:rPr>
          <w:rFonts w:hint="eastAsia"/>
        </w:rPr>
        <w:t>为采暖季</w:t>
      </w:r>
      <w:r>
        <w:t>废水排放量</w:t>
      </w:r>
      <w:r>
        <w:rPr>
          <w:color w:val="FF0000"/>
        </w:rPr>
        <w:t>206.02m</w:t>
      </w:r>
      <w:r>
        <w:rPr>
          <w:color w:val="FF0000"/>
          <w:vertAlign w:val="superscript"/>
        </w:rPr>
        <w:t>3</w:t>
      </w:r>
      <w:r>
        <w:rPr>
          <w:color w:val="FF0000"/>
        </w:rPr>
        <w:t>/d</w:t>
      </w:r>
      <w:r>
        <w:t>，</w:t>
      </w:r>
      <w:r>
        <w:rPr>
          <w:rFonts w:hint="eastAsia"/>
        </w:rPr>
        <w:t>非</w:t>
      </w:r>
      <w:r>
        <w:t>采暖季</w:t>
      </w:r>
      <w:r>
        <w:rPr>
          <w:rFonts w:hint="eastAsia"/>
        </w:rPr>
        <w:t>废水</w:t>
      </w:r>
      <w:r>
        <w:t>排放量</w:t>
      </w:r>
      <w:r>
        <w:rPr>
          <w:rFonts w:hint="eastAsia"/>
          <w:color w:val="FF0000"/>
        </w:rPr>
        <w:t>19</w:t>
      </w:r>
      <w:r>
        <w:rPr>
          <w:color w:val="FF0000"/>
        </w:rPr>
        <w:t>6.95m</w:t>
      </w:r>
      <w:r>
        <w:rPr>
          <w:color w:val="FF0000"/>
          <w:vertAlign w:val="superscript"/>
        </w:rPr>
        <w:t>3</w:t>
      </w:r>
      <w:r>
        <w:rPr>
          <w:color w:val="FF0000"/>
        </w:rPr>
        <w:t>/d</w:t>
      </w:r>
      <w:r>
        <w:t>，废水排放总量</w:t>
      </w:r>
      <w:r>
        <w:rPr>
          <w:color w:val="FF0000"/>
        </w:rPr>
        <w:t>72975.15m</w:t>
      </w:r>
      <w:r>
        <w:rPr>
          <w:color w:val="FF0000"/>
          <w:vertAlign w:val="superscript"/>
        </w:rPr>
        <w:t>3</w:t>
      </w:r>
      <w:r>
        <w:rPr>
          <w:color w:val="FF0000"/>
        </w:rPr>
        <w:t>/a</w:t>
      </w:r>
      <w:r>
        <w:t>，</w:t>
      </w:r>
      <w:r>
        <w:rPr>
          <w:rFonts w:hint="eastAsia"/>
        </w:rPr>
        <w:t>其中</w:t>
      </w:r>
      <w:r>
        <w:t>进入</w:t>
      </w:r>
      <w:r>
        <w:rPr>
          <w:rFonts w:hint="eastAsia"/>
        </w:rPr>
        <w:t>自建</w:t>
      </w:r>
      <w:r>
        <w:t>污水处理站处理后</w:t>
      </w:r>
      <w:r>
        <w:rPr>
          <w:rFonts w:hint="eastAsia"/>
        </w:rPr>
        <w:t>排入</w:t>
      </w:r>
      <w:r>
        <w:t>市政管网废水</w:t>
      </w:r>
      <w:r>
        <w:rPr>
          <w:rFonts w:hint="eastAsia"/>
        </w:rPr>
        <w:t>1</w:t>
      </w:r>
      <w:r>
        <w:t>95.32m</w:t>
      </w:r>
      <w:r>
        <w:rPr>
          <w:vertAlign w:val="superscript"/>
        </w:rPr>
        <w:t>3</w:t>
      </w:r>
      <w:r>
        <w:t>/d，</w:t>
      </w:r>
      <w:r>
        <w:rPr>
          <w:rFonts w:hint="eastAsia"/>
        </w:rPr>
        <w:t>71291.8</w:t>
      </w:r>
      <w:r>
        <w:t>m</w:t>
      </w:r>
      <w:r>
        <w:rPr>
          <w:vertAlign w:val="superscript"/>
        </w:rPr>
        <w:t>3</w:t>
      </w:r>
      <w:r>
        <w:t>/a</w:t>
      </w:r>
      <w:r>
        <w:rPr>
          <w:rFonts w:hint="eastAsia"/>
        </w:rPr>
        <w:t>，</w:t>
      </w:r>
      <w:r>
        <w:t>其余废水</w:t>
      </w:r>
      <w:r>
        <w:rPr>
          <w:color w:val="FF0000"/>
        </w:rPr>
        <w:t>1683.35m</w:t>
      </w:r>
      <w:r>
        <w:rPr>
          <w:color w:val="FF0000"/>
          <w:vertAlign w:val="superscript"/>
        </w:rPr>
        <w:t>3</w:t>
      </w:r>
      <w:r>
        <w:rPr>
          <w:color w:val="FF0000"/>
        </w:rPr>
        <w:t>/a</w:t>
      </w:r>
      <w:r>
        <w:rPr>
          <w:rFonts w:hint="eastAsia"/>
        </w:rPr>
        <w:t>直接</w:t>
      </w:r>
      <w:r>
        <w:t>排入市政管网</w:t>
      </w:r>
      <w:r>
        <w:rPr>
          <w:rFonts w:hint="eastAsia"/>
        </w:rPr>
        <w:t>，</w:t>
      </w:r>
      <w:r>
        <w:t>最终废水排入</w:t>
      </w:r>
      <w:r>
        <w:rPr>
          <w:rFonts w:hint="eastAsia"/>
        </w:rPr>
        <w:t>安康市恒口示范区污水处理厂。</w:t>
      </w:r>
    </w:p>
    <w:p>
      <w:pPr>
        <w:pStyle w:val="40"/>
        <w:ind w:firstLine="480"/>
        <w:rPr>
          <w:highlight w:val="yellow"/>
        </w:rPr>
      </w:pPr>
      <w:r>
        <w:rPr>
          <w:rFonts w:hint="eastAsia"/>
        </w:rPr>
        <w:t>食堂废水经隔油池处理后，与其余医疗污水混合进入化粪池，经化粪池处理后，进入污水处理站处理</w:t>
      </w:r>
      <w:r>
        <w:t>，</w:t>
      </w:r>
      <w:r>
        <w:rPr>
          <w:rFonts w:hint="eastAsia"/>
        </w:rPr>
        <w:t>达到《医疗机构水污染物排放标准》（GB18466-2005）表2综合</w:t>
      </w:r>
      <w:r>
        <w:t>医疗</w:t>
      </w:r>
      <w:r>
        <w:rPr>
          <w:rFonts w:hint="eastAsia"/>
        </w:rPr>
        <w:t>机构</w:t>
      </w:r>
      <w:r>
        <w:t>和其他医疗机构</w:t>
      </w:r>
      <w:r>
        <w:rPr>
          <w:rFonts w:hint="eastAsia"/>
        </w:rPr>
        <w:t>预处理标准后，排入市政污水管网，最终排入安康市恒口示范区污水处理厂。锅炉</w:t>
      </w:r>
      <w:r>
        <w:t>排污水和软水制备系统废水经市政污水管网最终排入安康市恒口示范区污水处理厂。</w:t>
      </w:r>
    </w:p>
    <w:p>
      <w:pPr>
        <w:pStyle w:val="5"/>
      </w:pPr>
      <w:r>
        <w:rPr>
          <w:rFonts w:hint="eastAsia"/>
        </w:rPr>
        <w:t>供电</w:t>
      </w:r>
    </w:p>
    <w:p>
      <w:pPr>
        <w:pStyle w:val="40"/>
        <w:ind w:firstLine="480"/>
        <w:rPr>
          <w:highlight w:val="yellow"/>
        </w:rPr>
      </w:pPr>
      <w:r>
        <w:rPr>
          <w:rFonts w:hint="eastAsia"/>
        </w:rPr>
        <w:t>由恒口示范区市政供电公司供给，两路10KV电缆引入医院配电室。</w:t>
      </w:r>
    </w:p>
    <w:p>
      <w:pPr>
        <w:pStyle w:val="5"/>
      </w:pPr>
      <w:r>
        <w:rPr>
          <w:rFonts w:hint="eastAsia"/>
        </w:rPr>
        <w:t>采暖、</w:t>
      </w:r>
      <w:r>
        <w:t>制冷</w:t>
      </w:r>
    </w:p>
    <w:p>
      <w:pPr>
        <w:pStyle w:val="40"/>
        <w:ind w:firstLine="480"/>
        <w:rPr>
          <w:highlight w:val="yellow"/>
        </w:rPr>
      </w:pPr>
      <w:r>
        <w:t>项目</w:t>
      </w:r>
      <w:r>
        <w:rPr>
          <w:color w:val="FF0000"/>
        </w:rPr>
        <w:t>冬季供暖由</w:t>
      </w:r>
      <w:r>
        <w:rPr>
          <w:rFonts w:hint="eastAsia"/>
          <w:color w:val="FF0000"/>
        </w:rPr>
        <w:t>采用</w:t>
      </w:r>
      <w:r>
        <w:rPr>
          <w:color w:val="FF0000"/>
        </w:rPr>
        <w:t>2</w:t>
      </w:r>
      <w:r>
        <w:rPr>
          <w:rFonts w:hint="eastAsia"/>
          <w:color w:val="FF0000"/>
        </w:rPr>
        <w:t>台</w:t>
      </w:r>
      <w:r>
        <w:rPr>
          <w:color w:val="FF0000"/>
        </w:rPr>
        <w:t>4t/h的燃气</w:t>
      </w:r>
      <w:r>
        <w:rPr>
          <w:rFonts w:hint="eastAsia"/>
          <w:color w:val="FF0000"/>
        </w:rPr>
        <w:t>热水</w:t>
      </w:r>
      <w:r>
        <w:rPr>
          <w:color w:val="FF0000"/>
        </w:rPr>
        <w:t>锅炉</w:t>
      </w:r>
      <w:r>
        <w:rPr>
          <w:rFonts w:hint="eastAsia"/>
          <w:color w:val="FF0000"/>
        </w:rPr>
        <w:t>为</w:t>
      </w:r>
      <w:r>
        <w:rPr>
          <w:color w:val="FF0000"/>
        </w:rPr>
        <w:t>医院提供冬季采暖</w:t>
      </w:r>
      <w:r>
        <w:rPr>
          <w:rFonts w:hint="eastAsia"/>
          <w:color w:val="FF0000"/>
        </w:rPr>
        <w:t>，1</w:t>
      </w:r>
      <w:r>
        <w:rPr>
          <w:color w:val="FF0000"/>
        </w:rPr>
        <w:t>台1.5</w:t>
      </w:r>
      <w:r>
        <w:rPr>
          <w:rFonts w:hint="eastAsia"/>
          <w:color w:val="FF0000"/>
        </w:rPr>
        <w:t>t/h燃气热水锅炉为医院</w:t>
      </w:r>
      <w:r>
        <w:rPr>
          <w:color w:val="FF0000"/>
        </w:rPr>
        <w:t>提供平时</w:t>
      </w:r>
      <w:r>
        <w:rPr>
          <w:rFonts w:hint="eastAsia"/>
          <w:color w:val="FF0000"/>
        </w:rPr>
        <w:t>的生活</w:t>
      </w:r>
      <w:r>
        <w:rPr>
          <w:color w:val="FF0000"/>
        </w:rPr>
        <w:t>热水</w:t>
      </w:r>
      <w:r>
        <w:rPr>
          <w:rFonts w:hint="eastAsia"/>
          <w:color w:val="FF0000"/>
        </w:rPr>
        <w:t>。</w:t>
      </w:r>
      <w:r>
        <w:rPr>
          <w:color w:val="FF0000"/>
        </w:rPr>
        <w:t>夏季</w:t>
      </w:r>
      <w:r>
        <w:rPr>
          <w:rFonts w:hint="eastAsia"/>
          <w:color w:val="FF0000"/>
        </w:rPr>
        <w:t>制冷</w:t>
      </w:r>
      <w:r>
        <w:rPr>
          <w:color w:val="FF0000"/>
        </w:rPr>
        <w:t>采用分体式空调</w:t>
      </w:r>
      <w:r>
        <w:rPr>
          <w:rFonts w:hint="eastAsia"/>
          <w:color w:val="FF0000"/>
        </w:rPr>
        <w:t>。厨房、医疗工艺有需求蒸汽的，采用分体蒸汽发生器，供蒸汽。</w:t>
      </w:r>
    </w:p>
    <w:p>
      <w:pPr>
        <w:pStyle w:val="4"/>
      </w:pPr>
      <w:r>
        <w:rPr>
          <w:rFonts w:hint="eastAsia"/>
        </w:rPr>
        <w:t>劳动</w:t>
      </w:r>
      <w:r>
        <w:t>定员与工作制度</w:t>
      </w:r>
    </w:p>
    <w:p>
      <w:pPr>
        <w:pStyle w:val="40"/>
        <w:ind w:firstLine="480"/>
        <w:rPr>
          <w:highlight w:val="yellow"/>
        </w:rPr>
      </w:pPr>
      <w:r>
        <w:rPr>
          <w:rFonts w:hint="eastAsia"/>
        </w:rPr>
        <w:t>本项目年工作365天，实行24小时／天连续运转；医护</w:t>
      </w:r>
      <w:r>
        <w:t>人员595</w:t>
      </w:r>
      <w:r>
        <w:rPr>
          <w:rFonts w:hint="eastAsia"/>
        </w:rPr>
        <w:t>人</w:t>
      </w:r>
      <w:r>
        <w:t>，</w:t>
      </w:r>
      <w:r>
        <w:rPr>
          <w:rFonts w:hint="eastAsia"/>
        </w:rPr>
        <w:t>办公</w:t>
      </w:r>
      <w:r>
        <w:t>及后勤人员</w:t>
      </w:r>
      <w:r>
        <w:rPr>
          <w:rFonts w:hint="eastAsia"/>
        </w:rPr>
        <w:t>225人</w:t>
      </w:r>
      <w:r>
        <w:t>，门诊人数</w:t>
      </w:r>
      <w:r>
        <w:rPr>
          <w:rFonts w:hint="eastAsia"/>
        </w:rPr>
        <w:t>1500人/d</w:t>
      </w:r>
      <w:r>
        <w:t>，食堂就餐人数412</w:t>
      </w:r>
      <w:r>
        <w:rPr>
          <w:rFonts w:hint="eastAsia"/>
        </w:rPr>
        <w:t>人/次。</w:t>
      </w:r>
    </w:p>
    <w:p>
      <w:pPr>
        <w:pStyle w:val="4"/>
      </w:pPr>
      <w:r>
        <w:rPr>
          <w:rFonts w:hint="eastAsia"/>
        </w:rPr>
        <w:t>建设</w:t>
      </w:r>
      <w:r>
        <w:t>周期</w:t>
      </w:r>
    </w:p>
    <w:p>
      <w:pPr>
        <w:pStyle w:val="40"/>
        <w:ind w:firstLine="480"/>
        <w:rPr>
          <w:highlight w:val="yellow"/>
        </w:rPr>
      </w:pPr>
      <w:r>
        <w:rPr>
          <w:rFonts w:hint="eastAsia"/>
        </w:rPr>
        <w:t>项目建设周期计划为</w:t>
      </w:r>
      <w:r>
        <w:t>36</w:t>
      </w:r>
      <w:r>
        <w:rPr>
          <w:rFonts w:hint="eastAsia"/>
        </w:rPr>
        <w:t>个月，即20</w:t>
      </w:r>
      <w:r>
        <w:t>22</w:t>
      </w:r>
      <w:r>
        <w:rPr>
          <w:rFonts w:hint="eastAsia"/>
        </w:rPr>
        <w:t>年</w:t>
      </w:r>
      <w:r>
        <w:t>10</w:t>
      </w:r>
      <w:r>
        <w:rPr>
          <w:rFonts w:hint="eastAsia"/>
        </w:rPr>
        <w:t>月至20</w:t>
      </w:r>
      <w:r>
        <w:t>25</w:t>
      </w:r>
      <w:r>
        <w:rPr>
          <w:rFonts w:hint="eastAsia"/>
        </w:rPr>
        <w:t>年</w:t>
      </w:r>
      <w:r>
        <w:t>10</w:t>
      </w:r>
      <w:r>
        <w:rPr>
          <w:rFonts w:hint="eastAsia"/>
        </w:rPr>
        <w:t>月。项目计划于</w:t>
      </w:r>
      <w:r>
        <w:t>2025</w:t>
      </w:r>
      <w:r>
        <w:rPr>
          <w:rFonts w:hint="eastAsia"/>
        </w:rPr>
        <w:t>年</w:t>
      </w:r>
      <w:r>
        <w:t>10</w:t>
      </w:r>
      <w:r>
        <w:rPr>
          <w:rFonts w:hint="eastAsia"/>
        </w:rPr>
        <w:t>月投入运行。</w:t>
      </w:r>
    </w:p>
    <w:p>
      <w:pPr>
        <w:pStyle w:val="4"/>
      </w:pPr>
      <w:r>
        <w:rPr>
          <w:rFonts w:hint="eastAsia"/>
        </w:rPr>
        <w:t>厂区</w:t>
      </w:r>
      <w:r>
        <w:t>平面布置</w:t>
      </w:r>
    </w:p>
    <w:p>
      <w:pPr>
        <w:pStyle w:val="40"/>
        <w:ind w:firstLine="480"/>
        <w:rPr>
          <w:highlight w:val="yellow"/>
        </w:rPr>
      </w:pPr>
      <w:r>
        <w:rPr>
          <w:rFonts w:hint="eastAsia"/>
        </w:rPr>
        <w:t>本项目</w:t>
      </w:r>
      <w:r>
        <w:t>总占地面积46666.67m</w:t>
      </w:r>
      <w:r>
        <w:rPr>
          <w:vertAlign w:val="superscript"/>
        </w:rPr>
        <w:t>2</w:t>
      </w:r>
      <w:r>
        <w:rPr>
          <w:rFonts w:hint="eastAsia"/>
        </w:rPr>
        <w:t>，建设住院楼、医技楼</w:t>
      </w:r>
      <w:r>
        <w:t>、门诊、发热</w:t>
      </w:r>
      <w:r>
        <w:rPr>
          <w:rFonts w:hint="eastAsia"/>
        </w:rPr>
        <w:t>门诊</w:t>
      </w:r>
      <w:r>
        <w:t>、后勤楼、设备房</w:t>
      </w:r>
      <w:r>
        <w:rPr>
          <w:rFonts w:hint="eastAsia"/>
        </w:rPr>
        <w:t>、</w:t>
      </w:r>
      <w:r>
        <w:t>液氧站等，</w:t>
      </w:r>
      <w:r>
        <w:rPr>
          <w:rFonts w:hint="eastAsia"/>
        </w:rPr>
        <w:t>住院楼位于</w:t>
      </w:r>
      <w:r>
        <w:t>院内西北侧，医技楼位于</w:t>
      </w:r>
      <w:r>
        <w:rPr>
          <w:rFonts w:hint="eastAsia"/>
        </w:rPr>
        <w:t>住院</w:t>
      </w:r>
      <w:r>
        <w:t>楼南侧，门诊位于住院楼东侧，由北向南设置</w:t>
      </w:r>
      <w:r>
        <w:rPr>
          <w:rFonts w:hint="eastAsia"/>
        </w:rPr>
        <w:t>3栋4层</w:t>
      </w:r>
      <w:r>
        <w:t>门诊，</w:t>
      </w:r>
      <w:r>
        <w:rPr>
          <w:rFonts w:hint="eastAsia"/>
        </w:rPr>
        <w:t>后勤楼</w:t>
      </w:r>
      <w:r>
        <w:t>位于</w:t>
      </w:r>
      <w:r>
        <w:rPr>
          <w:rFonts w:hint="eastAsia"/>
        </w:rPr>
        <w:t>院</w:t>
      </w:r>
      <w:r>
        <w:t>内东侧，发热门诊位于</w:t>
      </w:r>
      <w:r>
        <w:rPr>
          <w:rFonts w:hint="eastAsia"/>
        </w:rPr>
        <w:t>院内</w:t>
      </w:r>
      <w:r>
        <w:t>东北侧</w:t>
      </w:r>
      <w:r>
        <w:rPr>
          <w:rFonts w:hint="eastAsia"/>
        </w:rPr>
        <w:t>，医院共设置三</w:t>
      </w:r>
      <w:r>
        <w:t>个出入口，</w:t>
      </w:r>
      <w:r>
        <w:rPr>
          <w:rFonts w:hint="eastAsia"/>
        </w:rPr>
        <w:t>分别位于</w:t>
      </w:r>
      <w:r>
        <w:t>北侧月滨南大道</w:t>
      </w:r>
      <w:r>
        <w:rPr>
          <w:rFonts w:hint="eastAsia"/>
        </w:rPr>
        <w:t>（两个</w:t>
      </w:r>
      <w:r>
        <w:t>次出入口</w:t>
      </w:r>
      <w:r>
        <w:rPr>
          <w:rFonts w:hint="eastAsia"/>
        </w:rPr>
        <w:t>）</w:t>
      </w:r>
      <w:r>
        <w:t>，</w:t>
      </w:r>
      <w:r>
        <w:rPr>
          <w:rFonts w:hint="eastAsia"/>
        </w:rPr>
        <w:t>东侧</w:t>
      </w:r>
      <w:r>
        <w:t>规划</w:t>
      </w:r>
      <w:r>
        <w:rPr>
          <w:rFonts w:hint="eastAsia"/>
        </w:rPr>
        <w:t>市政</w:t>
      </w:r>
      <w:r>
        <w:t>道路一个，污水处理站位于</w:t>
      </w:r>
      <w:r>
        <w:rPr>
          <w:rFonts w:hint="eastAsia"/>
        </w:rPr>
        <w:t>发热门诊</w:t>
      </w:r>
      <w:r>
        <w:t>东北侧，</w:t>
      </w:r>
      <w:r>
        <w:rPr>
          <w:rFonts w:hint="eastAsia"/>
        </w:rPr>
        <w:t>污水</w:t>
      </w:r>
      <w:r>
        <w:t>处理站设置在整个场地边缘，西侧通过发热门诊与其他构筑物隔开</w:t>
      </w:r>
      <w:r>
        <w:rPr>
          <w:rFonts w:hint="eastAsia"/>
        </w:rPr>
        <w:t>，远离</w:t>
      </w:r>
      <w:r>
        <w:t>了项目厂区紧邻的南侧越南村住户，</w:t>
      </w:r>
      <w:r>
        <w:rPr>
          <w:rFonts w:hint="eastAsia"/>
        </w:rPr>
        <w:t>对</w:t>
      </w:r>
      <w:r>
        <w:t>周围居民影响较小，</w:t>
      </w:r>
      <w:r>
        <w:rPr>
          <w:rFonts w:hint="eastAsia"/>
        </w:rPr>
        <w:t>项目</w:t>
      </w:r>
      <w:r>
        <w:t>平面布置简单，从方便生产、安全管理、保护环境角度考虑，</w:t>
      </w:r>
      <w:r>
        <w:rPr>
          <w:rFonts w:hint="eastAsia"/>
        </w:rPr>
        <w:t>平面</w:t>
      </w:r>
      <w:r>
        <w:t>布局合理。</w:t>
      </w:r>
      <w:r>
        <w:rPr>
          <w:rFonts w:hint="eastAsia"/>
        </w:rPr>
        <w:t>项目</w:t>
      </w:r>
      <w:r>
        <w:t>厂区平面布置图见图3.1-2</w:t>
      </w:r>
      <w:r>
        <w:rPr>
          <w:rFonts w:hint="eastAsia"/>
        </w:rPr>
        <w:t>。</w:t>
      </w:r>
    </w:p>
    <w:p>
      <w:pPr>
        <w:pStyle w:val="40"/>
        <w:ind w:firstLine="480"/>
        <w:rPr>
          <w:highlight w:val="yellow"/>
        </w:rPr>
      </w:pPr>
    </w:p>
    <w:p>
      <w:pPr>
        <w:pStyle w:val="40"/>
        <w:ind w:firstLine="480"/>
        <w:rPr>
          <w:highlight w:val="yellow"/>
        </w:rPr>
      </w:pPr>
    </w:p>
    <w:p>
      <w:pPr>
        <w:rPr>
          <w:highlight w:val="yellow"/>
        </w:rPr>
      </w:pPr>
    </w:p>
    <w:p>
      <w:pPr>
        <w:rPr>
          <w:highlight w:val="yellow"/>
        </w:rPr>
        <w:sectPr>
          <w:headerReference r:id="rId16" w:type="default"/>
          <w:footerReference r:id="rId18" w:type="default"/>
          <w:headerReference r:id="rId17" w:type="even"/>
          <w:pgSz w:w="11906" w:h="16838"/>
          <w:pgMar w:top="1418" w:right="1418" w:bottom="1418" w:left="1588" w:header="851" w:footer="992" w:gutter="0"/>
          <w:pgNumType w:fmt="numberInDash"/>
          <w:cols w:space="425" w:num="1"/>
          <w:docGrid w:type="linesAndChars" w:linePitch="312" w:charSpace="0"/>
        </w:sectPr>
      </w:pPr>
    </w:p>
    <w:p>
      <w:pPr>
        <w:pStyle w:val="2"/>
      </w:pPr>
      <w:bookmarkStart w:id="26" w:name="_Toc113260425"/>
      <w:r>
        <w:rPr>
          <w:rFonts w:hint="eastAsia"/>
        </w:rPr>
        <w:t>工程</w:t>
      </w:r>
      <w:r>
        <w:t>分析</w:t>
      </w:r>
      <w:bookmarkEnd w:id="26"/>
    </w:p>
    <w:p>
      <w:pPr>
        <w:pStyle w:val="3"/>
      </w:pPr>
      <w:bookmarkStart w:id="27" w:name="_Toc113260426"/>
      <w:r>
        <w:rPr>
          <w:rFonts w:hint="eastAsia"/>
        </w:rPr>
        <w:t>影响因素</w:t>
      </w:r>
      <w:r>
        <w:t>分析</w:t>
      </w:r>
      <w:bookmarkEnd w:id="27"/>
    </w:p>
    <w:p>
      <w:pPr>
        <w:pStyle w:val="4"/>
      </w:pPr>
      <w:r>
        <w:rPr>
          <w:rFonts w:hint="eastAsia"/>
        </w:rPr>
        <w:t>污染</w:t>
      </w:r>
      <w:r>
        <w:t>影响因素分析</w:t>
      </w:r>
    </w:p>
    <w:p>
      <w:pPr>
        <w:pStyle w:val="5"/>
      </w:pPr>
      <w:r>
        <w:rPr>
          <w:rFonts w:hint="eastAsia"/>
        </w:rPr>
        <w:t>施工期</w:t>
      </w:r>
      <w:r>
        <w:t>工艺流程及产污环节</w:t>
      </w:r>
    </w:p>
    <w:p>
      <w:pPr>
        <w:pStyle w:val="40"/>
        <w:ind w:firstLine="480"/>
      </w:pPr>
      <w:r>
        <w:rPr>
          <w:rFonts w:hint="eastAsia"/>
        </w:rPr>
        <w:t>1、</w:t>
      </w:r>
      <w:r>
        <w:t>工艺流程</w:t>
      </w:r>
    </w:p>
    <w:p>
      <w:pPr>
        <w:pStyle w:val="40"/>
        <w:ind w:firstLine="480"/>
      </w:pPr>
      <w:r>
        <w:t>本项目施工期建设内容</w:t>
      </w:r>
      <w:r>
        <w:rPr>
          <w:rFonts w:hint="eastAsia"/>
        </w:rPr>
        <w:t>主要</w:t>
      </w:r>
      <w:r>
        <w:t>包括</w:t>
      </w:r>
      <w:r>
        <w:rPr>
          <w:rFonts w:hint="eastAsia"/>
        </w:rPr>
        <w:t>综合楼的</w:t>
      </w:r>
      <w:r>
        <w:t>建设、场区绿化和硬化等。主要工程活动内容有场地平整、基础工程、主体工程、装饰工程、设备安装等。由于施工期活动内容多，施工时间较长，施工活动不可避免对周围环境产生影响。施工期工艺流程及产污环节图如图4.1-1所示。施工期污染环节为场地平整、材料运输等，主要的污染物为施工扬尘和施工噪声。</w:t>
      </w:r>
    </w:p>
    <w:p>
      <w:pPr>
        <w:jc w:val="center"/>
      </w:pPr>
      <w:r>
        <w:rPr>
          <w:rFonts w:ascii="Times New Roman" w:hAnsi="Times New Roman" w:eastAsia="宋体" w:cs="Times New Roman"/>
          <w:sz w:val="24"/>
        </w:rPr>
        <w:object>
          <v:shape id="_x0000_i1025" o:spt="75" type="#_x0000_t75" style="height:121.9pt;width:381.4pt;" o:ole="t" filled="f" o:preferrelative="t" stroked="f" coordsize="21600,21600">
            <v:path/>
            <v:fill on="f" focussize="0,0"/>
            <v:stroke on="f" joinstyle="miter"/>
            <v:imagedata r:id="rId70" o:title=""/>
            <o:lock v:ext="edit" aspectratio="t"/>
            <w10:wrap type="none"/>
            <w10:anchorlock/>
          </v:shape>
          <o:OLEObject Type="Embed" ProgID="Visio.Drawing.11" ShapeID="_x0000_i1025" DrawAspect="Content" ObjectID="_1468075725" r:id="rId69">
            <o:LockedField>false</o:LockedField>
          </o:OLEObject>
        </w:object>
      </w:r>
    </w:p>
    <w:p>
      <w:pPr>
        <w:pStyle w:val="22"/>
      </w:pPr>
      <w:r>
        <w:rPr>
          <w:rFonts w:hint="eastAsia"/>
        </w:rPr>
        <w:t>图4.1-1</w:t>
      </w:r>
      <w:r>
        <w:t xml:space="preserve">  </w:t>
      </w:r>
      <w:r>
        <w:rPr>
          <w:rFonts w:hint="eastAsia"/>
        </w:rPr>
        <w:t>施工期</w:t>
      </w:r>
      <w:r>
        <w:t>工艺流程及产污环节图</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产污环节</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（1）废气</w:t>
      </w:r>
    </w:p>
    <w:p>
      <w:pPr>
        <w:adjustRightInd w:val="0"/>
        <w:snapToGrid w:val="0"/>
        <w:spacing w:line="360" w:lineRule="auto"/>
        <w:ind w:firstLine="480" w:firstLineChars="200"/>
        <w:rPr>
          <w:rFonts w:ascii="Times New Roman" w:hAnsi="Times New Roman" w:eastAsia="宋体" w:cs="Times New Roman"/>
          <w:sz w:val="24"/>
        </w:rPr>
      </w:pPr>
      <w:r>
        <w:rPr>
          <w:rFonts w:ascii="宋体" w:hAnsi="Times New Roman" w:eastAsia="宋体" w:cs="Times New Roman"/>
          <w:sz w:val="24"/>
        </w:rPr>
        <w:t>在挖土、推土及砂石、水泥等的装卸、运输过程中有</w:t>
      </w:r>
      <w:r>
        <w:rPr>
          <w:rFonts w:hint="eastAsia" w:ascii="宋体" w:hAnsi="Times New Roman" w:eastAsia="宋体" w:cs="Times New Roman"/>
          <w:sz w:val="24"/>
        </w:rPr>
        <w:t>扬尘</w:t>
      </w:r>
      <w:r>
        <w:rPr>
          <w:rFonts w:ascii="宋体" w:hAnsi="Times New Roman" w:eastAsia="宋体" w:cs="Times New Roman"/>
          <w:sz w:val="24"/>
        </w:rPr>
        <w:t>散逸，汽车运送建筑材料时引起道路扬尘；施工机械产生的汽车尾气。</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废水</w:t>
      </w:r>
    </w:p>
    <w:p>
      <w:pPr>
        <w:adjustRightInd w:val="0"/>
        <w:snapToGrid w:val="0"/>
        <w:spacing w:line="360" w:lineRule="auto"/>
        <w:ind w:firstLine="480" w:firstLineChars="200"/>
        <w:rPr>
          <w:rFonts w:ascii="Times New Roman" w:hAnsi="Times New Roman" w:eastAsia="宋体" w:cs="Times New Roman"/>
          <w:sz w:val="24"/>
        </w:rPr>
      </w:pPr>
      <w:r>
        <w:rPr>
          <w:rFonts w:ascii="宋体" w:hAnsi="Times New Roman" w:eastAsia="宋体" w:cs="Times New Roman"/>
          <w:sz w:val="24"/>
        </w:rPr>
        <w:t>施工期废水产生环节主要为施工废水和施工人员产生的生活污水。</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固体废物</w:t>
      </w:r>
    </w:p>
    <w:p>
      <w:pPr>
        <w:adjustRightInd w:val="0"/>
        <w:snapToGrid w:val="0"/>
        <w:spacing w:line="360" w:lineRule="auto"/>
        <w:ind w:firstLine="480" w:firstLineChars="200"/>
        <w:rPr>
          <w:rFonts w:ascii="Times New Roman" w:hAnsi="Times New Roman" w:eastAsia="宋体" w:cs="Times New Roman"/>
          <w:sz w:val="24"/>
        </w:rPr>
      </w:pPr>
      <w:r>
        <w:rPr>
          <w:rFonts w:ascii="宋体" w:hAnsi="Times New Roman" w:eastAsia="宋体" w:cs="Times New Roman"/>
          <w:sz w:val="24"/>
        </w:rPr>
        <w:t>施工期固体废物为建筑垃圾和施工人员生活垃圾。</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噪声</w:t>
      </w:r>
    </w:p>
    <w:p>
      <w:pPr>
        <w:adjustRightInd w:val="0"/>
        <w:snapToGrid w:val="0"/>
        <w:spacing w:line="360" w:lineRule="auto"/>
        <w:ind w:firstLine="480" w:firstLineChars="200"/>
        <w:rPr>
          <w:rFonts w:ascii="Times New Roman" w:hAnsi="Times New Roman" w:eastAsia="宋体" w:cs="Times New Roman"/>
          <w:sz w:val="24"/>
        </w:rPr>
      </w:pPr>
      <w:r>
        <w:rPr>
          <w:rFonts w:ascii="宋体" w:hAnsi="Times New Roman" w:eastAsia="宋体" w:cs="Times New Roman"/>
          <w:sz w:val="24"/>
        </w:rPr>
        <w:t>施工期噪声产生环节主要为施工设备产生的噪声。</w:t>
      </w:r>
    </w:p>
    <w:p>
      <w:pPr>
        <w:pStyle w:val="5"/>
      </w:pPr>
      <w:r>
        <w:rPr>
          <w:rFonts w:hint="eastAsia"/>
        </w:rPr>
        <w:t>运营期</w:t>
      </w:r>
      <w:r>
        <w:t>工艺流程及产污环节</w:t>
      </w:r>
    </w:p>
    <w:p>
      <w:pPr>
        <w:pStyle w:val="40"/>
        <w:ind w:firstLine="482"/>
        <w:rPr>
          <w:b/>
        </w:rPr>
      </w:pPr>
      <w:r>
        <w:rPr>
          <w:rFonts w:hint="eastAsia"/>
          <w:b/>
        </w:rPr>
        <w:t>1</w:t>
      </w:r>
      <w:r>
        <w:rPr>
          <w:b/>
        </w:rPr>
        <w:t>、</w:t>
      </w:r>
      <w:r>
        <w:rPr>
          <w:rFonts w:hint="eastAsia"/>
          <w:b/>
        </w:rPr>
        <w:t>运营</w:t>
      </w:r>
      <w:r>
        <w:rPr>
          <w:b/>
        </w:rPr>
        <w:t>期总的工艺流程图</w:t>
      </w:r>
    </w:p>
    <w:p>
      <w:pPr>
        <w:pStyle w:val="40"/>
        <w:ind w:firstLine="480"/>
        <w:sectPr>
          <w:headerReference r:id="rId19" w:type="default"/>
          <w:headerReference r:id="rId20" w:type="even"/>
          <w:pgSz w:w="11906" w:h="16838"/>
          <w:pgMar w:top="1418" w:right="1418" w:bottom="1418" w:left="1588" w:header="851" w:footer="992" w:gutter="0"/>
          <w:pgNumType w:fmt="numberInDash"/>
          <w:cols w:space="425" w:num="1"/>
          <w:docGrid w:type="linesAndChars" w:linePitch="312" w:charSpace="0"/>
        </w:sectPr>
      </w:pPr>
      <w:r>
        <w:rPr>
          <w:rFonts w:hint="eastAsia"/>
        </w:rPr>
        <w:t>运营</w:t>
      </w:r>
      <w:r>
        <w:t>期总的工艺流程图见图</w:t>
      </w:r>
      <w:r>
        <w:rPr>
          <w:rFonts w:hint="eastAsia"/>
        </w:rPr>
        <w:t>4</w:t>
      </w:r>
      <w:r>
        <w:t>.1-2</w:t>
      </w:r>
      <w:r>
        <w:rPr>
          <w:rFonts w:hint="eastAsia"/>
        </w:rPr>
        <w:t>。</w:t>
      </w:r>
    </w:p>
    <w:p>
      <w:pPr>
        <w:pStyle w:val="40"/>
        <w:ind w:firstLine="480"/>
      </w:pPr>
      <w:r>
        <w:object>
          <v:shape id="_x0000_i1026" o:spt="75" type="#_x0000_t75" style="height:424.15pt;width:640.85pt;" o:ole="t" filled="f" o:preferrelative="t" stroked="f" coordsize="21600,21600">
            <v:path/>
            <v:fill on="f" focussize="0,0"/>
            <v:stroke on="f" joinstyle="miter"/>
            <v:imagedata r:id="rId72" o:title=""/>
            <o:lock v:ext="edit" aspectratio="t"/>
            <w10:wrap type="none"/>
            <w10:anchorlock/>
          </v:shape>
          <o:OLEObject Type="Embed" ProgID="Visio.Drawing.11" ShapeID="_x0000_i1026" DrawAspect="Content" ObjectID="_1468075726" r:id="rId71">
            <o:LockedField>false</o:LockedField>
          </o:OLEObject>
        </w:object>
      </w:r>
    </w:p>
    <w:p>
      <w:pPr>
        <w:widowControl/>
        <w:spacing w:line="440" w:lineRule="exact"/>
        <w:rPr>
          <w:rFonts w:ascii="Times New Roman" w:hAnsi="Times New Roman" w:eastAsia="宋体" w:cs="Times New Roman"/>
          <w:kern w:val="0"/>
          <w:sz w:val="24"/>
          <w:szCs w:val="24"/>
          <w:highlight w:val="yellow"/>
        </w:rPr>
        <w:sectPr>
          <w:headerReference r:id="rId21" w:type="default"/>
          <w:headerReference r:id="rId22" w:type="even"/>
          <w:pgSz w:w="16838" w:h="11906" w:orient="landscape"/>
          <w:pgMar w:top="1588" w:right="1418" w:bottom="1418" w:left="1418" w:header="851" w:footer="992" w:gutter="0"/>
          <w:pgNumType w:fmt="numberInDash"/>
          <w:cols w:space="425" w:num="1"/>
          <w:docGrid w:type="linesAndChars" w:linePitch="312" w:charSpace="0"/>
        </w:sectPr>
      </w:pPr>
    </w:p>
    <w:p>
      <w:pPr>
        <w:pStyle w:val="40"/>
        <w:ind w:firstLine="482"/>
        <w:rPr>
          <w:b/>
        </w:rPr>
      </w:pPr>
      <w:r>
        <w:rPr>
          <w:b/>
        </w:rPr>
        <w:t>3</w:t>
      </w:r>
      <w:r>
        <w:rPr>
          <w:rFonts w:hint="eastAsia"/>
          <w:b/>
        </w:rPr>
        <w:t>、项目</w:t>
      </w:r>
      <w:r>
        <w:rPr>
          <w:b/>
        </w:rPr>
        <w:t>运营期产污环节</w:t>
      </w:r>
      <w:r>
        <w:rPr>
          <w:rFonts w:hint="eastAsia"/>
          <w:b/>
        </w:rPr>
        <w:t>汇总</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项目运营期</w:t>
      </w:r>
      <w:r>
        <w:rPr>
          <w:rFonts w:ascii="Times New Roman" w:hAnsi="Times New Roman" w:eastAsia="宋体" w:cs="Times New Roman"/>
          <w:sz w:val="24"/>
        </w:rPr>
        <w:t>产污</w:t>
      </w:r>
      <w:r>
        <w:rPr>
          <w:rFonts w:hint="eastAsia" w:ascii="Times New Roman" w:hAnsi="Times New Roman" w:eastAsia="宋体" w:cs="Times New Roman"/>
          <w:sz w:val="24"/>
        </w:rPr>
        <w:t>环节</w:t>
      </w:r>
      <w:r>
        <w:rPr>
          <w:rFonts w:ascii="Times New Roman" w:hAnsi="Times New Roman" w:eastAsia="宋体" w:cs="Times New Roman"/>
          <w:sz w:val="24"/>
        </w:rPr>
        <w:t>汇总见</w:t>
      </w:r>
      <w:r>
        <w:rPr>
          <w:rFonts w:hint="eastAsia" w:ascii="Times New Roman" w:hAnsi="Times New Roman" w:eastAsia="宋体" w:cs="Times New Roman"/>
          <w:sz w:val="24"/>
        </w:rPr>
        <w:t>表</w:t>
      </w:r>
      <w:r>
        <w:rPr>
          <w:rFonts w:ascii="Times New Roman" w:hAnsi="Times New Roman" w:eastAsia="宋体" w:cs="Times New Roman"/>
          <w:sz w:val="24"/>
        </w:rPr>
        <w:t>4.1-2</w:t>
      </w:r>
      <w:r>
        <w:rPr>
          <w:rFonts w:hint="eastAsia" w:ascii="Times New Roman" w:hAnsi="Times New Roman" w:eastAsia="宋体" w:cs="Times New Roman"/>
          <w:sz w:val="24"/>
        </w:rPr>
        <w:t>。</w:t>
      </w:r>
    </w:p>
    <w:p>
      <w:pPr>
        <w:pStyle w:val="22"/>
      </w:pPr>
      <w:r>
        <w:rPr>
          <w:rFonts w:hint="eastAsia"/>
        </w:rPr>
        <w:t>表4.1-2  运营期</w:t>
      </w:r>
      <w:r>
        <w:t>产污环节汇总</w:t>
      </w:r>
      <w:r>
        <w:rPr>
          <w:rFonts w:hint="eastAsia"/>
        </w:rPr>
        <w:t>表</w:t>
      </w:r>
    </w:p>
    <w:tbl>
      <w:tblPr>
        <w:tblStyle w:val="25"/>
        <w:tblW w:w="8991"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851"/>
        <w:gridCol w:w="4612"/>
        <w:gridCol w:w="28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0" w:hRule="atLeast"/>
        </w:trPr>
        <w:tc>
          <w:tcPr>
            <w:tcW w:w="69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排放时段</w:t>
            </w:r>
          </w:p>
        </w:tc>
        <w:tc>
          <w:tcPr>
            <w:tcW w:w="851"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污染源分类</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污染源</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污染因子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6" w:hRule="atLeast"/>
        </w:trPr>
        <w:tc>
          <w:tcPr>
            <w:tcW w:w="694"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施工期</w:t>
            </w:r>
          </w:p>
        </w:tc>
        <w:tc>
          <w:tcPr>
            <w:tcW w:w="851"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施工废气</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 xml:space="preserve">土石方挖掘、汽车运输过程中产生的扬尘，施工机具排放的少量尾气、装修阶段产生的废气等 </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施工扬尘、NOx、CO</w:t>
            </w:r>
            <w:r>
              <w:rPr>
                <w:rFonts w:ascii="Times New Roman" w:hAnsi="Times New Roman" w:eastAsia="宋体" w:cs="Times New Roman"/>
                <w:kern w:val="0"/>
                <w:szCs w:val="20"/>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施工废水</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施工场地废水</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COD</w:t>
            </w:r>
            <w:r>
              <w:rPr>
                <w:rFonts w:ascii="Times New Roman" w:hAnsi="Times New Roman" w:eastAsia="宋体" w:cs="Times New Roman"/>
                <w:szCs w:val="20"/>
                <w:vertAlign w:val="subscript"/>
              </w:rPr>
              <w:t>Cr</w:t>
            </w:r>
            <w:r>
              <w:rPr>
                <w:rFonts w:ascii="Times New Roman" w:hAnsi="Times New Roman" w:eastAsia="宋体" w:cs="Times New Roman"/>
                <w:szCs w:val="20"/>
              </w:rPr>
              <w:t>、SS、石油类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施工人员生活污水</w:t>
            </w:r>
          </w:p>
        </w:tc>
        <w:tc>
          <w:tcPr>
            <w:tcW w:w="2834" w:type="dxa"/>
            <w:vAlign w:val="center"/>
          </w:tcPr>
          <w:p>
            <w:pPr>
              <w:jc w:val="center"/>
              <w:rPr>
                <w:rFonts w:ascii="Times New Roman" w:hAnsi="Times New Roman" w:eastAsia="宋体" w:cs="Times New Roman"/>
                <w:szCs w:val="20"/>
              </w:rPr>
            </w:pPr>
            <w:bookmarkStart w:id="28" w:name="OLE_LINK2"/>
            <w:r>
              <w:rPr>
                <w:rFonts w:ascii="Times New Roman" w:hAnsi="Times New Roman" w:eastAsia="宋体" w:cs="Times New Roman"/>
                <w:szCs w:val="20"/>
              </w:rPr>
              <w:t>COD</w:t>
            </w:r>
            <w:r>
              <w:rPr>
                <w:rFonts w:ascii="Times New Roman" w:hAnsi="Times New Roman" w:eastAsia="宋体" w:cs="Times New Roman"/>
                <w:szCs w:val="20"/>
                <w:vertAlign w:val="subscript"/>
              </w:rPr>
              <w:t>Cr</w:t>
            </w:r>
            <w:r>
              <w:rPr>
                <w:rFonts w:ascii="Times New Roman" w:hAnsi="Times New Roman" w:eastAsia="宋体" w:cs="Times New Roman"/>
                <w:szCs w:val="20"/>
              </w:rPr>
              <w:t>、BOD</w:t>
            </w:r>
            <w:r>
              <w:rPr>
                <w:rFonts w:ascii="Times New Roman" w:hAnsi="Times New Roman" w:eastAsia="宋体" w:cs="Times New Roman"/>
                <w:szCs w:val="20"/>
                <w:vertAlign w:val="subscript"/>
              </w:rPr>
              <w:t>5</w:t>
            </w:r>
            <w:r>
              <w:rPr>
                <w:rFonts w:ascii="Times New Roman" w:hAnsi="Times New Roman" w:eastAsia="宋体" w:cs="Times New Roman"/>
                <w:szCs w:val="20"/>
              </w:rPr>
              <w:t>、SS、氨氮</w:t>
            </w:r>
            <w:bookmarkEnd w:id="2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trPr>
        <w:tc>
          <w:tcPr>
            <w:tcW w:w="694" w:type="dxa"/>
            <w:vMerge w:val="continue"/>
            <w:vAlign w:val="center"/>
          </w:tcPr>
          <w:p>
            <w:pPr>
              <w:jc w:val="center"/>
              <w:rPr>
                <w:rFonts w:ascii="Times New Roman" w:hAnsi="Times New Roman" w:eastAsia="宋体" w:cs="Times New Roman"/>
                <w:szCs w:val="20"/>
              </w:rPr>
            </w:pPr>
          </w:p>
        </w:tc>
        <w:tc>
          <w:tcPr>
            <w:tcW w:w="851"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噪声</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施工机械</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2" w:hRule="atLeast"/>
        </w:trPr>
        <w:tc>
          <w:tcPr>
            <w:tcW w:w="694" w:type="dxa"/>
            <w:vMerge w:val="continue"/>
            <w:vAlign w:val="center"/>
          </w:tcPr>
          <w:p>
            <w:pPr>
              <w:jc w:val="center"/>
              <w:rPr>
                <w:rFonts w:ascii="Times New Roman" w:hAnsi="Times New Roman" w:eastAsia="宋体" w:cs="Times New Roman"/>
                <w:szCs w:val="20"/>
              </w:rPr>
            </w:pPr>
          </w:p>
        </w:tc>
        <w:tc>
          <w:tcPr>
            <w:tcW w:w="851"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固体废物</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建筑施工、施工人员生活</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建筑垃圾、生活垃圾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trPr>
        <w:tc>
          <w:tcPr>
            <w:tcW w:w="694"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运营期</w:t>
            </w:r>
          </w:p>
        </w:tc>
        <w:tc>
          <w:tcPr>
            <w:tcW w:w="851"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废气</w:t>
            </w: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天然气</w:t>
            </w:r>
            <w:r>
              <w:rPr>
                <w:rFonts w:ascii="Times New Roman" w:hAnsi="Times New Roman" w:eastAsia="宋体" w:cs="Times New Roman"/>
                <w:szCs w:val="20"/>
              </w:rPr>
              <w:t>锅炉</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1"/>
              </w:rPr>
              <w:t>烟尘、NO</w:t>
            </w:r>
            <w:r>
              <w:rPr>
                <w:rFonts w:ascii="Times New Roman" w:hAnsi="Times New Roman" w:eastAsia="宋体" w:cs="Times New Roman"/>
                <w:szCs w:val="21"/>
                <w:vertAlign w:val="subscript"/>
              </w:rPr>
              <w:t>x</w:t>
            </w: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0"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污水处理站恶臭</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NH</w:t>
            </w:r>
            <w:r>
              <w:rPr>
                <w:rFonts w:ascii="Times New Roman" w:hAnsi="Times New Roman" w:eastAsia="宋体" w:cs="Times New Roman"/>
                <w:szCs w:val="20"/>
                <w:vertAlign w:val="subscript"/>
              </w:rPr>
              <w:t>3</w:t>
            </w:r>
            <w:r>
              <w:rPr>
                <w:rFonts w:ascii="Times New Roman" w:hAnsi="Times New Roman" w:eastAsia="宋体" w:cs="Times New Roman"/>
                <w:szCs w:val="20"/>
              </w:rPr>
              <w:t>、H</w:t>
            </w:r>
            <w:r>
              <w:rPr>
                <w:rFonts w:ascii="Times New Roman" w:hAnsi="Times New Roman" w:eastAsia="宋体" w:cs="Times New Roman"/>
                <w:szCs w:val="20"/>
                <w:vertAlign w:val="subscript"/>
              </w:rPr>
              <w:t>2</w:t>
            </w:r>
            <w:r>
              <w:rPr>
                <w:rFonts w:ascii="Times New Roman" w:hAnsi="Times New Roman" w:eastAsia="宋体" w:cs="Times New Roman"/>
                <w:szCs w:val="20"/>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停车场汽车尾气</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NO</w:t>
            </w:r>
            <w:r>
              <w:rPr>
                <w:rFonts w:ascii="Times New Roman" w:hAnsi="Times New Roman" w:eastAsia="宋体" w:cs="Times New Roman"/>
                <w:szCs w:val="20"/>
                <w:vertAlign w:val="subscript"/>
              </w:rPr>
              <w:t>x</w:t>
            </w:r>
            <w:r>
              <w:rPr>
                <w:rFonts w:ascii="Times New Roman" w:hAnsi="Times New Roman" w:eastAsia="宋体" w:cs="Times New Roman"/>
                <w:szCs w:val="20"/>
              </w:rPr>
              <w:t>、CO、THC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柴油</w:t>
            </w:r>
            <w:r>
              <w:rPr>
                <w:rFonts w:hint="eastAsia" w:ascii="Times New Roman" w:hAnsi="Times New Roman" w:eastAsia="宋体" w:cs="Times New Roman"/>
                <w:szCs w:val="20"/>
              </w:rPr>
              <w:t>备用</w:t>
            </w:r>
            <w:r>
              <w:rPr>
                <w:rFonts w:ascii="Times New Roman" w:hAnsi="Times New Roman" w:eastAsia="宋体" w:cs="Times New Roman"/>
                <w:szCs w:val="20"/>
              </w:rPr>
              <w:t>发电机废气</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SO</w:t>
            </w:r>
            <w:r>
              <w:rPr>
                <w:rFonts w:ascii="Times New Roman" w:hAnsi="Times New Roman" w:eastAsia="宋体" w:cs="Times New Roman"/>
                <w:szCs w:val="20"/>
                <w:vertAlign w:val="subscript"/>
              </w:rPr>
              <w:t>2</w:t>
            </w:r>
            <w:r>
              <w:rPr>
                <w:rFonts w:hint="eastAsia" w:ascii="Times New Roman" w:hAnsi="Times New Roman" w:eastAsia="宋体" w:cs="Times New Roman"/>
                <w:szCs w:val="20"/>
              </w:rPr>
              <w:t>、</w:t>
            </w:r>
            <w:r>
              <w:rPr>
                <w:rFonts w:ascii="Times New Roman" w:hAnsi="Times New Roman" w:eastAsia="宋体" w:cs="Times New Roman"/>
                <w:szCs w:val="20"/>
              </w:rPr>
              <w:t>NO</w:t>
            </w:r>
            <w:r>
              <w:rPr>
                <w:rFonts w:ascii="Times New Roman" w:hAnsi="Times New Roman" w:eastAsia="宋体" w:cs="Times New Roman"/>
                <w:szCs w:val="20"/>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4"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职工</w:t>
            </w:r>
            <w:r>
              <w:rPr>
                <w:rFonts w:ascii="Times New Roman" w:hAnsi="Times New Roman" w:eastAsia="宋体" w:cs="Times New Roman"/>
                <w:szCs w:val="20"/>
              </w:rPr>
              <w:t>食堂</w:t>
            </w:r>
            <w:r>
              <w:rPr>
                <w:rFonts w:hint="eastAsia" w:ascii="Times New Roman" w:hAnsi="Times New Roman" w:eastAsia="宋体" w:cs="Times New Roman"/>
                <w:szCs w:val="20"/>
              </w:rPr>
              <w:t>及</w:t>
            </w:r>
            <w:r>
              <w:rPr>
                <w:rFonts w:ascii="Times New Roman" w:hAnsi="Times New Roman" w:eastAsia="宋体" w:cs="Times New Roman"/>
                <w:szCs w:val="20"/>
              </w:rPr>
              <w:t>燃料废气</w:t>
            </w:r>
          </w:p>
        </w:tc>
        <w:tc>
          <w:tcPr>
            <w:tcW w:w="28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食堂油烟、天然气</w:t>
            </w:r>
            <w:r>
              <w:rPr>
                <w:rFonts w:ascii="Times New Roman" w:hAnsi="Times New Roman" w:eastAsia="宋体" w:cs="Times New Roman"/>
                <w:szCs w:val="20"/>
              </w:rPr>
              <w:t>废气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0"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废水</w:t>
            </w:r>
          </w:p>
        </w:tc>
        <w:tc>
          <w:tcPr>
            <w:tcW w:w="4612" w:type="dxa"/>
            <w:vAlign w:val="center"/>
          </w:tcPr>
          <w:p>
            <w:pPr>
              <w:adjustRightInd w:val="0"/>
              <w:snapToGrid w:val="0"/>
              <w:jc w:val="center"/>
              <w:rPr>
                <w:rFonts w:ascii="Times New Roman" w:hAnsi="Times New Roman" w:eastAsia="宋体" w:cs="Times New Roman"/>
                <w:szCs w:val="20"/>
              </w:rPr>
            </w:pPr>
            <w:r>
              <w:rPr>
                <w:rFonts w:hint="eastAsia" w:ascii="Times New Roman" w:hAnsi="Times New Roman" w:eastAsia="宋体" w:cs="Times New Roman"/>
                <w:szCs w:val="20"/>
              </w:rPr>
              <w:t>体检</w:t>
            </w:r>
            <w:r>
              <w:rPr>
                <w:rFonts w:ascii="Times New Roman" w:hAnsi="Times New Roman" w:eastAsia="宋体" w:cs="Times New Roman"/>
                <w:szCs w:val="20"/>
              </w:rPr>
              <w:t>中心、</w:t>
            </w:r>
            <w:r>
              <w:rPr>
                <w:rFonts w:hint="eastAsia" w:ascii="Times New Roman" w:hAnsi="Times New Roman" w:eastAsia="宋体" w:cs="Times New Roman"/>
                <w:szCs w:val="20"/>
              </w:rPr>
              <w:t>发烧门诊</w:t>
            </w:r>
            <w:r>
              <w:rPr>
                <w:rFonts w:ascii="Times New Roman" w:hAnsi="Times New Roman" w:eastAsia="宋体" w:cs="Times New Roman"/>
                <w:szCs w:val="20"/>
              </w:rPr>
              <w:t>、</w:t>
            </w:r>
            <w:r>
              <w:rPr>
                <w:rFonts w:hint="eastAsia" w:ascii="Times New Roman" w:hAnsi="Times New Roman" w:eastAsia="宋体" w:cs="Times New Roman"/>
                <w:szCs w:val="20"/>
              </w:rPr>
              <w:t>医疗综合楼</w:t>
            </w:r>
            <w:r>
              <w:rPr>
                <w:rFonts w:ascii="Times New Roman" w:hAnsi="Times New Roman" w:eastAsia="宋体" w:cs="Times New Roman"/>
                <w:szCs w:val="20"/>
              </w:rPr>
              <w:t>的</w:t>
            </w:r>
            <w:r>
              <w:rPr>
                <w:rFonts w:hint="eastAsia" w:ascii="Times New Roman" w:hAnsi="Times New Roman" w:eastAsia="宋体" w:cs="Times New Roman"/>
                <w:szCs w:val="20"/>
              </w:rPr>
              <w:t>住院部</w:t>
            </w:r>
            <w:r>
              <w:rPr>
                <w:rFonts w:ascii="Times New Roman" w:hAnsi="Times New Roman" w:eastAsia="宋体" w:cs="Times New Roman"/>
                <w:szCs w:val="20"/>
              </w:rPr>
              <w:t>、诊疗室、检验室、手术室</w:t>
            </w:r>
            <w:r>
              <w:rPr>
                <w:rFonts w:hint="eastAsia" w:ascii="Times New Roman" w:hAnsi="Times New Roman" w:eastAsia="宋体" w:cs="Times New Roman"/>
                <w:szCs w:val="20"/>
              </w:rPr>
              <w:t>等产生</w:t>
            </w:r>
            <w:r>
              <w:rPr>
                <w:rFonts w:ascii="Times New Roman" w:hAnsi="Times New Roman" w:eastAsia="宋体" w:cs="Times New Roman"/>
                <w:szCs w:val="20"/>
              </w:rPr>
              <w:t>的医疗废水</w:t>
            </w:r>
            <w:r>
              <w:rPr>
                <w:rFonts w:hint="eastAsia" w:ascii="Times New Roman" w:hAnsi="Times New Roman" w:eastAsia="宋体" w:cs="Times New Roman"/>
                <w:szCs w:val="20"/>
              </w:rPr>
              <w:t>以及患者</w:t>
            </w:r>
            <w:r>
              <w:rPr>
                <w:rFonts w:ascii="Times New Roman" w:hAnsi="Times New Roman" w:eastAsia="宋体" w:cs="Times New Roman"/>
                <w:szCs w:val="20"/>
              </w:rPr>
              <w:t>、医护人员产生的</w:t>
            </w:r>
            <w:r>
              <w:rPr>
                <w:rFonts w:hint="eastAsia" w:ascii="Times New Roman" w:hAnsi="Times New Roman" w:eastAsia="宋体" w:cs="Times New Roman"/>
                <w:szCs w:val="20"/>
              </w:rPr>
              <w:t>冲厕</w:t>
            </w:r>
            <w:r>
              <w:rPr>
                <w:rFonts w:ascii="Times New Roman" w:hAnsi="Times New Roman" w:eastAsia="宋体" w:cs="Times New Roman"/>
                <w:szCs w:val="20"/>
              </w:rPr>
              <w:t>、盥洗废水</w:t>
            </w:r>
            <w:r>
              <w:rPr>
                <w:rFonts w:hint="eastAsia" w:ascii="Times New Roman" w:hAnsi="Times New Roman" w:eastAsia="宋体" w:cs="Times New Roman"/>
                <w:szCs w:val="20"/>
              </w:rPr>
              <w:t>等</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COD</w:t>
            </w:r>
            <w:r>
              <w:rPr>
                <w:rFonts w:ascii="Times New Roman" w:hAnsi="Times New Roman" w:eastAsia="宋体" w:cs="Times New Roman"/>
                <w:szCs w:val="20"/>
                <w:vertAlign w:val="subscript"/>
              </w:rPr>
              <w:t>Cr</w:t>
            </w:r>
            <w:r>
              <w:rPr>
                <w:rFonts w:ascii="Times New Roman" w:hAnsi="Times New Roman" w:eastAsia="宋体" w:cs="Times New Roman"/>
                <w:szCs w:val="20"/>
              </w:rPr>
              <w:t>、BOD</w:t>
            </w:r>
            <w:r>
              <w:rPr>
                <w:rFonts w:ascii="Times New Roman" w:hAnsi="Times New Roman" w:eastAsia="宋体" w:cs="Times New Roman"/>
                <w:szCs w:val="20"/>
                <w:vertAlign w:val="subscript"/>
              </w:rPr>
              <w:t>5</w:t>
            </w:r>
            <w:r>
              <w:rPr>
                <w:rFonts w:ascii="Times New Roman" w:hAnsi="Times New Roman" w:eastAsia="宋体" w:cs="Times New Roman"/>
                <w:szCs w:val="20"/>
              </w:rPr>
              <w:t>、SS、氨氮、</w:t>
            </w:r>
          </w:p>
          <w:p>
            <w:pPr>
              <w:adjustRightInd w:val="0"/>
              <w:snapToGrid w:val="0"/>
              <w:jc w:val="center"/>
              <w:rPr>
                <w:rFonts w:ascii="Times New Roman" w:hAnsi="Times New Roman" w:eastAsia="宋体" w:cs="Times New Roman"/>
                <w:szCs w:val="20"/>
              </w:rPr>
            </w:pPr>
            <w:r>
              <w:rPr>
                <w:rFonts w:ascii="Times New Roman" w:hAnsi="Times New Roman" w:eastAsia="宋体" w:cs="Times New Roman"/>
                <w:szCs w:val="20"/>
              </w:rPr>
              <w:t>粪大肠菌群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食堂</w:t>
            </w:r>
            <w:r>
              <w:rPr>
                <w:rFonts w:ascii="Times New Roman" w:hAnsi="Times New Roman" w:eastAsia="宋体" w:cs="Times New Roman"/>
                <w:szCs w:val="20"/>
              </w:rPr>
              <w:t>废水</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COD</w:t>
            </w:r>
            <w:r>
              <w:rPr>
                <w:rFonts w:ascii="Times New Roman" w:hAnsi="Times New Roman" w:eastAsia="宋体" w:cs="Times New Roman"/>
                <w:szCs w:val="20"/>
                <w:vertAlign w:val="subscript"/>
              </w:rPr>
              <w:t>Cr</w:t>
            </w:r>
            <w:r>
              <w:rPr>
                <w:rFonts w:ascii="Times New Roman" w:hAnsi="Times New Roman" w:eastAsia="宋体" w:cs="Times New Roman"/>
                <w:szCs w:val="20"/>
              </w:rPr>
              <w:t>、BOD</w:t>
            </w:r>
            <w:r>
              <w:rPr>
                <w:rFonts w:ascii="Times New Roman" w:hAnsi="Times New Roman" w:eastAsia="宋体" w:cs="Times New Roman"/>
                <w:szCs w:val="20"/>
                <w:vertAlign w:val="subscript"/>
              </w:rPr>
              <w:t>5</w:t>
            </w:r>
            <w:r>
              <w:rPr>
                <w:rFonts w:ascii="Times New Roman" w:hAnsi="Times New Roman" w:eastAsia="宋体" w:cs="Times New Roman"/>
                <w:szCs w:val="20"/>
              </w:rPr>
              <w:t>、SS、氨氮、</w:t>
            </w:r>
          </w:p>
          <w:p>
            <w:pPr>
              <w:jc w:val="center"/>
              <w:rPr>
                <w:rFonts w:ascii="Times New Roman" w:hAnsi="Times New Roman" w:eastAsia="宋体" w:cs="Times New Roman"/>
                <w:szCs w:val="20"/>
              </w:rPr>
            </w:pPr>
            <w:r>
              <w:rPr>
                <w:rFonts w:hint="eastAsia" w:ascii="Times New Roman" w:hAnsi="Times New Roman" w:eastAsia="宋体" w:cs="Times New Roman"/>
                <w:szCs w:val="20"/>
              </w:rPr>
              <w:t>动植物油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trPr>
        <w:tc>
          <w:tcPr>
            <w:tcW w:w="694" w:type="dxa"/>
            <w:vMerge w:val="continue"/>
            <w:vAlign w:val="center"/>
          </w:tcPr>
          <w:p>
            <w:pPr>
              <w:jc w:val="center"/>
              <w:rPr>
                <w:rFonts w:ascii="Times New Roman" w:hAnsi="Times New Roman" w:eastAsia="宋体" w:cs="Times New Roman"/>
                <w:szCs w:val="20"/>
              </w:rPr>
            </w:pPr>
          </w:p>
        </w:tc>
        <w:tc>
          <w:tcPr>
            <w:tcW w:w="851"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噪声</w:t>
            </w: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锅炉水泵</w:t>
            </w:r>
            <w:r>
              <w:rPr>
                <w:rFonts w:ascii="Times New Roman" w:hAnsi="Times New Roman" w:eastAsia="宋体" w:cs="Times New Roman"/>
                <w:szCs w:val="20"/>
              </w:rPr>
              <w:t>、风机</w:t>
            </w:r>
            <w:r>
              <w:rPr>
                <w:rFonts w:hint="eastAsia" w:ascii="Times New Roman" w:hAnsi="Times New Roman" w:eastAsia="宋体" w:cs="Times New Roman"/>
                <w:szCs w:val="20"/>
              </w:rPr>
              <w:t>，</w:t>
            </w:r>
            <w:r>
              <w:rPr>
                <w:rFonts w:ascii="Times New Roman" w:hAnsi="Times New Roman" w:eastAsia="宋体" w:cs="Times New Roman"/>
                <w:szCs w:val="20"/>
              </w:rPr>
              <w:t>污水处理站水泵、</w:t>
            </w:r>
            <w:r>
              <w:rPr>
                <w:rFonts w:hint="eastAsia" w:ascii="Times New Roman" w:hAnsi="Times New Roman" w:eastAsia="宋体" w:cs="Times New Roman"/>
                <w:szCs w:val="20"/>
              </w:rPr>
              <w:t>风机，</w:t>
            </w:r>
            <w:r>
              <w:rPr>
                <w:rFonts w:ascii="Times New Roman" w:hAnsi="Times New Roman" w:eastAsia="宋体" w:cs="Times New Roman"/>
                <w:szCs w:val="20"/>
              </w:rPr>
              <w:t>食堂油烟净化风机及备用发电机</w:t>
            </w:r>
            <w:r>
              <w:rPr>
                <w:rFonts w:hint="eastAsia" w:ascii="Times New Roman" w:hAnsi="Times New Roman" w:eastAsia="宋体" w:cs="Times New Roman"/>
                <w:szCs w:val="20"/>
              </w:rPr>
              <w:t>等</w:t>
            </w:r>
            <w:r>
              <w:rPr>
                <w:rFonts w:ascii="Times New Roman" w:hAnsi="Times New Roman" w:eastAsia="宋体" w:cs="Times New Roman"/>
                <w:szCs w:val="20"/>
              </w:rPr>
              <w:t>设备噪声</w:t>
            </w:r>
            <w:r>
              <w:rPr>
                <w:rFonts w:hint="eastAsia" w:ascii="Times New Roman" w:hAnsi="Times New Roman" w:eastAsia="宋体" w:cs="Times New Roman"/>
                <w:szCs w:val="20"/>
              </w:rPr>
              <w:t>，</w:t>
            </w:r>
            <w:r>
              <w:rPr>
                <w:rFonts w:ascii="Times New Roman" w:hAnsi="Times New Roman" w:eastAsia="宋体" w:cs="Times New Roman"/>
                <w:szCs w:val="20"/>
              </w:rPr>
              <w:t>人群活动</w:t>
            </w:r>
            <w:r>
              <w:rPr>
                <w:rFonts w:hint="eastAsia" w:ascii="Times New Roman" w:hAnsi="Times New Roman" w:eastAsia="宋体" w:cs="Times New Roman"/>
                <w:szCs w:val="20"/>
              </w:rPr>
              <w:t>产生</w:t>
            </w:r>
            <w:r>
              <w:rPr>
                <w:rFonts w:ascii="Times New Roman" w:hAnsi="Times New Roman" w:eastAsia="宋体" w:cs="Times New Roman"/>
                <w:szCs w:val="20"/>
              </w:rPr>
              <w:t>的社会噪声和</w:t>
            </w:r>
            <w:r>
              <w:rPr>
                <w:rFonts w:hint="eastAsia" w:ascii="Times New Roman" w:hAnsi="Times New Roman" w:eastAsia="宋体" w:cs="Times New Roman"/>
                <w:szCs w:val="20"/>
              </w:rPr>
              <w:t>进出</w:t>
            </w:r>
            <w:r>
              <w:rPr>
                <w:rFonts w:ascii="Times New Roman" w:hAnsi="Times New Roman" w:eastAsia="宋体" w:cs="Times New Roman"/>
                <w:szCs w:val="20"/>
              </w:rPr>
              <w:t>车辆噪声</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napToGrid w:val="0"/>
                <w:szCs w:val="21"/>
              </w:rPr>
              <w:t>Leq[dB(A)]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restart"/>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固废</w:t>
            </w: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发烧门诊、诊疗室、检验室、手术室、病房</w:t>
            </w:r>
            <w:r>
              <w:rPr>
                <w:rFonts w:hint="eastAsia" w:ascii="Times New Roman" w:hAnsi="Times New Roman" w:eastAsia="宋体" w:cs="Times New Roman"/>
                <w:szCs w:val="20"/>
              </w:rPr>
              <w:t>等诊疗</w:t>
            </w:r>
            <w:r>
              <w:rPr>
                <w:rFonts w:ascii="Times New Roman" w:hAnsi="Times New Roman" w:eastAsia="宋体" w:cs="Times New Roman"/>
                <w:szCs w:val="20"/>
              </w:rPr>
              <w:t>过程</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医疗废物</w:t>
            </w:r>
            <w:r>
              <w:rPr>
                <w:rFonts w:hint="eastAsia" w:ascii="Times New Roman" w:hAnsi="Times New Roman" w:eastAsia="宋体" w:cs="Times New Roman"/>
                <w:szCs w:val="20"/>
              </w:rPr>
              <w:t>、</w:t>
            </w:r>
            <w:r>
              <w:rPr>
                <w:rFonts w:ascii="Times New Roman" w:hAnsi="Times New Roman" w:eastAsia="宋体" w:cs="Times New Roman"/>
                <w:szCs w:val="20"/>
              </w:rPr>
              <w:t>废包装物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污水处理设施等</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污泥</w:t>
            </w:r>
            <w:r>
              <w:rPr>
                <w:rFonts w:hint="eastAsia" w:ascii="Times New Roman" w:hAnsi="Times New Roman" w:eastAsia="宋体" w:cs="Times New Roman"/>
                <w:szCs w:val="20"/>
              </w:rPr>
              <w:t>及</w:t>
            </w:r>
            <w:r>
              <w:rPr>
                <w:rFonts w:ascii="Times New Roman" w:hAnsi="Times New Roman" w:eastAsia="宋体" w:cs="Times New Roman"/>
                <w:szCs w:val="20"/>
              </w:rPr>
              <w:t>栅渣等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门诊、病房、办公区等</w:t>
            </w:r>
            <w:r>
              <w:rPr>
                <w:rFonts w:hint="eastAsia" w:ascii="Times New Roman" w:hAnsi="Times New Roman" w:eastAsia="宋体" w:cs="Times New Roman"/>
                <w:szCs w:val="20"/>
              </w:rPr>
              <w:t>就诊</w:t>
            </w:r>
            <w:r>
              <w:rPr>
                <w:rFonts w:ascii="Times New Roman" w:hAnsi="Times New Roman" w:eastAsia="宋体" w:cs="Times New Roman"/>
                <w:szCs w:val="20"/>
              </w:rPr>
              <w:t>患者和</w:t>
            </w:r>
            <w:r>
              <w:rPr>
                <w:rFonts w:hint="eastAsia" w:ascii="Times New Roman" w:hAnsi="Times New Roman" w:eastAsia="宋体" w:cs="Times New Roman"/>
                <w:szCs w:val="20"/>
              </w:rPr>
              <w:t>行政</w:t>
            </w:r>
            <w:r>
              <w:rPr>
                <w:rFonts w:ascii="Times New Roman" w:hAnsi="Times New Roman" w:eastAsia="宋体" w:cs="Times New Roman"/>
                <w:szCs w:val="20"/>
              </w:rPr>
              <w:t>及</w:t>
            </w:r>
            <w:r>
              <w:rPr>
                <w:rFonts w:hint="eastAsia" w:ascii="Times New Roman" w:hAnsi="Times New Roman" w:eastAsia="宋体" w:cs="Times New Roman"/>
                <w:szCs w:val="20"/>
              </w:rPr>
              <w:t>医护</w:t>
            </w:r>
            <w:r>
              <w:rPr>
                <w:rFonts w:ascii="Times New Roman" w:hAnsi="Times New Roman" w:eastAsia="宋体" w:cs="Times New Roman"/>
                <w:szCs w:val="20"/>
              </w:rPr>
              <w:t>人员</w:t>
            </w:r>
          </w:p>
        </w:tc>
        <w:tc>
          <w:tcPr>
            <w:tcW w:w="2834"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食堂</w:t>
            </w:r>
            <w:r>
              <w:rPr>
                <w:rFonts w:ascii="Times New Roman" w:hAnsi="Times New Roman" w:eastAsia="宋体" w:cs="Times New Roman"/>
                <w:szCs w:val="20"/>
              </w:rPr>
              <w:t>及隔油设备</w:t>
            </w:r>
          </w:p>
        </w:tc>
        <w:tc>
          <w:tcPr>
            <w:tcW w:w="28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废油脂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ascii="Times New Roman" w:hAnsi="Times New Roman" w:eastAsia="宋体" w:cs="Times New Roman"/>
                <w:szCs w:val="20"/>
              </w:rPr>
              <w:t>病房、煎药房</w:t>
            </w:r>
          </w:p>
        </w:tc>
        <w:tc>
          <w:tcPr>
            <w:tcW w:w="28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中药药渣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atLeast"/>
        </w:trPr>
        <w:tc>
          <w:tcPr>
            <w:tcW w:w="694" w:type="dxa"/>
            <w:vMerge w:val="continue"/>
            <w:vAlign w:val="center"/>
          </w:tcPr>
          <w:p>
            <w:pPr>
              <w:jc w:val="center"/>
              <w:rPr>
                <w:rFonts w:ascii="Times New Roman" w:hAnsi="Times New Roman" w:eastAsia="宋体" w:cs="Times New Roman"/>
                <w:szCs w:val="20"/>
              </w:rPr>
            </w:pPr>
          </w:p>
        </w:tc>
        <w:tc>
          <w:tcPr>
            <w:tcW w:w="851" w:type="dxa"/>
            <w:vMerge w:val="continue"/>
            <w:vAlign w:val="center"/>
          </w:tcPr>
          <w:p>
            <w:pPr>
              <w:jc w:val="center"/>
              <w:rPr>
                <w:rFonts w:ascii="Times New Roman" w:hAnsi="Times New Roman" w:eastAsia="宋体" w:cs="Times New Roman"/>
                <w:szCs w:val="20"/>
              </w:rPr>
            </w:pPr>
          </w:p>
        </w:tc>
        <w:tc>
          <w:tcPr>
            <w:tcW w:w="4612"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锅炉房</w:t>
            </w:r>
            <w:r>
              <w:rPr>
                <w:rFonts w:ascii="Times New Roman" w:hAnsi="Times New Roman" w:eastAsia="宋体" w:cs="Times New Roman"/>
                <w:szCs w:val="20"/>
              </w:rPr>
              <w:t>软水制备</w:t>
            </w:r>
          </w:p>
        </w:tc>
        <w:tc>
          <w:tcPr>
            <w:tcW w:w="2834" w:type="dxa"/>
            <w:vAlign w:val="center"/>
          </w:tcPr>
          <w:p>
            <w:pPr>
              <w:jc w:val="center"/>
              <w:rPr>
                <w:rFonts w:ascii="Times New Roman" w:hAnsi="Times New Roman" w:eastAsia="宋体" w:cs="Times New Roman"/>
                <w:szCs w:val="20"/>
              </w:rPr>
            </w:pPr>
            <w:r>
              <w:rPr>
                <w:rFonts w:hint="eastAsia" w:ascii="Times New Roman" w:hAnsi="Times New Roman" w:eastAsia="宋体" w:cs="Times New Roman"/>
                <w:szCs w:val="20"/>
              </w:rPr>
              <w:t>废离子</w:t>
            </w:r>
            <w:r>
              <w:rPr>
                <w:rFonts w:ascii="Times New Roman" w:hAnsi="Times New Roman" w:eastAsia="宋体" w:cs="Times New Roman"/>
                <w:szCs w:val="20"/>
              </w:rPr>
              <w:t>交换树脂</w:t>
            </w:r>
          </w:p>
        </w:tc>
      </w:tr>
    </w:tbl>
    <w:p>
      <w:pPr>
        <w:pStyle w:val="4"/>
      </w:pPr>
      <w:r>
        <w:rPr>
          <w:rFonts w:hint="eastAsia"/>
        </w:rPr>
        <w:t>生态影响</w:t>
      </w:r>
      <w:r>
        <w:t>因素分析</w:t>
      </w:r>
    </w:p>
    <w:p>
      <w:pPr>
        <w:pStyle w:val="40"/>
        <w:ind w:firstLine="480"/>
        <w:rPr>
          <w:highlight w:val="yellow"/>
        </w:rPr>
      </w:pPr>
      <w:r>
        <w:rPr>
          <w:rFonts w:hint="eastAsia"/>
        </w:rPr>
        <w:t>项目拟用地面积约</w:t>
      </w:r>
      <w:r>
        <w:t>46666.67m</w:t>
      </w:r>
      <w:r>
        <w:rPr>
          <w:vertAlign w:val="superscript"/>
        </w:rPr>
        <w:t>2</w:t>
      </w:r>
      <w:r>
        <w:rPr>
          <w:rFonts w:hint="eastAsia"/>
        </w:rPr>
        <w:t>，用地现状除现存原安康仁济医院主体框架建设完成的8F建筑外，其余部分为空地。根据现场调查，项目所在地附近没有珍稀野生动植物，区域地表覆盖原有丰富的草本植物，不涉及基本农田。项目施工造成部分植被被损坏，对周围生态系统造成了一定程度的损坏。项目生态影响主要是改变土地利用格局、影响局部植被、产生一定的水土流失，项目运营后，场界四周通过加强绿化，辅以乔、灌、草等相结合的形式，相对增加了植被生态系统的多样性。随着绿化种植，施工时的人为干扰消失，一部分外迁动物又会回归，对该地区动物生态系统影响不大。项目建成运营后，场界主要种植高大乔木辅以灌木，场内以灌木草坪为主，对氨和硫化氢有一定的吸收作用，可减轻污水</w:t>
      </w:r>
      <w:r>
        <w:t>处理站</w:t>
      </w:r>
      <w:r>
        <w:rPr>
          <w:rFonts w:hint="eastAsia"/>
        </w:rPr>
        <w:t>臭气对大气环境的影响。</w:t>
      </w:r>
    </w:p>
    <w:p>
      <w:pPr>
        <w:pStyle w:val="3"/>
      </w:pPr>
      <w:bookmarkStart w:id="29" w:name="_Toc113260427"/>
      <w:r>
        <w:rPr>
          <w:rFonts w:hint="eastAsia"/>
        </w:rPr>
        <w:t>项目</w:t>
      </w:r>
      <w:r>
        <w:t>污染物源强核算</w:t>
      </w:r>
      <w:bookmarkEnd w:id="29"/>
    </w:p>
    <w:p>
      <w:pPr>
        <w:pStyle w:val="4"/>
      </w:pPr>
      <w:r>
        <w:rPr>
          <w:rFonts w:hint="eastAsia"/>
        </w:rPr>
        <w:t>施工期</w:t>
      </w:r>
      <w:r>
        <w:t>污染物源强核算</w:t>
      </w:r>
    </w:p>
    <w:p>
      <w:pPr>
        <w:pStyle w:val="5"/>
      </w:pPr>
      <w:r>
        <w:rPr>
          <w:rFonts w:hint="eastAsia"/>
        </w:rPr>
        <w:t>施工</w:t>
      </w:r>
      <w:r>
        <w:t>废气</w:t>
      </w:r>
    </w:p>
    <w:p>
      <w:pPr>
        <w:pStyle w:val="40"/>
        <w:ind w:firstLine="480"/>
      </w:pPr>
      <w:r>
        <w:rPr>
          <w:rFonts w:hint="eastAsia"/>
        </w:rPr>
        <w:t>施工期的大气污染物主要是扬尘、汽车尾气。</w:t>
      </w:r>
    </w:p>
    <w:p>
      <w:pPr>
        <w:pStyle w:val="40"/>
        <w:adjustRightInd w:val="0"/>
        <w:snapToGrid w:val="0"/>
        <w:ind w:firstLine="480"/>
      </w:pPr>
      <w:r>
        <w:rPr>
          <w:rFonts w:hint="eastAsia"/>
        </w:rPr>
        <w:t>（1）扬尘</w:t>
      </w:r>
    </w:p>
    <w:p>
      <w:pPr>
        <w:pStyle w:val="40"/>
        <w:adjustRightInd w:val="0"/>
        <w:snapToGrid w:val="0"/>
        <w:ind w:firstLine="480"/>
        <w:rPr>
          <w:highlight w:val="yellow"/>
        </w:rPr>
      </w:pPr>
      <w:r>
        <w:rPr>
          <w:rFonts w:hint="eastAsia"/>
        </w:rPr>
        <w:t>项目施工期医疗综合楼</w:t>
      </w:r>
      <w:r>
        <w:t>、</w:t>
      </w:r>
      <w:r>
        <w:rPr>
          <w:rFonts w:hint="eastAsia"/>
        </w:rPr>
        <w:t>发热</w:t>
      </w:r>
      <w:r>
        <w:t>门诊楼、后勤辅助楼、</w:t>
      </w:r>
      <w:r>
        <w:rPr>
          <w:rFonts w:hint="eastAsia"/>
        </w:rPr>
        <w:t>液氧站</w:t>
      </w:r>
      <w:r>
        <w:t>等建设过程中</w:t>
      </w:r>
      <w:r>
        <w:rPr>
          <w:rFonts w:hint="eastAsia"/>
        </w:rPr>
        <w:t>场地平整，地基开挖、填埋、装运土石方，建筑材料搬运、堆放过程产生的扬尘，施工车辆造成的道路扬尘等属无组织排放。施工期扬尘污染造成大气中TSP值增高，项目所在地恒口示范</w:t>
      </w:r>
      <w:r>
        <w:t>区（</w:t>
      </w:r>
      <w:r>
        <w:rPr>
          <w:rFonts w:hint="eastAsia"/>
        </w:rPr>
        <w:t>试验区</w:t>
      </w:r>
      <w:r>
        <w:t>）</w:t>
      </w:r>
      <w:r>
        <w:rPr>
          <w:rFonts w:hint="eastAsia"/>
        </w:rPr>
        <w:t>全年主导风向为东北风，在干燥大风的季节，弃土堆放及水泥等建筑材料的装卸，可在局部产生扬尘。施工区域周围扬尘浓度大小与源强大小及距离有关，根据类比调查，距离源强中心处（风速小于2m/s）为11.03mg/m</w:t>
      </w:r>
      <w:r>
        <w:rPr>
          <w:rFonts w:hint="eastAsia"/>
          <w:vertAlign w:val="superscript"/>
        </w:rPr>
        <w:t>3</w:t>
      </w:r>
      <w:r>
        <w:rPr>
          <w:rFonts w:hint="eastAsia"/>
        </w:rPr>
        <w:t>，20m处为2.89 mg/m</w:t>
      </w:r>
      <w:r>
        <w:rPr>
          <w:rFonts w:hint="eastAsia"/>
          <w:vertAlign w:val="superscript"/>
        </w:rPr>
        <w:t>3</w:t>
      </w:r>
      <w:r>
        <w:rPr>
          <w:rFonts w:hint="eastAsia"/>
        </w:rPr>
        <w:t>，50m处为1.15 mg/m</w:t>
      </w:r>
      <w:r>
        <w:rPr>
          <w:rFonts w:hint="eastAsia"/>
          <w:vertAlign w:val="superscript"/>
        </w:rPr>
        <w:t>3</w:t>
      </w:r>
      <w:r>
        <w:rPr>
          <w:rFonts w:hint="eastAsia"/>
        </w:rPr>
        <w:t>。在一般气象条件下，扬尘超标的范围大致出现在施工场地</w:t>
      </w:r>
      <w:r>
        <w:t>100</w:t>
      </w:r>
      <w:r>
        <w:rPr>
          <w:rFonts w:hint="eastAsia"/>
        </w:rPr>
        <w:t>m的范围内。</w:t>
      </w:r>
    </w:p>
    <w:p>
      <w:pPr>
        <w:pStyle w:val="40"/>
        <w:adjustRightInd w:val="0"/>
        <w:snapToGrid w:val="0"/>
        <w:ind w:firstLine="480"/>
        <w:rPr>
          <w:rFonts w:cs="Times New Roman"/>
        </w:rPr>
      </w:pPr>
      <w:r>
        <w:rPr>
          <w:rFonts w:hint="eastAsia" w:cs="Times New Roman"/>
        </w:rPr>
        <w:t>（2）汽车废气</w:t>
      </w:r>
    </w:p>
    <w:p>
      <w:pPr>
        <w:pStyle w:val="40"/>
        <w:adjustRightInd w:val="0"/>
        <w:snapToGrid w:val="0"/>
        <w:ind w:firstLine="480"/>
        <w:rPr>
          <w:rFonts w:cs="Times New Roman"/>
        </w:rPr>
      </w:pPr>
      <w:r>
        <w:rPr>
          <w:rFonts w:hint="eastAsia" w:cs="Times New Roman"/>
        </w:rPr>
        <w:t>废气主要来自施工机械排放的废气、各种运输车辆排放的汽车尾气，主要污染物为NOx、CO及CH化合物等。</w:t>
      </w:r>
    </w:p>
    <w:p>
      <w:pPr>
        <w:pStyle w:val="5"/>
      </w:pPr>
      <w:r>
        <w:rPr>
          <w:rFonts w:hint="eastAsia"/>
        </w:rPr>
        <w:t>施工废水</w:t>
      </w:r>
    </w:p>
    <w:p>
      <w:pPr>
        <w:pStyle w:val="40"/>
        <w:ind w:firstLine="480"/>
      </w:pPr>
      <w:r>
        <w:rPr>
          <w:rFonts w:hint="eastAsia"/>
        </w:rPr>
        <w:t>施工期的废水主要为生产废水和生活污水。</w:t>
      </w:r>
    </w:p>
    <w:p>
      <w:pPr>
        <w:pStyle w:val="40"/>
        <w:ind w:firstLine="480"/>
      </w:pPr>
      <w:r>
        <w:rPr>
          <w:rFonts w:hint="eastAsia"/>
        </w:rPr>
        <w:t>生产废水主要包括施工阶段混凝土养护排水及各种运输建材车辆冲洗水。生产废水产生量较小，主要污染物为化学需氧量、SS、石油类等，在施工场地设置沉淀池沉淀处理后回用。</w:t>
      </w:r>
    </w:p>
    <w:p>
      <w:pPr>
        <w:pStyle w:val="40"/>
        <w:ind w:firstLine="480"/>
      </w:pPr>
      <w:r>
        <w:rPr>
          <w:rFonts w:hint="eastAsia"/>
        </w:rPr>
        <w:t>项目施工期不设施工营地，施工人员生活用水量按每人每天35L计，污水产出系数0.85，施工人员高峰时按每日用工</w:t>
      </w:r>
      <w:r>
        <w:t>30</w:t>
      </w:r>
      <w:r>
        <w:rPr>
          <w:rFonts w:hint="eastAsia"/>
        </w:rPr>
        <w:t>人计算，则生活污水量约0.</w:t>
      </w:r>
      <w:r>
        <w:t>90</w:t>
      </w:r>
      <w:r>
        <w:rPr>
          <w:rFonts w:hint="eastAsia"/>
        </w:rPr>
        <w:t>m</w:t>
      </w:r>
      <w:r>
        <w:rPr>
          <w:rFonts w:hint="eastAsia"/>
          <w:vertAlign w:val="superscript"/>
        </w:rPr>
        <w:t>3</w:t>
      </w:r>
      <w:r>
        <w:rPr>
          <w:rFonts w:hint="eastAsia"/>
        </w:rPr>
        <w:t>/d，主要污染物有COD、BOD</w:t>
      </w:r>
      <w:r>
        <w:rPr>
          <w:rFonts w:hint="eastAsia"/>
          <w:vertAlign w:val="subscript"/>
        </w:rPr>
        <w:t>5</w:t>
      </w:r>
      <w:r>
        <w:rPr>
          <w:rFonts w:hint="eastAsia"/>
        </w:rPr>
        <w:t>、SS、NH</w:t>
      </w:r>
      <w:r>
        <w:rPr>
          <w:rFonts w:hint="eastAsia"/>
          <w:vertAlign w:val="subscript"/>
        </w:rPr>
        <w:t>3</w:t>
      </w:r>
      <w:r>
        <w:rPr>
          <w:rFonts w:hint="eastAsia"/>
        </w:rPr>
        <w:t>-N等。施工期生活污水设置旱厕处理，旱厕由附近村民定期清掏不外排。</w:t>
      </w:r>
    </w:p>
    <w:p>
      <w:pPr>
        <w:pStyle w:val="5"/>
      </w:pPr>
      <w:r>
        <w:rPr>
          <w:rFonts w:hint="eastAsia"/>
        </w:rPr>
        <w:t>施工</w:t>
      </w:r>
      <w:r>
        <w:t>噪声</w:t>
      </w:r>
    </w:p>
    <w:p>
      <w:pPr>
        <w:pStyle w:val="40"/>
        <w:ind w:firstLine="480"/>
      </w:pPr>
      <w:r>
        <w:rPr>
          <w:rFonts w:hint="eastAsia"/>
        </w:rPr>
        <w:t>施工期的主要施工噪声源为运输车辆噪声和施工机械噪声，噪声源约为85~90dB（A），施工机械噪声源强见表</w:t>
      </w:r>
      <w:r>
        <w:t>4</w:t>
      </w:r>
      <w:r>
        <w:rPr>
          <w:rFonts w:hint="eastAsia"/>
        </w:rPr>
        <w:t>.</w:t>
      </w:r>
      <w:r>
        <w:t>2-</w:t>
      </w:r>
      <w:r>
        <w:rPr>
          <w:rFonts w:hint="eastAsia"/>
        </w:rPr>
        <w:t>1，施工期运输车辆噪声类型及声级见表</w:t>
      </w:r>
      <w:r>
        <w:t>4</w:t>
      </w:r>
      <w:r>
        <w:rPr>
          <w:rFonts w:hint="eastAsia"/>
        </w:rPr>
        <w:t>.</w:t>
      </w:r>
      <w:r>
        <w:t>2-</w:t>
      </w:r>
      <w:r>
        <w:rPr>
          <w:rFonts w:hint="eastAsia"/>
        </w:rPr>
        <w:t>2。</w:t>
      </w:r>
    </w:p>
    <w:p>
      <w:pPr>
        <w:pStyle w:val="22"/>
      </w:pPr>
      <w:bookmarkStart w:id="30" w:name="_Ref25682435"/>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30"/>
      <w:r>
        <w:t xml:space="preserve">  </w:t>
      </w:r>
      <w:r>
        <w:rPr>
          <w:rFonts w:hint="eastAsia"/>
        </w:rPr>
        <w:t>施工机械设备噪声源强</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2576"/>
        <w:gridCol w:w="2218"/>
        <w:gridCol w:w="2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58" w:type="dxa"/>
            <w:tcBorders>
              <w:top w:val="single" w:color="auto" w:sz="12" w:space="0"/>
              <w:left w:val="single" w:color="auto" w:sz="12"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施工机械类型</w:t>
            </w:r>
          </w:p>
        </w:tc>
        <w:tc>
          <w:tcPr>
            <w:tcW w:w="257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声源特征</w:t>
            </w:r>
          </w:p>
        </w:tc>
        <w:tc>
          <w:tcPr>
            <w:tcW w:w="221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距离噪声源距离</w:t>
            </w:r>
            <w:r>
              <w:rPr>
                <w:rFonts w:ascii="Times New Roman" w:hAnsi="Times New Roman" w:eastAsia="宋体" w:cs="Times New Roman"/>
                <w:kern w:val="0"/>
                <w:szCs w:val="20"/>
              </w:rPr>
              <w:t>(m)</w:t>
            </w:r>
          </w:p>
        </w:tc>
        <w:tc>
          <w:tcPr>
            <w:tcW w:w="2218" w:type="dxa"/>
            <w:tcBorders>
              <w:top w:val="single" w:color="auto" w:sz="12" w:space="0"/>
              <w:left w:val="single" w:color="auto" w:sz="4" w:space="0"/>
              <w:bottom w:val="single" w:color="auto" w:sz="4"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源强</w:t>
            </w:r>
            <w:r>
              <w:rPr>
                <w:rFonts w:ascii="Times New Roman" w:hAnsi="Times New Roman" w:eastAsia="宋体" w:cs="Times New Roman"/>
                <w:kern w:val="0"/>
                <w:szCs w:val="20"/>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58"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翻斗机</w:t>
            </w:r>
          </w:p>
        </w:tc>
        <w:tc>
          <w:tcPr>
            <w:tcW w:w="25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不稳定源</w:t>
            </w:r>
          </w:p>
        </w:tc>
        <w:tc>
          <w:tcPr>
            <w:tcW w:w="22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3</w:t>
            </w:r>
          </w:p>
        </w:tc>
        <w:tc>
          <w:tcPr>
            <w:tcW w:w="221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83</w:t>
            </w:r>
            <w:r>
              <w:rPr>
                <w:rFonts w:hint="eastAsia" w:ascii="Times New Roman" w:hAnsi="Times New Roman" w:eastAsia="宋体" w:cs="Times New Roman"/>
                <w:szCs w:val="20"/>
              </w:rPr>
              <w:t>～</w:t>
            </w:r>
            <w:r>
              <w:rPr>
                <w:rFonts w:ascii="Times New Roman" w:hAnsi="Times New Roman" w:eastAsia="宋体" w:cs="Times New Roman"/>
                <w:szCs w:val="20"/>
              </w:rPr>
              <w:t>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58"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推土机</w:t>
            </w:r>
          </w:p>
        </w:tc>
        <w:tc>
          <w:tcPr>
            <w:tcW w:w="25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不稳定源</w:t>
            </w:r>
          </w:p>
        </w:tc>
        <w:tc>
          <w:tcPr>
            <w:tcW w:w="22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5</w:t>
            </w:r>
          </w:p>
        </w:tc>
        <w:tc>
          <w:tcPr>
            <w:tcW w:w="221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858"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装载机</w:t>
            </w:r>
          </w:p>
        </w:tc>
        <w:tc>
          <w:tcPr>
            <w:tcW w:w="257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不稳定源</w:t>
            </w:r>
          </w:p>
        </w:tc>
        <w:tc>
          <w:tcPr>
            <w:tcW w:w="221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5</w:t>
            </w:r>
          </w:p>
        </w:tc>
        <w:tc>
          <w:tcPr>
            <w:tcW w:w="2218" w:type="dxa"/>
            <w:tcBorders>
              <w:top w:val="single" w:color="auto" w:sz="4" w:space="0"/>
              <w:left w:val="single" w:color="auto" w:sz="4" w:space="0"/>
              <w:bottom w:val="single" w:color="auto" w:sz="4"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trPr>
        <w:tc>
          <w:tcPr>
            <w:tcW w:w="1858"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挖掘机</w:t>
            </w:r>
          </w:p>
        </w:tc>
        <w:tc>
          <w:tcPr>
            <w:tcW w:w="2576"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不稳定源</w:t>
            </w:r>
          </w:p>
        </w:tc>
        <w:tc>
          <w:tcPr>
            <w:tcW w:w="2218"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5</w:t>
            </w:r>
          </w:p>
        </w:tc>
        <w:tc>
          <w:tcPr>
            <w:tcW w:w="2218" w:type="dxa"/>
            <w:tcBorders>
              <w:top w:val="single" w:color="auto" w:sz="4" w:space="0"/>
              <w:left w:val="single" w:color="auto" w:sz="4" w:space="0"/>
              <w:bottom w:val="single" w:color="auto" w:sz="12" w:space="0"/>
              <w:right w:val="single" w:color="auto" w:sz="12" w:space="0"/>
            </w:tcBorders>
            <w:vAlign w:val="center"/>
          </w:tcPr>
          <w:p>
            <w:pPr>
              <w:autoSpaceDE w:val="0"/>
              <w:autoSpaceDN w:val="0"/>
              <w:adjustRightInd w:val="0"/>
              <w:jc w:val="center"/>
              <w:textAlignment w:val="bottom"/>
              <w:rPr>
                <w:rFonts w:ascii="Times New Roman" w:hAnsi="Times New Roman" w:eastAsia="宋体" w:cs="Times New Roman"/>
                <w:szCs w:val="20"/>
              </w:rPr>
            </w:pPr>
            <w:r>
              <w:rPr>
                <w:rFonts w:ascii="Times New Roman" w:hAnsi="Times New Roman" w:eastAsia="宋体" w:cs="Times New Roman"/>
                <w:szCs w:val="20"/>
              </w:rPr>
              <w:t>85</w:t>
            </w:r>
          </w:p>
        </w:tc>
      </w:tr>
    </w:tbl>
    <w:p>
      <w:pPr>
        <w:pStyle w:val="22"/>
      </w:pPr>
      <w:bookmarkStart w:id="31" w:name="_Ref25682455"/>
      <w:bookmarkStart w:id="32" w:name="_Ref37158814"/>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4.2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31"/>
      <w:bookmarkEnd w:id="32"/>
      <w:r>
        <w:t xml:space="preserve">  </w:t>
      </w:r>
      <w:r>
        <w:rPr>
          <w:rFonts w:hint="eastAsia" w:hAnsi="Calibri"/>
        </w:rPr>
        <w:t>施工期运输车辆声级</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05"/>
        <w:gridCol w:w="3928"/>
        <w:gridCol w:w="2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车辆类型</w:t>
            </w:r>
          </w:p>
        </w:tc>
        <w:tc>
          <w:tcPr>
            <w:tcW w:w="39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运输内容</w:t>
            </w:r>
          </w:p>
        </w:tc>
        <w:tc>
          <w:tcPr>
            <w:tcW w:w="203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声级</w:t>
            </w:r>
            <w:r>
              <w:rPr>
                <w:rFonts w:ascii="Times New Roman" w:hAnsi="Times New Roman" w:eastAsia="宋体" w:cs="Times New Roman"/>
                <w:kern w:val="0"/>
                <w:szCs w:val="20"/>
              </w:rPr>
              <w:t>/ dB</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A</w:t>
            </w:r>
            <w:r>
              <w:rPr>
                <w:rFonts w:hint="eastAsia" w:ascii="Times New Roman" w:hAnsi="Times New Roman" w:eastAsia="宋体" w:cs="Times New Roman"/>
                <w:kern w:val="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大型载重机</w:t>
            </w:r>
          </w:p>
        </w:tc>
        <w:tc>
          <w:tcPr>
            <w:tcW w:w="39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材料运输</w:t>
            </w:r>
          </w:p>
        </w:tc>
        <w:tc>
          <w:tcPr>
            <w:tcW w:w="203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80</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轻型载重卡车</w:t>
            </w:r>
          </w:p>
        </w:tc>
        <w:tc>
          <w:tcPr>
            <w:tcW w:w="39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各种设备</w:t>
            </w:r>
          </w:p>
        </w:tc>
        <w:tc>
          <w:tcPr>
            <w:tcW w:w="203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75</w:t>
            </w:r>
          </w:p>
        </w:tc>
      </w:tr>
    </w:tbl>
    <w:p>
      <w:pPr>
        <w:pStyle w:val="5"/>
      </w:pPr>
      <w:r>
        <w:rPr>
          <w:rFonts w:hint="eastAsia"/>
        </w:rPr>
        <w:t>施工</w:t>
      </w:r>
      <w:r>
        <w:t>固废</w:t>
      </w:r>
    </w:p>
    <w:p>
      <w:pPr>
        <w:pStyle w:val="40"/>
        <w:ind w:firstLine="480"/>
      </w:pPr>
      <w:r>
        <w:rPr>
          <w:rFonts w:hint="eastAsia"/>
        </w:rPr>
        <w:t>施工期固废主要为施工人员产生的生活垃圾、建筑垃圾。</w:t>
      </w:r>
    </w:p>
    <w:p>
      <w:pPr>
        <w:pStyle w:val="40"/>
        <w:ind w:firstLine="480"/>
      </w:pPr>
      <w:r>
        <w:rPr>
          <w:rFonts w:hint="eastAsia"/>
        </w:rPr>
        <w:t>（1）建筑垃圾</w:t>
      </w:r>
    </w:p>
    <w:p>
      <w:pPr>
        <w:pStyle w:val="40"/>
        <w:ind w:firstLine="480"/>
      </w:pPr>
      <w:r>
        <w:rPr>
          <w:rFonts w:hint="eastAsia"/>
        </w:rPr>
        <w:t>根据建设单位提供资料及现场勘查，项目场地平整过程中填方和挖方基本平衡，无弃土产生。</w:t>
      </w:r>
    </w:p>
    <w:p>
      <w:pPr>
        <w:pStyle w:val="40"/>
        <w:ind w:firstLine="480"/>
      </w:pPr>
      <w:r>
        <w:rPr>
          <w:rFonts w:hint="eastAsia"/>
        </w:rPr>
        <w:t>施工建设期建筑垃圾产生量采用建筑面积发展预测法进行计算。</w:t>
      </w:r>
    </w:p>
    <w:p>
      <w:pPr>
        <w:adjustRightInd w:val="0"/>
        <w:snapToGrid w:val="0"/>
        <w:spacing w:line="360" w:lineRule="auto"/>
        <w:ind w:firstLine="480" w:firstLineChars="200"/>
        <w:rPr>
          <w:rFonts w:ascii="Times New Roman" w:hAnsi="Times New Roman" w:eastAsia="宋体" w:cs="Times New Roman"/>
          <w:sz w:val="24"/>
        </w:rPr>
      </w:pPr>
      <m:oMathPara>
        <m:oMath>
          <m:r>
            <m:rPr>
              <m:sty m:val="p"/>
            </m:rPr>
            <w:rPr>
              <w:rFonts w:ascii="Cambria Math" w:hAnsi="Cambria Math" w:eastAsia="宋体" w:cs="Times New Roman"/>
              <w:sz w:val="24"/>
            </w:rPr>
            <m:t>Js=</m:t>
          </m:r>
          <m:sSub>
            <m:sSubPr>
              <m:ctrlPr>
                <w:rPr>
                  <w:rFonts w:ascii="Cambria Math" w:hAnsi="Cambria Math" w:eastAsia="宋体" w:cs="Times New Roman"/>
                  <w:sz w:val="24"/>
                </w:rPr>
              </m:ctrlPr>
            </m:sSubPr>
            <m:e>
              <m:r>
                <w:rPr>
                  <w:rFonts w:ascii="Cambria Math" w:hAnsi="Cambria Math" w:eastAsia="宋体" w:cs="Times New Roman"/>
                  <w:sz w:val="24"/>
                </w:rPr>
                <m:t>Q</m:t>
              </m:r>
              <m:ctrlPr>
                <w:rPr>
                  <w:rFonts w:ascii="Cambria Math" w:hAnsi="Cambria Math" w:eastAsia="宋体" w:cs="Times New Roman"/>
                  <w:sz w:val="24"/>
                </w:rPr>
              </m:ctrlPr>
            </m:e>
            <m:sub>
              <m:r>
                <w:rPr>
                  <w:rFonts w:ascii="Cambria Math" w:hAnsi="Cambria Math" w:eastAsia="宋体" w:cs="Times New Roman"/>
                  <w:sz w:val="24"/>
                </w:rPr>
                <m:t>s</m:t>
              </m:r>
              <m:ctrlPr>
                <w:rPr>
                  <w:rFonts w:ascii="Cambria Math" w:hAnsi="Cambria Math" w:eastAsia="宋体" w:cs="Times New Roman"/>
                  <w:sz w:val="24"/>
                </w:rPr>
              </m:ctrlPr>
            </m:sub>
          </m:sSub>
          <m:r>
            <m:rPr>
              <m:sty m:val="p"/>
            </m:rPr>
            <w:rPr>
              <w:rFonts w:ascii="Cambria Math" w:hAnsi="Cambria Math" w:eastAsia="宋体" w:cs="Times New Roman"/>
              <w:sz w:val="24"/>
            </w:rPr>
            <m:t>×</m:t>
          </m:r>
          <m:sSub>
            <m:sSubPr>
              <m:ctrlPr>
                <w:rPr>
                  <w:rFonts w:ascii="Cambria Math" w:hAnsi="Cambria Math" w:eastAsia="宋体" w:cs="Times New Roman"/>
                  <w:sz w:val="24"/>
                </w:rPr>
              </m:ctrlPr>
            </m:sSubPr>
            <m:e>
              <m:r>
                <m:rPr>
                  <m:sty m:val="p"/>
                </m:rPr>
                <w:rPr>
                  <w:rFonts w:ascii="Cambria Math" w:hAnsi="Cambria Math" w:eastAsia="宋体" w:cs="Times New Roman"/>
                  <w:sz w:val="24"/>
                </w:rPr>
                <m:t>C</m:t>
              </m:r>
              <m:ctrlPr>
                <w:rPr>
                  <w:rFonts w:ascii="Cambria Math" w:hAnsi="Cambria Math" w:eastAsia="宋体" w:cs="Times New Roman"/>
                  <w:sz w:val="24"/>
                </w:rPr>
              </m:ctrlPr>
            </m:e>
            <m:sub>
              <m:r>
                <w:rPr>
                  <w:rFonts w:ascii="Cambria Math" w:hAnsi="Cambria Math" w:eastAsia="宋体" w:cs="Times New Roman"/>
                  <w:sz w:val="24"/>
                </w:rPr>
                <m:t>s</m:t>
              </m:r>
              <m:ctrlPr>
                <w:rPr>
                  <w:rFonts w:ascii="Cambria Math" w:hAnsi="Cambria Math" w:eastAsia="宋体" w:cs="Times New Roman"/>
                  <w:sz w:val="24"/>
                </w:rPr>
              </m:ctrlPr>
            </m:sub>
          </m:sSub>
        </m:oMath>
      </m:oMathPara>
    </w:p>
    <w:p>
      <w:pPr>
        <w:pStyle w:val="40"/>
        <w:ind w:firstLine="480"/>
      </w:pPr>
      <w:r>
        <w:rPr>
          <w:rFonts w:hint="eastAsia"/>
        </w:rPr>
        <w:t>式中：Js—年建筑垃圾产生量(t/a)；</w:t>
      </w:r>
    </w:p>
    <w:p>
      <w:pPr>
        <w:pStyle w:val="40"/>
        <w:ind w:firstLine="480"/>
      </w:pPr>
      <w:r>
        <w:rPr>
          <w:rFonts w:hint="eastAsia"/>
        </w:rPr>
        <w:t>Qs—年建筑面积(m</w:t>
      </w:r>
      <w:r>
        <w:rPr>
          <w:rFonts w:hint="eastAsia"/>
          <w:vertAlign w:val="superscript"/>
        </w:rPr>
        <w:t>2</w:t>
      </w:r>
      <w:r>
        <w:rPr>
          <w:rFonts w:hint="eastAsia"/>
        </w:rPr>
        <w:t>/a)；</w:t>
      </w:r>
    </w:p>
    <w:p>
      <w:pPr>
        <w:pStyle w:val="40"/>
        <w:ind w:firstLine="480"/>
      </w:pPr>
      <w:r>
        <w:rPr>
          <w:rFonts w:hint="eastAsia"/>
        </w:rPr>
        <w:t>Cs—年平均每平方米建筑面积建筑垃圾产生量(t/a•m</w:t>
      </w:r>
      <w:r>
        <w:rPr>
          <w:rFonts w:hint="eastAsia"/>
          <w:vertAlign w:val="superscript"/>
        </w:rPr>
        <w:t>2</w:t>
      </w:r>
      <w:r>
        <w:rPr>
          <w:rFonts w:hint="eastAsia"/>
        </w:rPr>
        <w:t>)。</w:t>
      </w:r>
    </w:p>
    <w:p>
      <w:pPr>
        <w:pStyle w:val="40"/>
        <w:ind w:firstLine="480"/>
        <w:rPr>
          <w:highlight w:val="yellow"/>
        </w:rPr>
      </w:pPr>
      <w:r>
        <w:rPr>
          <w:rFonts w:hint="eastAsia"/>
        </w:rPr>
        <w:t>建筑垃圾的产生量与施工水平、管理水平、建筑类型有直接的联系，根据同类工程调查，每平方米建筑面积将产生2～5kg左右的建筑垃圾，本次评价取每平方米建筑面积产生2.0kg建筑垃圾。本项目新建建筑面积</w:t>
      </w:r>
      <w:r>
        <w:t>58300</w:t>
      </w:r>
      <w:r>
        <w:rPr>
          <w:rFonts w:hint="eastAsia"/>
        </w:rPr>
        <w:t>m</w:t>
      </w:r>
      <w:r>
        <w:rPr>
          <w:rFonts w:hint="eastAsia"/>
          <w:vertAlign w:val="superscript"/>
        </w:rPr>
        <w:t>2</w:t>
      </w:r>
      <w:r>
        <w:rPr>
          <w:rFonts w:hint="eastAsia"/>
        </w:rPr>
        <w:t>，则整个施工期间项目将产生建筑垃圾约</w:t>
      </w:r>
      <w:r>
        <w:t>116.6</w:t>
      </w:r>
      <w:r>
        <w:rPr>
          <w:rFonts w:hint="eastAsia"/>
        </w:rPr>
        <w:t>t。建筑垃圾需分类收集、集中堆放、及时处置，建筑垃圾按有关规定报地方建设主管部门，并按照当地主管部门规定路线运输。</w:t>
      </w:r>
    </w:p>
    <w:p>
      <w:pPr>
        <w:pStyle w:val="40"/>
        <w:ind w:firstLine="480"/>
      </w:pPr>
      <w:r>
        <w:rPr>
          <w:rFonts w:hint="eastAsia"/>
        </w:rPr>
        <w:t>（2）生活垃圾</w:t>
      </w:r>
    </w:p>
    <w:p>
      <w:pPr>
        <w:pStyle w:val="40"/>
        <w:ind w:firstLine="480"/>
      </w:pPr>
      <w:r>
        <w:rPr>
          <w:rFonts w:hint="eastAsia"/>
        </w:rPr>
        <w:t>施工期间最大施工人数为</w:t>
      </w:r>
      <w:r>
        <w:t>30</w:t>
      </w:r>
      <w:r>
        <w:rPr>
          <w:rFonts w:hint="eastAsia"/>
        </w:rPr>
        <w:t>人/d，产生的生活垃圾按0.3kg/人•d计算，垃圾产生量为</w:t>
      </w:r>
      <w:r>
        <w:t>9.0</w:t>
      </w:r>
      <w:r>
        <w:rPr>
          <w:rFonts w:hint="eastAsia"/>
        </w:rPr>
        <w:t>kg/d，生活垃圾随意堆放将影响周围环境。施工现场应设垃圾桶，将产生的生活垃圾收集，统一交由环卫部门处置。</w:t>
      </w:r>
    </w:p>
    <w:p>
      <w:pPr>
        <w:pStyle w:val="4"/>
      </w:pPr>
      <w:r>
        <w:rPr>
          <w:rFonts w:hint="eastAsia"/>
        </w:rPr>
        <w:t>运营期</w:t>
      </w:r>
      <w:r>
        <w:t>污染物源强核算</w:t>
      </w:r>
    </w:p>
    <w:p>
      <w:pPr>
        <w:pStyle w:val="5"/>
      </w:pPr>
      <w:r>
        <w:rPr>
          <w:rFonts w:hint="eastAsia"/>
        </w:rPr>
        <w:t>废气</w:t>
      </w:r>
      <w:r>
        <w:t>污染源</w:t>
      </w:r>
    </w:p>
    <w:p>
      <w:pPr>
        <w:pStyle w:val="40"/>
        <w:ind w:firstLine="480"/>
      </w:pPr>
      <w:r>
        <w:rPr>
          <w:rFonts w:hint="eastAsia"/>
        </w:rPr>
        <w:t>项目</w:t>
      </w:r>
      <w:r>
        <w:t>运营期的废气</w:t>
      </w:r>
      <w:r>
        <w:rPr>
          <w:rFonts w:hint="eastAsia"/>
        </w:rPr>
        <w:t>主要</w:t>
      </w:r>
      <w:r>
        <w:t>为</w:t>
      </w:r>
      <w:r>
        <w:rPr>
          <w:rFonts w:hint="eastAsia"/>
        </w:rPr>
        <w:t>天然气锅炉废气、污水处理站废气、食堂燃料废气、食堂油烟、停车场废气、备用发电机燃油废气以及</w:t>
      </w:r>
      <w:r>
        <w:t>中药煎药废气</w:t>
      </w:r>
      <w:r>
        <w:rPr>
          <w:rFonts w:hint="eastAsia"/>
        </w:rPr>
        <w:t>等。</w:t>
      </w:r>
    </w:p>
    <w:p>
      <w:pPr>
        <w:pStyle w:val="6"/>
      </w:pPr>
      <w:r>
        <w:rPr>
          <w:rFonts w:hint="eastAsia"/>
        </w:rPr>
        <w:t>天然气锅炉</w:t>
      </w:r>
      <w:r>
        <w:t>废气</w:t>
      </w:r>
    </w:p>
    <w:p>
      <w:pPr>
        <w:pStyle w:val="49"/>
        <w:ind w:firstLine="480"/>
        <w:rPr>
          <w:color w:val="FF0000"/>
        </w:rPr>
      </w:pPr>
      <w:r>
        <w:rPr>
          <w:rFonts w:hint="eastAsia"/>
          <w:color w:val="FF0000"/>
        </w:rPr>
        <w:t>项目设置</w:t>
      </w:r>
      <w:r>
        <w:rPr>
          <w:color w:val="FF0000"/>
        </w:rPr>
        <w:t>2台4</w:t>
      </w:r>
      <w:r>
        <w:rPr>
          <w:rFonts w:hint="eastAsia"/>
          <w:color w:val="FF0000"/>
        </w:rPr>
        <w:t>t</w:t>
      </w:r>
      <w:r>
        <w:rPr>
          <w:color w:val="FF0000"/>
        </w:rPr>
        <w:t>/h</w:t>
      </w:r>
      <w:r>
        <w:rPr>
          <w:rFonts w:hint="eastAsia"/>
          <w:color w:val="FF0000"/>
        </w:rPr>
        <w:t>燃气热水锅炉为医院提供冬季采暖热水；1</w:t>
      </w:r>
      <w:r>
        <w:rPr>
          <w:color w:val="FF0000"/>
        </w:rPr>
        <w:t>台1.5</w:t>
      </w:r>
      <w:r>
        <w:rPr>
          <w:rFonts w:hint="eastAsia"/>
          <w:color w:val="FF0000"/>
        </w:rPr>
        <w:t>t/h燃气热水锅炉为医院</w:t>
      </w:r>
      <w:r>
        <w:rPr>
          <w:color w:val="FF0000"/>
        </w:rPr>
        <w:t>提供</w:t>
      </w:r>
      <w:r>
        <w:rPr>
          <w:rFonts w:hint="eastAsia"/>
          <w:color w:val="FF0000"/>
        </w:rPr>
        <w:t>平时的生活热水，</w:t>
      </w:r>
      <w:r>
        <w:t>共设置</w:t>
      </w:r>
      <w:r>
        <w:rPr>
          <w:rFonts w:hint="eastAsia"/>
        </w:rPr>
        <w:t>锅炉</w:t>
      </w:r>
      <w:r>
        <w:t>3</w:t>
      </w:r>
      <w:r>
        <w:rPr>
          <w:rFonts w:hint="eastAsia"/>
        </w:rPr>
        <w:t>台</w:t>
      </w:r>
      <w:r>
        <w:t>，</w:t>
      </w:r>
      <w:r>
        <w:rPr>
          <w:color w:val="FF0000"/>
        </w:rPr>
        <w:t>天然气用量为135.7</w:t>
      </w:r>
      <w:r>
        <w:rPr>
          <w:rFonts w:hint="eastAsia"/>
          <w:color w:val="FF0000"/>
        </w:rPr>
        <w:t>万</w:t>
      </w:r>
      <w:r>
        <w:rPr>
          <w:color w:val="FF0000"/>
        </w:rPr>
        <w:t>m</w:t>
      </w:r>
      <w:r>
        <w:rPr>
          <w:color w:val="FF0000"/>
          <w:vertAlign w:val="superscript"/>
        </w:rPr>
        <w:t>3</w:t>
      </w:r>
      <w:r>
        <w:rPr>
          <w:color w:val="FF0000"/>
        </w:rPr>
        <w:t>/a</w:t>
      </w:r>
      <w:r>
        <w:rPr>
          <w:rFonts w:hint="eastAsia"/>
          <w:color w:val="FF0000"/>
        </w:rPr>
        <w:t>，采暖热水</w:t>
      </w:r>
      <w:r>
        <w:rPr>
          <w:color w:val="FF0000"/>
        </w:rPr>
        <w:t>锅炉每天运行12h，每年工作120d</w:t>
      </w:r>
      <w:r>
        <w:rPr>
          <w:rFonts w:hint="eastAsia"/>
          <w:color w:val="FF0000"/>
        </w:rPr>
        <w:t>，生活</w:t>
      </w:r>
      <w:r>
        <w:rPr>
          <w:color w:val="FF0000"/>
        </w:rPr>
        <w:t>热水锅炉每天运行12h，每年工作365d。</w:t>
      </w:r>
    </w:p>
    <w:p>
      <w:pPr>
        <w:pStyle w:val="49"/>
        <w:ind w:firstLine="480"/>
      </w:pPr>
      <w:r>
        <w:rPr>
          <w:rFonts w:hint="eastAsia"/>
        </w:rPr>
        <w:t>根据《排放源统计调查产排污核算方法和系数手册》（环保部</w:t>
      </w:r>
      <w:r>
        <w:t>公告2021</w:t>
      </w:r>
      <w:r>
        <w:rPr>
          <w:rFonts w:hint="eastAsia"/>
        </w:rPr>
        <w:t>年</w:t>
      </w:r>
      <w:r>
        <w:t>第</w:t>
      </w:r>
      <w:r>
        <w:rPr>
          <w:rFonts w:hint="eastAsia"/>
        </w:rPr>
        <w:t>24号）、</w:t>
      </w:r>
      <w:r>
        <w:t>《</w:t>
      </w:r>
      <w:r>
        <w:rPr>
          <w:rFonts w:hint="eastAsia"/>
        </w:rPr>
        <w:t>排污许可</w:t>
      </w:r>
      <w:r>
        <w:t>申请与核发技术</w:t>
      </w:r>
      <w:r>
        <w:rPr>
          <w:rFonts w:hint="eastAsia"/>
        </w:rPr>
        <w:t>规范 锅炉</w:t>
      </w:r>
      <w:r>
        <w:t>》</w:t>
      </w:r>
      <w:r>
        <w:rPr>
          <w:rFonts w:hint="eastAsia"/>
        </w:rPr>
        <w:t>（HJ</w:t>
      </w:r>
      <w:r>
        <w:t>953-2018</w:t>
      </w:r>
      <w:r>
        <w:rPr>
          <w:rFonts w:hint="eastAsia"/>
        </w:rPr>
        <w:t>）、锅炉行业污染源源强核算指南、《环境影响评价工程师职业资格登记培训教材社会区域类》（中国环境科学出版社出版）中油、气燃料的污染物排放因子及类比</w:t>
      </w:r>
      <w:r>
        <w:t>分析</w:t>
      </w:r>
      <w:r>
        <w:rPr>
          <w:rFonts w:hint="eastAsia"/>
        </w:rPr>
        <w:t>，每燃1000立方米天然气排放烟尘0.12kg，项目燃天然气锅炉的产排污系数见下表。</w:t>
      </w:r>
    </w:p>
    <w:p>
      <w:pPr>
        <w:pStyle w:val="44"/>
        <w:ind w:firstLine="480"/>
        <w:rPr>
          <w:rFonts w:asciiTheme="majorHAnsi" w:hAnsiTheme="majorHAnsi"/>
          <w:sz w:val="20"/>
          <w:szCs w:val="20"/>
        </w:rPr>
      </w:pPr>
      <w:r>
        <w:rPr>
          <w:rFonts w:hint="eastAsia"/>
        </w:rPr>
        <w:t>表</w:t>
      </w:r>
      <w:r>
        <w:t xml:space="preserve">4.2-3  </w:t>
      </w:r>
      <w:r>
        <w:rPr>
          <w:kern w:val="24"/>
          <w:szCs w:val="21"/>
        </w:rPr>
        <w:t xml:space="preserve"> </w:t>
      </w:r>
      <w:r>
        <w:rPr>
          <w:rFonts w:hint="eastAsia" w:ascii="Calibri" w:hAnsi="Calibri"/>
          <w:kern w:val="24"/>
          <w:szCs w:val="21"/>
        </w:rPr>
        <w:t>燃</w:t>
      </w:r>
      <w:r>
        <w:rPr>
          <w:rFonts w:ascii="Calibri" w:hAnsi="Calibri"/>
          <w:kern w:val="24"/>
          <w:szCs w:val="21"/>
        </w:rPr>
        <w:t>天然气产排污系数表</w:t>
      </w:r>
    </w:p>
    <w:tbl>
      <w:tblPr>
        <w:tblStyle w:val="25"/>
        <w:tblW w:w="897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733"/>
        <w:gridCol w:w="845"/>
        <w:gridCol w:w="685"/>
        <w:gridCol w:w="1211"/>
        <w:gridCol w:w="1230"/>
        <w:gridCol w:w="1333"/>
        <w:gridCol w:w="851"/>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Align w:val="center"/>
          </w:tcPr>
          <w:p>
            <w:pPr>
              <w:pStyle w:val="43"/>
            </w:pPr>
            <w:r>
              <w:t>产品名称</w:t>
            </w:r>
          </w:p>
        </w:tc>
        <w:tc>
          <w:tcPr>
            <w:tcW w:w="733" w:type="dxa"/>
            <w:vAlign w:val="center"/>
          </w:tcPr>
          <w:p>
            <w:pPr>
              <w:pStyle w:val="43"/>
            </w:pPr>
            <w:r>
              <w:t>原料名称</w:t>
            </w:r>
          </w:p>
        </w:tc>
        <w:tc>
          <w:tcPr>
            <w:tcW w:w="845" w:type="dxa"/>
            <w:vAlign w:val="center"/>
          </w:tcPr>
          <w:p>
            <w:pPr>
              <w:pStyle w:val="43"/>
            </w:pPr>
            <w:r>
              <w:t>工艺名称</w:t>
            </w:r>
          </w:p>
        </w:tc>
        <w:tc>
          <w:tcPr>
            <w:tcW w:w="685" w:type="dxa"/>
            <w:vAlign w:val="center"/>
          </w:tcPr>
          <w:p>
            <w:pPr>
              <w:pStyle w:val="43"/>
            </w:pPr>
            <w:r>
              <w:t>规模等级</w:t>
            </w:r>
          </w:p>
        </w:tc>
        <w:tc>
          <w:tcPr>
            <w:tcW w:w="1211" w:type="dxa"/>
            <w:vAlign w:val="center"/>
          </w:tcPr>
          <w:p>
            <w:pPr>
              <w:pStyle w:val="43"/>
            </w:pPr>
            <w:r>
              <w:t>污染物</w:t>
            </w:r>
          </w:p>
        </w:tc>
        <w:tc>
          <w:tcPr>
            <w:tcW w:w="1230" w:type="dxa"/>
            <w:vAlign w:val="center"/>
          </w:tcPr>
          <w:p>
            <w:pPr>
              <w:pStyle w:val="43"/>
            </w:pPr>
            <w:r>
              <w:t>单位</w:t>
            </w:r>
          </w:p>
        </w:tc>
        <w:tc>
          <w:tcPr>
            <w:tcW w:w="1333" w:type="dxa"/>
            <w:vAlign w:val="center"/>
          </w:tcPr>
          <w:p>
            <w:pPr>
              <w:pStyle w:val="43"/>
            </w:pPr>
            <w:r>
              <w:t>产污系数</w:t>
            </w:r>
          </w:p>
        </w:tc>
        <w:tc>
          <w:tcPr>
            <w:tcW w:w="851" w:type="dxa"/>
            <w:vAlign w:val="center"/>
          </w:tcPr>
          <w:p>
            <w:pPr>
              <w:pStyle w:val="43"/>
            </w:pPr>
            <w:r>
              <w:t>末端治理技术</w:t>
            </w:r>
          </w:p>
        </w:tc>
        <w:tc>
          <w:tcPr>
            <w:tcW w:w="1269" w:type="dxa"/>
            <w:vAlign w:val="center"/>
          </w:tcPr>
          <w:p>
            <w:pPr>
              <w:pStyle w:val="43"/>
            </w:pPr>
            <w:r>
              <w:t>排污系数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restart"/>
            <w:vAlign w:val="center"/>
          </w:tcPr>
          <w:p>
            <w:pPr>
              <w:pStyle w:val="43"/>
            </w:pPr>
            <w:r>
              <w:t>蒸汽/热水/其他</w:t>
            </w:r>
          </w:p>
        </w:tc>
        <w:tc>
          <w:tcPr>
            <w:tcW w:w="733" w:type="dxa"/>
            <w:vMerge w:val="restart"/>
            <w:vAlign w:val="center"/>
          </w:tcPr>
          <w:p>
            <w:pPr>
              <w:pStyle w:val="43"/>
            </w:pPr>
            <w:r>
              <w:t>天然气</w:t>
            </w:r>
          </w:p>
        </w:tc>
        <w:tc>
          <w:tcPr>
            <w:tcW w:w="845" w:type="dxa"/>
            <w:vMerge w:val="restart"/>
            <w:vAlign w:val="center"/>
          </w:tcPr>
          <w:p>
            <w:pPr>
              <w:pStyle w:val="43"/>
            </w:pPr>
            <w:r>
              <w:t>室燃炉</w:t>
            </w:r>
          </w:p>
        </w:tc>
        <w:tc>
          <w:tcPr>
            <w:tcW w:w="685" w:type="dxa"/>
            <w:vMerge w:val="restart"/>
            <w:vAlign w:val="center"/>
          </w:tcPr>
          <w:p>
            <w:pPr>
              <w:pStyle w:val="43"/>
            </w:pPr>
            <w:r>
              <w:t>所有规模</w:t>
            </w:r>
          </w:p>
        </w:tc>
        <w:tc>
          <w:tcPr>
            <w:tcW w:w="1211" w:type="dxa"/>
            <w:vAlign w:val="center"/>
          </w:tcPr>
          <w:p>
            <w:pPr>
              <w:pStyle w:val="43"/>
            </w:pPr>
            <w:r>
              <w:t>工业废气量</w:t>
            </w:r>
          </w:p>
        </w:tc>
        <w:tc>
          <w:tcPr>
            <w:tcW w:w="1230" w:type="dxa"/>
            <w:vAlign w:val="center"/>
          </w:tcPr>
          <w:p>
            <w:pPr>
              <w:pStyle w:val="43"/>
            </w:pPr>
            <w:r>
              <w:t>Nm</w:t>
            </w:r>
            <w:r>
              <w:rPr>
                <w:vertAlign w:val="superscript"/>
              </w:rPr>
              <w:t>3</w:t>
            </w:r>
            <w:r>
              <w:t>/10</w:t>
            </w:r>
            <w:r>
              <w:rPr>
                <w:vertAlign w:val="superscript"/>
              </w:rPr>
              <w:t>4</w:t>
            </w:r>
            <w:r>
              <w:t>m</w:t>
            </w:r>
            <w:r>
              <w:rPr>
                <w:vertAlign w:val="superscript"/>
              </w:rPr>
              <w:t>3</w:t>
            </w:r>
          </w:p>
          <w:p>
            <w:pPr>
              <w:pStyle w:val="43"/>
            </w:pPr>
            <w:r>
              <w:t>-原料</w:t>
            </w:r>
          </w:p>
        </w:tc>
        <w:tc>
          <w:tcPr>
            <w:tcW w:w="1333" w:type="dxa"/>
            <w:vAlign w:val="center"/>
          </w:tcPr>
          <w:p>
            <w:pPr>
              <w:pStyle w:val="43"/>
            </w:pPr>
            <w:r>
              <w:t>107753</w:t>
            </w:r>
          </w:p>
        </w:tc>
        <w:tc>
          <w:tcPr>
            <w:tcW w:w="851" w:type="dxa"/>
            <w:vMerge w:val="restart"/>
            <w:vAlign w:val="center"/>
          </w:tcPr>
          <w:p>
            <w:pPr>
              <w:pStyle w:val="43"/>
            </w:pPr>
            <w:r>
              <w:rPr>
                <w:rFonts w:hint="eastAsia"/>
              </w:rPr>
              <w:t>/</w:t>
            </w:r>
          </w:p>
        </w:tc>
        <w:tc>
          <w:tcPr>
            <w:tcW w:w="1269" w:type="dxa"/>
            <w:vAlign w:val="center"/>
          </w:tcPr>
          <w:p>
            <w:pPr>
              <w:pStyle w:val="43"/>
            </w:pPr>
            <w:r>
              <w:t>107753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0" w:type="dxa"/>
            <w:vMerge w:val="continue"/>
            <w:vAlign w:val="center"/>
          </w:tcPr>
          <w:p>
            <w:pPr>
              <w:pStyle w:val="43"/>
            </w:pPr>
          </w:p>
        </w:tc>
        <w:tc>
          <w:tcPr>
            <w:tcW w:w="733" w:type="dxa"/>
            <w:vMerge w:val="continue"/>
            <w:vAlign w:val="center"/>
          </w:tcPr>
          <w:p>
            <w:pPr>
              <w:pStyle w:val="43"/>
            </w:pPr>
          </w:p>
        </w:tc>
        <w:tc>
          <w:tcPr>
            <w:tcW w:w="845" w:type="dxa"/>
            <w:vMerge w:val="continue"/>
            <w:vAlign w:val="center"/>
          </w:tcPr>
          <w:p>
            <w:pPr>
              <w:pStyle w:val="43"/>
            </w:pPr>
          </w:p>
        </w:tc>
        <w:tc>
          <w:tcPr>
            <w:tcW w:w="685" w:type="dxa"/>
            <w:vMerge w:val="continue"/>
            <w:vAlign w:val="center"/>
          </w:tcPr>
          <w:p>
            <w:pPr>
              <w:pStyle w:val="43"/>
            </w:pPr>
          </w:p>
        </w:tc>
        <w:tc>
          <w:tcPr>
            <w:tcW w:w="1211" w:type="dxa"/>
            <w:vAlign w:val="center"/>
          </w:tcPr>
          <w:p>
            <w:pPr>
              <w:pStyle w:val="43"/>
            </w:pPr>
            <w:r>
              <w:t>颗粒物</w:t>
            </w:r>
          </w:p>
        </w:tc>
        <w:tc>
          <w:tcPr>
            <w:tcW w:w="1230" w:type="dxa"/>
            <w:vAlign w:val="center"/>
          </w:tcPr>
          <w:p>
            <w:pPr>
              <w:pStyle w:val="43"/>
            </w:pPr>
            <w:r>
              <w:t>kg/1000m</w:t>
            </w:r>
            <w:r>
              <w:rPr>
                <w:vertAlign w:val="superscript"/>
              </w:rPr>
              <w:t>3</w:t>
            </w:r>
            <w:r>
              <w:t>-原料</w:t>
            </w:r>
          </w:p>
        </w:tc>
        <w:tc>
          <w:tcPr>
            <w:tcW w:w="1333" w:type="dxa"/>
            <w:vAlign w:val="center"/>
          </w:tcPr>
          <w:p>
            <w:pPr>
              <w:pStyle w:val="43"/>
            </w:pPr>
            <w:r>
              <w:t>0.12</w:t>
            </w:r>
          </w:p>
        </w:tc>
        <w:tc>
          <w:tcPr>
            <w:tcW w:w="851" w:type="dxa"/>
            <w:vMerge w:val="continue"/>
            <w:vAlign w:val="center"/>
          </w:tcPr>
          <w:p>
            <w:pPr>
              <w:pStyle w:val="43"/>
            </w:pPr>
          </w:p>
        </w:tc>
        <w:tc>
          <w:tcPr>
            <w:tcW w:w="1269" w:type="dxa"/>
            <w:vAlign w:val="center"/>
          </w:tcPr>
          <w:p>
            <w:pPr>
              <w:pStyle w:val="43"/>
            </w:pPr>
            <w: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20" w:type="dxa"/>
            <w:vMerge w:val="continue"/>
            <w:vAlign w:val="center"/>
          </w:tcPr>
          <w:p>
            <w:pPr>
              <w:pStyle w:val="43"/>
            </w:pPr>
          </w:p>
        </w:tc>
        <w:tc>
          <w:tcPr>
            <w:tcW w:w="733" w:type="dxa"/>
            <w:vMerge w:val="continue"/>
            <w:vAlign w:val="center"/>
          </w:tcPr>
          <w:p>
            <w:pPr>
              <w:pStyle w:val="43"/>
            </w:pPr>
          </w:p>
        </w:tc>
        <w:tc>
          <w:tcPr>
            <w:tcW w:w="845" w:type="dxa"/>
            <w:vMerge w:val="continue"/>
            <w:vAlign w:val="center"/>
          </w:tcPr>
          <w:p>
            <w:pPr>
              <w:pStyle w:val="43"/>
            </w:pPr>
          </w:p>
        </w:tc>
        <w:tc>
          <w:tcPr>
            <w:tcW w:w="685" w:type="dxa"/>
            <w:vMerge w:val="continue"/>
            <w:vAlign w:val="center"/>
          </w:tcPr>
          <w:p>
            <w:pPr>
              <w:pStyle w:val="43"/>
            </w:pPr>
          </w:p>
        </w:tc>
        <w:tc>
          <w:tcPr>
            <w:tcW w:w="1211" w:type="dxa"/>
            <w:vAlign w:val="center"/>
          </w:tcPr>
          <w:p>
            <w:pPr>
              <w:pStyle w:val="43"/>
            </w:pPr>
            <w:r>
              <w:t>二氧化硫</w:t>
            </w:r>
          </w:p>
        </w:tc>
        <w:tc>
          <w:tcPr>
            <w:tcW w:w="1230" w:type="dxa"/>
            <w:vAlign w:val="center"/>
          </w:tcPr>
          <w:p>
            <w:pPr>
              <w:pStyle w:val="43"/>
            </w:pPr>
            <w:r>
              <w:rPr>
                <w:rFonts w:hint="eastAsia"/>
              </w:rPr>
              <w:t>k</w:t>
            </w:r>
            <w:r>
              <w:t>g/10</w:t>
            </w:r>
            <w:r>
              <w:rPr>
                <w:vertAlign w:val="superscript"/>
              </w:rPr>
              <w:t>4</w:t>
            </w:r>
            <w:r>
              <w:t>m</w:t>
            </w:r>
            <w:r>
              <w:rPr>
                <w:vertAlign w:val="superscript"/>
              </w:rPr>
              <w:t>3</w:t>
            </w:r>
          </w:p>
          <w:p>
            <w:pPr>
              <w:pStyle w:val="43"/>
            </w:pPr>
            <w:r>
              <w:t>-原料</w:t>
            </w:r>
          </w:p>
        </w:tc>
        <w:tc>
          <w:tcPr>
            <w:tcW w:w="1333" w:type="dxa"/>
            <w:vAlign w:val="center"/>
          </w:tcPr>
          <w:p>
            <w:pPr>
              <w:pStyle w:val="43"/>
            </w:pPr>
            <w:r>
              <w:t>0.02S</w:t>
            </w:r>
          </w:p>
        </w:tc>
        <w:tc>
          <w:tcPr>
            <w:tcW w:w="851" w:type="dxa"/>
            <w:vMerge w:val="continue"/>
            <w:vAlign w:val="center"/>
          </w:tcPr>
          <w:p>
            <w:pPr>
              <w:pStyle w:val="43"/>
            </w:pPr>
          </w:p>
        </w:tc>
        <w:tc>
          <w:tcPr>
            <w:tcW w:w="1269" w:type="dxa"/>
            <w:vAlign w:val="center"/>
          </w:tcPr>
          <w:p>
            <w:pPr>
              <w:pStyle w:val="43"/>
            </w:pPr>
            <w:r>
              <w:t>0.02S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0" w:type="dxa"/>
            <w:vMerge w:val="continue"/>
            <w:vAlign w:val="center"/>
          </w:tcPr>
          <w:p>
            <w:pPr>
              <w:pStyle w:val="43"/>
            </w:pPr>
          </w:p>
        </w:tc>
        <w:tc>
          <w:tcPr>
            <w:tcW w:w="733" w:type="dxa"/>
            <w:vMerge w:val="continue"/>
            <w:vAlign w:val="center"/>
          </w:tcPr>
          <w:p>
            <w:pPr>
              <w:pStyle w:val="43"/>
            </w:pPr>
          </w:p>
        </w:tc>
        <w:tc>
          <w:tcPr>
            <w:tcW w:w="845" w:type="dxa"/>
            <w:vMerge w:val="continue"/>
            <w:vAlign w:val="center"/>
          </w:tcPr>
          <w:p>
            <w:pPr>
              <w:pStyle w:val="43"/>
            </w:pPr>
          </w:p>
        </w:tc>
        <w:tc>
          <w:tcPr>
            <w:tcW w:w="685" w:type="dxa"/>
            <w:vMerge w:val="continue"/>
            <w:vAlign w:val="center"/>
          </w:tcPr>
          <w:p>
            <w:pPr>
              <w:pStyle w:val="43"/>
            </w:pPr>
          </w:p>
        </w:tc>
        <w:tc>
          <w:tcPr>
            <w:tcW w:w="1211" w:type="dxa"/>
            <w:vAlign w:val="center"/>
          </w:tcPr>
          <w:p>
            <w:pPr>
              <w:pStyle w:val="43"/>
            </w:pPr>
            <w:r>
              <w:t>氮氧化物</w:t>
            </w:r>
          </w:p>
        </w:tc>
        <w:tc>
          <w:tcPr>
            <w:tcW w:w="1230" w:type="dxa"/>
            <w:vAlign w:val="center"/>
          </w:tcPr>
          <w:p>
            <w:pPr>
              <w:pStyle w:val="43"/>
            </w:pPr>
            <w:r>
              <w:rPr>
                <w:rFonts w:hint="eastAsia"/>
              </w:rPr>
              <w:t>k</w:t>
            </w:r>
            <w:r>
              <w:t>g/10</w:t>
            </w:r>
            <w:r>
              <w:rPr>
                <w:vertAlign w:val="superscript"/>
              </w:rPr>
              <w:t>4</w:t>
            </w:r>
            <w:r>
              <w:t>m</w:t>
            </w:r>
            <w:r>
              <w:rPr>
                <w:vertAlign w:val="superscript"/>
              </w:rPr>
              <w:t>3</w:t>
            </w:r>
          </w:p>
          <w:p>
            <w:pPr>
              <w:pStyle w:val="43"/>
            </w:pPr>
            <w:r>
              <w:t>-原料</w:t>
            </w:r>
          </w:p>
        </w:tc>
        <w:tc>
          <w:tcPr>
            <w:tcW w:w="1333" w:type="dxa"/>
            <w:vAlign w:val="center"/>
          </w:tcPr>
          <w:p>
            <w:pPr>
              <w:pStyle w:val="43"/>
            </w:pPr>
            <w:r>
              <w:t>3.03</w:t>
            </w:r>
          </w:p>
        </w:tc>
        <w:tc>
          <w:tcPr>
            <w:tcW w:w="851" w:type="dxa"/>
            <w:vMerge w:val="continue"/>
            <w:vAlign w:val="center"/>
          </w:tcPr>
          <w:p>
            <w:pPr>
              <w:pStyle w:val="43"/>
            </w:pPr>
          </w:p>
        </w:tc>
        <w:tc>
          <w:tcPr>
            <w:tcW w:w="1269" w:type="dxa"/>
            <w:vAlign w:val="center"/>
          </w:tcPr>
          <w:p>
            <w:pPr>
              <w:pStyle w:val="43"/>
            </w:pPr>
            <w:r>
              <w:t>3.03</w:t>
            </w:r>
          </w:p>
        </w:tc>
      </w:tr>
    </w:tbl>
    <w:p>
      <w:pPr>
        <w:pStyle w:val="49"/>
        <w:spacing w:line="240" w:lineRule="auto"/>
        <w:ind w:firstLine="422"/>
        <w:rPr>
          <w:b/>
          <w:sz w:val="21"/>
          <w:szCs w:val="21"/>
        </w:rPr>
      </w:pPr>
      <w:r>
        <w:rPr>
          <w:b/>
          <w:sz w:val="21"/>
          <w:szCs w:val="21"/>
        </w:rPr>
        <w:t>注：项目使用的天然气质量符合《强制性国家标准&lt;天然气&gt;》(GB17820-2018）中规定</w:t>
      </w:r>
      <w:r>
        <w:rPr>
          <w:rFonts w:hint="eastAsia"/>
          <w:b/>
          <w:sz w:val="21"/>
          <w:szCs w:val="21"/>
        </w:rPr>
        <w:t>天然气</w:t>
      </w:r>
      <w:r>
        <w:rPr>
          <w:b/>
          <w:sz w:val="21"/>
          <w:szCs w:val="21"/>
        </w:rPr>
        <w:t>总硫含量分为一类和二类，</w:t>
      </w:r>
      <w:r>
        <w:rPr>
          <w:rFonts w:hint="eastAsia"/>
          <w:b/>
          <w:sz w:val="21"/>
          <w:szCs w:val="21"/>
        </w:rPr>
        <w:t>一</w:t>
      </w:r>
      <w:r>
        <w:rPr>
          <w:b/>
          <w:sz w:val="21"/>
          <w:szCs w:val="21"/>
        </w:rPr>
        <w:t>类天然气标准，含硫率小于20mg/m</w:t>
      </w:r>
      <w:r>
        <w:rPr>
          <w:b/>
          <w:sz w:val="21"/>
          <w:szCs w:val="21"/>
          <w:vertAlign w:val="superscript"/>
        </w:rPr>
        <w:t>3</w:t>
      </w:r>
      <w:r>
        <w:rPr>
          <w:rFonts w:hint="eastAsia"/>
          <w:b/>
          <w:sz w:val="21"/>
          <w:szCs w:val="21"/>
          <w:vertAlign w:val="subscript"/>
        </w:rPr>
        <w:t>，</w:t>
      </w:r>
      <w:r>
        <w:rPr>
          <w:rFonts w:hint="eastAsia"/>
          <w:b/>
          <w:sz w:val="21"/>
          <w:szCs w:val="21"/>
        </w:rPr>
        <w:t>二</w:t>
      </w:r>
      <w:r>
        <w:rPr>
          <w:b/>
          <w:sz w:val="21"/>
          <w:szCs w:val="21"/>
        </w:rPr>
        <w:t>类天然气标准，含硫率小于100mg/m</w:t>
      </w:r>
      <w:r>
        <w:rPr>
          <w:b/>
          <w:sz w:val="21"/>
          <w:szCs w:val="21"/>
          <w:vertAlign w:val="superscript"/>
        </w:rPr>
        <w:t>3</w:t>
      </w:r>
      <w:r>
        <w:rPr>
          <w:b/>
          <w:sz w:val="21"/>
          <w:szCs w:val="21"/>
        </w:rPr>
        <w:t>。本项目天然气含硫率按100mg/m</w:t>
      </w:r>
      <w:r>
        <w:rPr>
          <w:b/>
          <w:sz w:val="21"/>
          <w:szCs w:val="21"/>
          <w:vertAlign w:val="superscript"/>
        </w:rPr>
        <w:t>3</w:t>
      </w:r>
      <w:r>
        <w:rPr>
          <w:b/>
          <w:sz w:val="21"/>
          <w:szCs w:val="21"/>
        </w:rPr>
        <w:t>进行核算，即S=100</w:t>
      </w:r>
      <w:r>
        <w:rPr>
          <w:rFonts w:hint="eastAsia"/>
          <w:b/>
          <w:sz w:val="21"/>
          <w:szCs w:val="21"/>
        </w:rPr>
        <w:t>。</w:t>
      </w:r>
    </w:p>
    <w:p>
      <w:pPr>
        <w:pStyle w:val="49"/>
        <w:spacing w:before="156" w:beforeLines="50"/>
        <w:ind w:firstLine="480"/>
      </w:pPr>
      <w:r>
        <w:rPr>
          <w:rFonts w:hint="eastAsia"/>
        </w:rPr>
        <w:t>天然气</w:t>
      </w:r>
      <w:r>
        <w:t>锅炉</w:t>
      </w:r>
      <w:r>
        <w:rPr>
          <w:rFonts w:hint="eastAsia"/>
        </w:rPr>
        <w:t>安装低氮</w:t>
      </w:r>
      <w:r>
        <w:t>燃烧器后经排气筒</w:t>
      </w:r>
      <w:r>
        <w:rPr>
          <w:rFonts w:hint="eastAsia"/>
        </w:rPr>
        <w:t>引</w:t>
      </w:r>
      <w:r>
        <w:t>至</w:t>
      </w:r>
      <w:r>
        <w:rPr>
          <w:rFonts w:hint="eastAsia"/>
          <w:color w:val="FF0000"/>
        </w:rPr>
        <w:t>高于</w:t>
      </w:r>
      <w:r>
        <w:rPr>
          <w:color w:val="FF0000"/>
        </w:rPr>
        <w:t>住院楼楼顶</w:t>
      </w:r>
      <w:r>
        <w:rPr>
          <w:rFonts w:hint="eastAsia"/>
          <w:color w:val="FF0000"/>
        </w:rPr>
        <w:t>3</w:t>
      </w:r>
      <w:r>
        <w:rPr>
          <w:color w:val="FF0000"/>
        </w:rPr>
        <w:t>m处排放</w:t>
      </w:r>
      <w:r>
        <w:rPr>
          <w:rFonts w:hint="eastAsia"/>
        </w:rPr>
        <w:t>，</w:t>
      </w:r>
      <w:r>
        <w:rPr>
          <w:rFonts w:hint="eastAsia"/>
          <w:color w:val="FF0000"/>
        </w:rPr>
        <w:t>排气筒</w:t>
      </w:r>
      <w:r>
        <w:rPr>
          <w:color w:val="FF0000"/>
        </w:rPr>
        <w:t>高度</w:t>
      </w:r>
      <w:r>
        <w:rPr>
          <w:rFonts w:hint="eastAsia"/>
          <w:color w:val="FF0000"/>
        </w:rPr>
        <w:t>约60</w:t>
      </w:r>
      <w:r>
        <w:rPr>
          <w:color w:val="FF0000"/>
        </w:rPr>
        <w:t>m，</w:t>
      </w:r>
      <w:r>
        <w:rPr>
          <w:rFonts w:hint="eastAsia"/>
        </w:rPr>
        <w:t>项目天然气</w:t>
      </w:r>
      <w:r>
        <w:t>燃烧废气产排污</w:t>
      </w:r>
      <w:r>
        <w:rPr>
          <w:rFonts w:hint="eastAsia"/>
        </w:rPr>
        <w:t>情况</w:t>
      </w:r>
      <w:r>
        <w:t>见表4.2-4</w:t>
      </w:r>
      <w:r>
        <w:rPr>
          <w:rFonts w:hint="eastAsia"/>
        </w:rPr>
        <w:t>。</w:t>
      </w:r>
    </w:p>
    <w:p>
      <w:pPr>
        <w:pStyle w:val="44"/>
        <w:ind w:firstLine="480"/>
      </w:pPr>
      <w:r>
        <w:rPr>
          <w:rFonts w:hint="eastAsia"/>
        </w:rPr>
        <w:t>表</w:t>
      </w:r>
      <w:r>
        <w:t xml:space="preserve">4.2-4  </w:t>
      </w:r>
      <w:r>
        <w:rPr>
          <w:rFonts w:hint="eastAsia"/>
        </w:rPr>
        <w:t>项目</w:t>
      </w:r>
      <w:r>
        <w:t>产排污情况一览表</w:t>
      </w:r>
    </w:p>
    <w:tbl>
      <w:tblPr>
        <w:tblStyle w:val="25"/>
        <w:tblW w:w="87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34"/>
        <w:gridCol w:w="1262"/>
        <w:gridCol w:w="1905"/>
        <w:gridCol w:w="166"/>
        <w:gridCol w:w="2048"/>
        <w:gridCol w:w="23"/>
        <w:gridCol w:w="20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2" w:type="dxa"/>
            <w:gridSpan w:val="3"/>
            <w:vAlign w:val="center"/>
          </w:tcPr>
          <w:p>
            <w:pPr>
              <w:pStyle w:val="43"/>
            </w:pPr>
            <w:r>
              <w:t>名称</w:t>
            </w:r>
          </w:p>
        </w:tc>
        <w:tc>
          <w:tcPr>
            <w:tcW w:w="1905" w:type="dxa"/>
            <w:vAlign w:val="center"/>
          </w:tcPr>
          <w:p>
            <w:pPr>
              <w:pStyle w:val="43"/>
            </w:pPr>
            <w:r>
              <w:t>颗粒物</w:t>
            </w:r>
          </w:p>
        </w:tc>
        <w:tc>
          <w:tcPr>
            <w:tcW w:w="2214" w:type="dxa"/>
            <w:gridSpan w:val="2"/>
            <w:vAlign w:val="center"/>
          </w:tcPr>
          <w:p>
            <w:pPr>
              <w:pStyle w:val="43"/>
            </w:pPr>
            <w:r>
              <w:t>SO</w:t>
            </w:r>
            <w:r>
              <w:rPr>
                <w:vertAlign w:val="subscript"/>
              </w:rPr>
              <w:t>2</w:t>
            </w:r>
          </w:p>
        </w:tc>
        <w:tc>
          <w:tcPr>
            <w:tcW w:w="2098" w:type="dxa"/>
            <w:gridSpan w:val="2"/>
            <w:vAlign w:val="center"/>
          </w:tcPr>
          <w:p>
            <w:pPr>
              <w:pStyle w:val="43"/>
            </w:pPr>
            <w:r>
              <w:t>NO</w:t>
            </w:r>
            <w:r>
              <w:rPr>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2" w:type="dxa"/>
            <w:gridSpan w:val="3"/>
            <w:vAlign w:val="center"/>
          </w:tcPr>
          <w:p>
            <w:pPr>
              <w:pStyle w:val="43"/>
            </w:pPr>
            <w:r>
              <w:rPr>
                <w:rFonts w:hint="eastAsia"/>
              </w:rPr>
              <w:t>天然气</w:t>
            </w:r>
            <w:r>
              <w:t>总用量</w:t>
            </w:r>
          </w:p>
        </w:tc>
        <w:tc>
          <w:tcPr>
            <w:tcW w:w="6217" w:type="dxa"/>
            <w:gridSpan w:val="5"/>
            <w:vAlign w:val="center"/>
          </w:tcPr>
          <w:p>
            <w:pPr>
              <w:pStyle w:val="43"/>
            </w:pPr>
            <w:r>
              <w:rPr>
                <w:color w:val="FF0000"/>
              </w:rPr>
              <w:t>135.7</w:t>
            </w:r>
            <w:r>
              <w:rPr>
                <w:rFonts w:hint="eastAsia"/>
              </w:rPr>
              <w:t>万</w:t>
            </w:r>
            <w:r>
              <w:t>m</w:t>
            </w:r>
            <w:r>
              <w:rPr>
                <w:vertAlign w:val="superscript"/>
              </w:rPr>
              <w:t>3</w:t>
            </w:r>
            <w:r>
              <w:t>/</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2" w:type="dxa"/>
            <w:gridSpan w:val="3"/>
            <w:vAlign w:val="center"/>
          </w:tcPr>
          <w:p>
            <w:pPr>
              <w:pStyle w:val="43"/>
            </w:pPr>
            <w:r>
              <w:rPr>
                <w:rFonts w:hint="eastAsia"/>
              </w:rPr>
              <w:t>烟气</w:t>
            </w:r>
            <w:r>
              <w:t>量（Nm</w:t>
            </w:r>
            <w:r>
              <w:rPr>
                <w:vertAlign w:val="superscript"/>
              </w:rPr>
              <w:t>3</w:t>
            </w:r>
            <w:r>
              <w:t>/a）</w:t>
            </w:r>
          </w:p>
        </w:tc>
        <w:tc>
          <w:tcPr>
            <w:tcW w:w="6217" w:type="dxa"/>
            <w:gridSpan w:val="5"/>
            <w:vAlign w:val="center"/>
          </w:tcPr>
          <w:p>
            <w:pPr>
              <w:pStyle w:val="43"/>
              <w:rPr>
                <w:highlight w:val="yellow"/>
              </w:rPr>
            </w:pPr>
            <w:r>
              <w:rPr>
                <w:color w:val="FF0000"/>
              </w:rPr>
              <w:t>14619388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2" w:type="dxa"/>
            <w:gridSpan w:val="3"/>
            <w:vAlign w:val="center"/>
          </w:tcPr>
          <w:p>
            <w:pPr>
              <w:pStyle w:val="43"/>
            </w:pPr>
            <w:r>
              <w:rPr>
                <w:rFonts w:hint="eastAsia"/>
              </w:rPr>
              <w:t>排放</w:t>
            </w:r>
            <w:r>
              <w:t>量（</w:t>
            </w:r>
            <w:r>
              <w:rPr>
                <w:rFonts w:hint="eastAsia"/>
              </w:rPr>
              <w:t>kg</w:t>
            </w:r>
            <w:r>
              <w:t>/a）</w:t>
            </w:r>
          </w:p>
        </w:tc>
        <w:tc>
          <w:tcPr>
            <w:tcW w:w="1905" w:type="dxa"/>
            <w:vAlign w:val="center"/>
          </w:tcPr>
          <w:p>
            <w:pPr>
              <w:pStyle w:val="43"/>
              <w:rPr>
                <w:color w:val="FF0000"/>
              </w:rPr>
            </w:pPr>
            <w:r>
              <w:rPr>
                <w:color w:val="FF0000"/>
              </w:rPr>
              <w:t>162.81</w:t>
            </w:r>
          </w:p>
        </w:tc>
        <w:tc>
          <w:tcPr>
            <w:tcW w:w="2214" w:type="dxa"/>
            <w:gridSpan w:val="2"/>
            <w:vAlign w:val="center"/>
          </w:tcPr>
          <w:p>
            <w:pPr>
              <w:pStyle w:val="43"/>
              <w:rPr>
                <w:color w:val="FF0000"/>
              </w:rPr>
            </w:pPr>
            <w:r>
              <w:rPr>
                <w:color w:val="FF0000"/>
              </w:rPr>
              <w:t>271.35</w:t>
            </w:r>
          </w:p>
        </w:tc>
        <w:tc>
          <w:tcPr>
            <w:tcW w:w="2098" w:type="dxa"/>
            <w:gridSpan w:val="2"/>
            <w:vAlign w:val="center"/>
          </w:tcPr>
          <w:p>
            <w:pPr>
              <w:pStyle w:val="43"/>
              <w:rPr>
                <w:color w:val="FF0000"/>
              </w:rPr>
            </w:pPr>
            <w:r>
              <w:rPr>
                <w:color w:val="FF0000"/>
              </w:rPr>
              <w:t>411.10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22" w:type="dxa"/>
            <w:gridSpan w:val="3"/>
            <w:vAlign w:val="center"/>
          </w:tcPr>
          <w:p>
            <w:pPr>
              <w:pStyle w:val="43"/>
            </w:pPr>
            <w:r>
              <w:rPr>
                <w:rFonts w:hint="eastAsia"/>
              </w:rPr>
              <w:t>排放</w:t>
            </w:r>
            <w:r>
              <w:t>浓度（mg/m</w:t>
            </w:r>
            <w:r>
              <w:rPr>
                <w:vertAlign w:val="superscript"/>
              </w:rPr>
              <w:t>3</w:t>
            </w:r>
            <w:r>
              <w:t>）</w:t>
            </w:r>
          </w:p>
        </w:tc>
        <w:tc>
          <w:tcPr>
            <w:tcW w:w="1905" w:type="dxa"/>
            <w:vAlign w:val="center"/>
          </w:tcPr>
          <w:p>
            <w:pPr>
              <w:pStyle w:val="43"/>
            </w:pPr>
            <w:r>
              <w:rPr>
                <w:rFonts w:hint="eastAsia"/>
              </w:rPr>
              <w:t>11.14</w:t>
            </w:r>
          </w:p>
        </w:tc>
        <w:tc>
          <w:tcPr>
            <w:tcW w:w="2214" w:type="dxa"/>
            <w:gridSpan w:val="2"/>
            <w:vAlign w:val="center"/>
          </w:tcPr>
          <w:p>
            <w:pPr>
              <w:pStyle w:val="43"/>
            </w:pPr>
            <w:r>
              <w:rPr>
                <w:rFonts w:hint="eastAsia"/>
              </w:rPr>
              <w:t>18.56</w:t>
            </w:r>
          </w:p>
        </w:tc>
        <w:tc>
          <w:tcPr>
            <w:tcW w:w="2098" w:type="dxa"/>
            <w:gridSpan w:val="2"/>
            <w:vAlign w:val="center"/>
          </w:tcPr>
          <w:p>
            <w:pPr>
              <w:pStyle w:val="43"/>
            </w:pPr>
            <w:r>
              <w:rPr>
                <w:rFonts w:hint="eastAsia"/>
              </w:rPr>
              <w:t>28.12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restart"/>
            <w:vAlign w:val="center"/>
          </w:tcPr>
          <w:p>
            <w:pPr>
              <w:pStyle w:val="43"/>
            </w:pPr>
            <w:r>
              <w:rPr>
                <w:rFonts w:hint="eastAsia"/>
              </w:rPr>
              <w:t>其中</w:t>
            </w:r>
          </w:p>
        </w:tc>
        <w:tc>
          <w:tcPr>
            <w:tcW w:w="834" w:type="dxa"/>
            <w:vMerge w:val="restart"/>
            <w:vAlign w:val="center"/>
          </w:tcPr>
          <w:p>
            <w:pPr>
              <w:pStyle w:val="43"/>
            </w:pPr>
            <w:r>
              <w:rPr>
                <w:rFonts w:hint="eastAsia"/>
              </w:rPr>
              <w:t>采暖</w:t>
            </w:r>
            <w:r>
              <w:t>锅炉</w:t>
            </w:r>
          </w:p>
        </w:tc>
        <w:tc>
          <w:tcPr>
            <w:tcW w:w="1262" w:type="dxa"/>
            <w:vAlign w:val="center"/>
          </w:tcPr>
          <w:p>
            <w:pPr>
              <w:pStyle w:val="43"/>
            </w:pPr>
            <w:r>
              <w:rPr>
                <w:rFonts w:hint="eastAsia"/>
              </w:rPr>
              <w:t>天然气</w:t>
            </w:r>
            <w:r>
              <w:t>量</w:t>
            </w:r>
          </w:p>
        </w:tc>
        <w:tc>
          <w:tcPr>
            <w:tcW w:w="6217" w:type="dxa"/>
            <w:gridSpan w:val="5"/>
            <w:vAlign w:val="center"/>
          </w:tcPr>
          <w:p>
            <w:pPr>
              <w:pStyle w:val="43"/>
              <w:rPr>
                <w:highlight w:val="yellow"/>
              </w:rPr>
            </w:pPr>
            <w:r>
              <w:rPr>
                <w:color w:val="FF0000"/>
              </w:rPr>
              <w:t>86.4</w:t>
            </w:r>
            <w:r>
              <w:rPr>
                <w:rFonts w:hint="eastAsia"/>
              </w:rPr>
              <w:t>万</w:t>
            </w:r>
            <w:r>
              <w:t>m</w:t>
            </w:r>
            <w:r>
              <w:rPr>
                <w:vertAlign w:val="superscript"/>
              </w:rPr>
              <w:t>3</w:t>
            </w:r>
            <w:r>
              <w:t>/</w:t>
            </w:r>
            <w:r>
              <w:rPr>
                <w:rFonts w:hint="eastAsia"/>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pStyle w:val="43"/>
            </w:pPr>
          </w:p>
        </w:tc>
        <w:tc>
          <w:tcPr>
            <w:tcW w:w="834" w:type="dxa"/>
            <w:vMerge w:val="continue"/>
            <w:vAlign w:val="center"/>
          </w:tcPr>
          <w:p>
            <w:pPr>
              <w:pStyle w:val="43"/>
            </w:pPr>
          </w:p>
        </w:tc>
        <w:tc>
          <w:tcPr>
            <w:tcW w:w="1262" w:type="dxa"/>
            <w:vAlign w:val="center"/>
          </w:tcPr>
          <w:p>
            <w:pPr>
              <w:pStyle w:val="43"/>
            </w:pPr>
            <w:r>
              <w:rPr>
                <w:rFonts w:hint="eastAsia"/>
              </w:rPr>
              <w:t>烟气量</w:t>
            </w:r>
          </w:p>
        </w:tc>
        <w:tc>
          <w:tcPr>
            <w:tcW w:w="6217" w:type="dxa"/>
            <w:gridSpan w:val="5"/>
            <w:vAlign w:val="center"/>
          </w:tcPr>
          <w:p>
            <w:pPr>
              <w:pStyle w:val="43"/>
              <w:rPr>
                <w:color w:val="FF0000"/>
              </w:rPr>
            </w:pPr>
            <w:r>
              <w:rPr>
                <w:color w:val="FF0000"/>
              </w:rPr>
              <w:t>9309859Nm</w:t>
            </w:r>
            <w:r>
              <w:rPr>
                <w:color w:val="FF0000"/>
                <w:vertAlign w:val="superscript"/>
              </w:rPr>
              <w:t>3</w:t>
            </w:r>
            <w:r>
              <w:rPr>
                <w:color w:val="FF0000"/>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pStyle w:val="43"/>
            </w:pPr>
          </w:p>
        </w:tc>
        <w:tc>
          <w:tcPr>
            <w:tcW w:w="834" w:type="dxa"/>
            <w:vMerge w:val="continue"/>
            <w:vAlign w:val="center"/>
          </w:tcPr>
          <w:p>
            <w:pPr>
              <w:pStyle w:val="43"/>
            </w:pPr>
          </w:p>
        </w:tc>
        <w:tc>
          <w:tcPr>
            <w:tcW w:w="1262" w:type="dxa"/>
            <w:vAlign w:val="center"/>
          </w:tcPr>
          <w:p>
            <w:pPr>
              <w:pStyle w:val="43"/>
            </w:pPr>
            <w:r>
              <w:rPr>
                <w:rFonts w:hint="eastAsia"/>
              </w:rPr>
              <w:t>排放量</w:t>
            </w:r>
          </w:p>
        </w:tc>
        <w:tc>
          <w:tcPr>
            <w:tcW w:w="2071" w:type="dxa"/>
            <w:gridSpan w:val="2"/>
            <w:vAlign w:val="center"/>
          </w:tcPr>
          <w:p>
            <w:pPr>
              <w:pStyle w:val="43"/>
              <w:rPr>
                <w:color w:val="FF0000"/>
              </w:rPr>
            </w:pPr>
            <w:r>
              <w:rPr>
                <w:color w:val="FF0000"/>
              </w:rPr>
              <w:t>103.68</w:t>
            </w:r>
          </w:p>
        </w:tc>
        <w:tc>
          <w:tcPr>
            <w:tcW w:w="2071" w:type="dxa"/>
            <w:gridSpan w:val="2"/>
            <w:vAlign w:val="center"/>
          </w:tcPr>
          <w:p>
            <w:pPr>
              <w:pStyle w:val="43"/>
              <w:rPr>
                <w:color w:val="FF0000"/>
              </w:rPr>
            </w:pPr>
            <w:r>
              <w:rPr>
                <w:color w:val="FF0000"/>
              </w:rPr>
              <w:t>172.80</w:t>
            </w:r>
          </w:p>
        </w:tc>
        <w:tc>
          <w:tcPr>
            <w:tcW w:w="2075" w:type="dxa"/>
            <w:vAlign w:val="center"/>
          </w:tcPr>
          <w:p>
            <w:pPr>
              <w:pStyle w:val="43"/>
              <w:rPr>
                <w:color w:val="FF0000"/>
              </w:rPr>
            </w:pPr>
            <w:r>
              <w:rPr>
                <w:color w:val="FF0000"/>
              </w:rPr>
              <w:t>261.79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pStyle w:val="43"/>
            </w:pPr>
          </w:p>
        </w:tc>
        <w:tc>
          <w:tcPr>
            <w:tcW w:w="834" w:type="dxa"/>
            <w:vMerge w:val="restart"/>
            <w:vAlign w:val="center"/>
          </w:tcPr>
          <w:p>
            <w:pPr>
              <w:pStyle w:val="43"/>
            </w:pPr>
            <w:r>
              <w:rPr>
                <w:rFonts w:hint="eastAsia"/>
              </w:rPr>
              <w:t>热水</w:t>
            </w:r>
            <w:r>
              <w:t>锅炉</w:t>
            </w:r>
          </w:p>
        </w:tc>
        <w:tc>
          <w:tcPr>
            <w:tcW w:w="1262" w:type="dxa"/>
            <w:vAlign w:val="center"/>
          </w:tcPr>
          <w:p>
            <w:pPr>
              <w:pStyle w:val="43"/>
            </w:pPr>
            <w:r>
              <w:rPr>
                <w:rFonts w:hint="eastAsia"/>
              </w:rPr>
              <w:t>天然气</w:t>
            </w:r>
            <w:r>
              <w:t>量</w:t>
            </w:r>
          </w:p>
        </w:tc>
        <w:tc>
          <w:tcPr>
            <w:tcW w:w="6217" w:type="dxa"/>
            <w:gridSpan w:val="5"/>
            <w:vAlign w:val="center"/>
          </w:tcPr>
          <w:p>
            <w:pPr>
              <w:pStyle w:val="43"/>
              <w:rPr>
                <w:highlight w:val="yellow"/>
              </w:rPr>
            </w:pPr>
            <w:r>
              <w:rPr>
                <w:color w:val="FF0000"/>
              </w:rPr>
              <w:t>49.3</w:t>
            </w:r>
            <w:r>
              <w:rPr>
                <w:rFonts w:hint="eastAsia"/>
                <w:color w:val="FF0000"/>
              </w:rPr>
              <w:t>万</w:t>
            </w:r>
            <w:r>
              <w:rPr>
                <w:color w:val="FF0000"/>
              </w:rPr>
              <w:t>m</w:t>
            </w:r>
            <w:r>
              <w:rPr>
                <w:color w:val="FF0000"/>
                <w:vertAlign w:val="superscript"/>
              </w:rPr>
              <w:t>3</w:t>
            </w:r>
            <w:r>
              <w:rPr>
                <w:color w:val="FF0000"/>
              </w:rPr>
              <w:t>/</w:t>
            </w:r>
            <w:r>
              <w:rPr>
                <w:rFonts w:hint="eastAsia"/>
                <w:color w:val="FF0000"/>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pStyle w:val="43"/>
            </w:pPr>
          </w:p>
        </w:tc>
        <w:tc>
          <w:tcPr>
            <w:tcW w:w="834" w:type="dxa"/>
            <w:vMerge w:val="continue"/>
            <w:vAlign w:val="center"/>
          </w:tcPr>
          <w:p>
            <w:pPr>
              <w:pStyle w:val="43"/>
            </w:pPr>
          </w:p>
        </w:tc>
        <w:tc>
          <w:tcPr>
            <w:tcW w:w="1262" w:type="dxa"/>
            <w:vAlign w:val="center"/>
          </w:tcPr>
          <w:p>
            <w:pPr>
              <w:pStyle w:val="43"/>
            </w:pPr>
            <w:r>
              <w:rPr>
                <w:rFonts w:hint="eastAsia"/>
              </w:rPr>
              <w:t>烟气量</w:t>
            </w:r>
          </w:p>
        </w:tc>
        <w:tc>
          <w:tcPr>
            <w:tcW w:w="6217" w:type="dxa"/>
            <w:gridSpan w:val="5"/>
            <w:vAlign w:val="center"/>
          </w:tcPr>
          <w:p>
            <w:pPr>
              <w:pStyle w:val="43"/>
              <w:rPr>
                <w:color w:val="FF0000"/>
              </w:rPr>
            </w:pPr>
            <w:r>
              <w:rPr>
                <w:color w:val="FF0000"/>
              </w:rPr>
              <w:t>5309529Nm</w:t>
            </w:r>
            <w:r>
              <w:rPr>
                <w:color w:val="FF0000"/>
                <w:vertAlign w:val="superscript"/>
              </w:rPr>
              <w:t>3</w:t>
            </w:r>
            <w:r>
              <w:rPr>
                <w:color w:val="FF0000"/>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Merge w:val="continue"/>
            <w:vAlign w:val="center"/>
          </w:tcPr>
          <w:p>
            <w:pPr>
              <w:pStyle w:val="43"/>
            </w:pPr>
          </w:p>
        </w:tc>
        <w:tc>
          <w:tcPr>
            <w:tcW w:w="834" w:type="dxa"/>
            <w:vMerge w:val="continue"/>
            <w:vAlign w:val="center"/>
          </w:tcPr>
          <w:p>
            <w:pPr>
              <w:pStyle w:val="43"/>
            </w:pPr>
          </w:p>
        </w:tc>
        <w:tc>
          <w:tcPr>
            <w:tcW w:w="1262" w:type="dxa"/>
            <w:vAlign w:val="center"/>
          </w:tcPr>
          <w:p>
            <w:pPr>
              <w:pStyle w:val="43"/>
            </w:pPr>
            <w:r>
              <w:rPr>
                <w:rFonts w:hint="eastAsia"/>
              </w:rPr>
              <w:t>排放量</w:t>
            </w:r>
          </w:p>
        </w:tc>
        <w:tc>
          <w:tcPr>
            <w:tcW w:w="2071" w:type="dxa"/>
            <w:gridSpan w:val="2"/>
            <w:vAlign w:val="center"/>
          </w:tcPr>
          <w:p>
            <w:pPr>
              <w:pStyle w:val="43"/>
              <w:rPr>
                <w:color w:val="FF0000"/>
              </w:rPr>
            </w:pPr>
            <w:r>
              <w:rPr>
                <w:color w:val="FF0000"/>
              </w:rPr>
              <w:t>59.13</w:t>
            </w:r>
          </w:p>
        </w:tc>
        <w:tc>
          <w:tcPr>
            <w:tcW w:w="2071" w:type="dxa"/>
            <w:gridSpan w:val="2"/>
            <w:vAlign w:val="center"/>
          </w:tcPr>
          <w:p>
            <w:pPr>
              <w:pStyle w:val="43"/>
              <w:rPr>
                <w:color w:val="FF0000"/>
              </w:rPr>
            </w:pPr>
            <w:r>
              <w:rPr>
                <w:color w:val="FF0000"/>
              </w:rPr>
              <w:t>98.55</w:t>
            </w:r>
          </w:p>
        </w:tc>
        <w:tc>
          <w:tcPr>
            <w:tcW w:w="2075" w:type="dxa"/>
            <w:vAlign w:val="center"/>
          </w:tcPr>
          <w:p>
            <w:pPr>
              <w:pStyle w:val="43"/>
              <w:rPr>
                <w:color w:val="FF0000"/>
              </w:rPr>
            </w:pPr>
            <w:r>
              <w:rPr>
                <w:color w:val="FF0000"/>
              </w:rPr>
              <w:t>149.30</w:t>
            </w:r>
          </w:p>
        </w:tc>
      </w:tr>
    </w:tbl>
    <w:p>
      <w:pPr>
        <w:pStyle w:val="49"/>
        <w:ind w:firstLine="480"/>
      </w:pPr>
      <w:r>
        <w:rPr>
          <w:rFonts w:hint="eastAsia"/>
        </w:rPr>
        <w:t>由上表</w:t>
      </w:r>
      <w:r>
        <w:t>可见，项目天然气锅炉排放的</w:t>
      </w:r>
      <w:r>
        <w:rPr>
          <w:rFonts w:hint="eastAsia"/>
        </w:rPr>
        <w:t>废气</w:t>
      </w:r>
      <w:r>
        <w:rPr>
          <w:bCs/>
        </w:rPr>
        <w:t>污染物排放浓度均可以达到《锅炉大气污染物排放标准》（DB61/1226-2018）的要求。</w:t>
      </w:r>
    </w:p>
    <w:p>
      <w:pPr>
        <w:pStyle w:val="6"/>
      </w:pPr>
      <w:r>
        <w:rPr>
          <w:rFonts w:hint="eastAsia"/>
        </w:rPr>
        <w:t>污水</w:t>
      </w:r>
      <w:r>
        <w:t>处理站恶臭</w:t>
      </w:r>
    </w:p>
    <w:p>
      <w:pPr>
        <w:pStyle w:val="64"/>
        <w:ind w:firstLine="480"/>
        <w:rPr>
          <w:rFonts w:ascii="Times New Roman" w:hAnsi="Times New Roman" w:cs="Times New Roman"/>
          <w:w w:val="100"/>
        </w:rPr>
      </w:pPr>
      <w:r>
        <w:rPr>
          <w:rFonts w:hint="eastAsia"/>
          <w:w w:val="100"/>
        </w:rPr>
        <w:t>项目污水处理站位于项目场地东北侧，污水处理工艺采用“混凝沉淀+次氯</w:t>
      </w:r>
      <w:r>
        <w:rPr>
          <w:w w:val="100"/>
        </w:rPr>
        <w:t>酸钠</w:t>
      </w:r>
      <w:r>
        <w:rPr>
          <w:rFonts w:hint="eastAsia"/>
          <w:w w:val="100"/>
        </w:rPr>
        <w:t>消毒”，</w:t>
      </w:r>
      <w:r>
        <w:rPr>
          <w:rFonts w:hint="eastAsia" w:ascii="Times New Roman" w:hAnsi="Times New Roman"/>
          <w:w w:val="100"/>
        </w:rPr>
        <w:t>即采用“化粪池</w:t>
      </w:r>
      <w:r>
        <w:rPr>
          <w:w w:val="100"/>
        </w:rPr>
        <w:t>+</w:t>
      </w:r>
      <w:r>
        <w:rPr>
          <w:rFonts w:hint="eastAsia"/>
          <w:w w:val="100"/>
        </w:rPr>
        <w:t>格栅</w:t>
      </w:r>
      <w:r>
        <w:rPr>
          <w:w w:val="100"/>
        </w:rPr>
        <w:t>+</w:t>
      </w:r>
      <w:r>
        <w:rPr>
          <w:rFonts w:hint="eastAsia"/>
          <w:w w:val="100"/>
        </w:rPr>
        <w:t>调节池</w:t>
      </w:r>
      <w:r>
        <w:rPr>
          <w:w w:val="100"/>
        </w:rPr>
        <w:t>+</w:t>
      </w:r>
      <w:r>
        <w:rPr>
          <w:rFonts w:hint="eastAsia"/>
          <w:w w:val="100"/>
        </w:rPr>
        <w:t>絮凝沉淀池</w:t>
      </w:r>
      <w:r>
        <w:rPr>
          <w:w w:val="100"/>
        </w:rPr>
        <w:t>+</w:t>
      </w:r>
      <w:r>
        <w:rPr>
          <w:rFonts w:hint="eastAsia"/>
          <w:w w:val="100"/>
        </w:rPr>
        <w:t>接触消毒池”处理工艺，采用地埋式建设，污水处理站在运行过程将产生恶臭气体，恶臭气体的主要成分为</w:t>
      </w:r>
      <w:r>
        <w:rPr>
          <w:rFonts w:ascii="Times New Roman" w:hAnsi="Times New Roman" w:cs="Times New Roman"/>
          <w:w w:val="100"/>
        </w:rPr>
        <w:t>NH</w:t>
      </w:r>
      <w:r>
        <w:rPr>
          <w:rFonts w:ascii="Times New Roman" w:hAnsi="Times New Roman" w:cs="Times New Roman"/>
          <w:w w:val="100"/>
          <w:vertAlign w:val="subscript"/>
        </w:rPr>
        <w:t>3</w:t>
      </w:r>
      <w:r>
        <w:rPr>
          <w:rFonts w:ascii="Times New Roman" w:hAnsi="Times New Roman" w:cs="Times New Roman"/>
          <w:w w:val="100"/>
        </w:rPr>
        <w:t xml:space="preserve"> 和H</w:t>
      </w:r>
      <w:r>
        <w:rPr>
          <w:rFonts w:ascii="Times New Roman" w:hAnsi="Times New Roman" w:cs="Times New Roman"/>
          <w:w w:val="100"/>
          <w:vertAlign w:val="subscript"/>
        </w:rPr>
        <w:t>2</w:t>
      </w:r>
      <w:r>
        <w:rPr>
          <w:rFonts w:ascii="Times New Roman" w:hAnsi="Times New Roman" w:cs="Times New Roman"/>
          <w:w w:val="100"/>
        </w:rPr>
        <w:t>S 等物质。根据美国EPA 对污水处理厂恶臭污染物产生情况的研究，每处理1g 的BOD</w:t>
      </w:r>
      <w:r>
        <w:rPr>
          <w:rFonts w:ascii="Times New Roman" w:hAnsi="Times New Roman" w:cs="Times New Roman"/>
          <w:w w:val="100"/>
          <w:vertAlign w:val="subscript"/>
        </w:rPr>
        <w:t>5</w:t>
      </w:r>
      <w:r>
        <w:rPr>
          <w:rFonts w:ascii="Times New Roman" w:hAnsi="Times New Roman" w:cs="Times New Roman"/>
          <w:w w:val="100"/>
        </w:rPr>
        <w:t>可产生0.0031g 的NH</w:t>
      </w:r>
      <w:r>
        <w:rPr>
          <w:rFonts w:ascii="Times New Roman" w:hAnsi="Times New Roman" w:cs="Times New Roman"/>
          <w:w w:val="100"/>
          <w:vertAlign w:val="subscript"/>
        </w:rPr>
        <w:t>3</w:t>
      </w:r>
      <w:r>
        <w:rPr>
          <w:rFonts w:ascii="Times New Roman" w:hAnsi="Times New Roman" w:cs="Times New Roman"/>
          <w:w w:val="100"/>
        </w:rPr>
        <w:t>和0.00012g的H</w:t>
      </w:r>
      <w:r>
        <w:rPr>
          <w:rFonts w:ascii="Times New Roman" w:hAnsi="Times New Roman" w:cs="Times New Roman"/>
          <w:w w:val="100"/>
          <w:vertAlign w:val="subscript"/>
        </w:rPr>
        <w:t>2</w:t>
      </w:r>
      <w:r>
        <w:rPr>
          <w:rFonts w:ascii="Times New Roman" w:hAnsi="Times New Roman" w:cs="Times New Roman"/>
          <w:w w:val="100"/>
        </w:rPr>
        <w:t>S。本项目污水处理站采用一级强化+次氯酸钠消毒工艺，对BOD</w:t>
      </w:r>
      <w:r>
        <w:rPr>
          <w:rFonts w:ascii="Times New Roman" w:hAnsi="Times New Roman" w:cs="Times New Roman"/>
          <w:w w:val="100"/>
          <w:vertAlign w:val="subscript"/>
        </w:rPr>
        <w:t>5</w:t>
      </w:r>
      <w:r>
        <w:rPr>
          <w:rFonts w:ascii="Times New Roman" w:hAnsi="Times New Roman" w:cs="Times New Roman"/>
          <w:w w:val="100"/>
        </w:rPr>
        <w:t>的</w:t>
      </w:r>
      <w:r>
        <w:rPr>
          <w:rFonts w:hint="eastAsia" w:ascii="Times New Roman" w:hAnsi="Times New Roman" w:cs="Times New Roman"/>
          <w:w w:val="100"/>
        </w:rPr>
        <w:t>去除</w:t>
      </w:r>
      <w:r>
        <w:rPr>
          <w:rFonts w:ascii="Times New Roman" w:hAnsi="Times New Roman" w:cs="Times New Roman"/>
          <w:w w:val="100"/>
        </w:rPr>
        <w:t>效率</w:t>
      </w:r>
      <w:r>
        <w:rPr>
          <w:rFonts w:hint="eastAsia" w:ascii="Times New Roman" w:hAnsi="Times New Roman" w:cs="Times New Roman"/>
          <w:w w:val="100"/>
        </w:rPr>
        <w:t>为40%，</w:t>
      </w:r>
      <w:r>
        <w:rPr>
          <w:rFonts w:ascii="Times New Roman" w:hAnsi="Times New Roman" w:cs="Times New Roman"/>
          <w:w w:val="100"/>
        </w:rPr>
        <w:t>则</w:t>
      </w:r>
      <w:r>
        <w:rPr>
          <w:rFonts w:hint="eastAsia" w:ascii="Times New Roman" w:hAnsi="Times New Roman" w:cs="Times New Roman"/>
          <w:w w:val="100"/>
        </w:rPr>
        <w:t>BOD</w:t>
      </w:r>
      <w:r>
        <w:rPr>
          <w:rFonts w:ascii="Times New Roman" w:hAnsi="Times New Roman" w:cs="Times New Roman"/>
          <w:w w:val="100"/>
          <w:vertAlign w:val="subscript"/>
        </w:rPr>
        <w:t>5</w:t>
      </w:r>
      <w:r>
        <w:rPr>
          <w:rFonts w:hint="eastAsia" w:ascii="Times New Roman" w:hAnsi="Times New Roman" w:cs="Times New Roman"/>
          <w:w w:val="100"/>
        </w:rPr>
        <w:t>的消减量为4.27</w:t>
      </w:r>
      <w:r>
        <w:rPr>
          <w:rFonts w:ascii="Times New Roman" w:hAnsi="Times New Roman" w:cs="Times New Roman"/>
          <w:w w:val="100"/>
        </w:rPr>
        <w:t>t/a，</w:t>
      </w:r>
      <w:r>
        <w:rPr>
          <w:rFonts w:hint="eastAsia" w:cs="宋体"/>
          <w:w w:val="100"/>
          <w:kern w:val="0"/>
        </w:rPr>
        <w:t>据此可计算出</w:t>
      </w:r>
      <w:r>
        <w:rPr>
          <w:rFonts w:ascii="TimesNewRomanPSMT" w:eastAsia="TimesNewRomanPSMT" w:cs="TimesNewRomanPSMT"/>
          <w:w w:val="100"/>
          <w:kern w:val="0"/>
        </w:rPr>
        <w:t>NH</w:t>
      </w:r>
      <w:r>
        <w:rPr>
          <w:rFonts w:ascii="TimesNewRomanPSMT" w:eastAsia="TimesNewRomanPSMT" w:cs="TimesNewRomanPSMT"/>
          <w:w w:val="100"/>
          <w:kern w:val="0"/>
          <w:sz w:val="16"/>
          <w:szCs w:val="16"/>
        </w:rPr>
        <w:t xml:space="preserve">3 </w:t>
      </w:r>
      <w:r>
        <w:rPr>
          <w:rFonts w:hint="eastAsia" w:cs="宋体"/>
          <w:w w:val="100"/>
          <w:kern w:val="0"/>
        </w:rPr>
        <w:t>产生量为</w:t>
      </w:r>
      <w:r>
        <w:rPr>
          <w:rFonts w:ascii="TimesNewRomanPSMT" w:eastAsia="TimesNewRomanPSMT" w:cs="TimesNewRomanPSMT"/>
          <w:w w:val="100"/>
          <w:kern w:val="0"/>
        </w:rPr>
        <w:t>13.24kg/a</w:t>
      </w:r>
      <w:r>
        <w:rPr>
          <w:rFonts w:hint="eastAsia" w:cs="宋体"/>
          <w:w w:val="100"/>
          <w:kern w:val="0"/>
        </w:rPr>
        <w:t>，</w:t>
      </w:r>
      <w:r>
        <w:rPr>
          <w:rFonts w:ascii="TimesNewRomanPSMT" w:eastAsia="TimesNewRomanPSMT" w:cs="TimesNewRomanPSMT"/>
          <w:w w:val="100"/>
          <w:kern w:val="0"/>
        </w:rPr>
        <w:t>H</w:t>
      </w:r>
      <w:r>
        <w:rPr>
          <w:rFonts w:ascii="TimesNewRomanPSMT" w:eastAsia="TimesNewRomanPSMT" w:cs="TimesNewRomanPSMT"/>
          <w:w w:val="100"/>
          <w:kern w:val="0"/>
          <w:sz w:val="16"/>
          <w:szCs w:val="16"/>
        </w:rPr>
        <w:t>2</w:t>
      </w:r>
      <w:r>
        <w:rPr>
          <w:rFonts w:ascii="TimesNewRomanPSMT" w:eastAsia="TimesNewRomanPSMT" w:cs="TimesNewRomanPSMT"/>
          <w:w w:val="100"/>
          <w:kern w:val="0"/>
        </w:rPr>
        <w:t xml:space="preserve">S </w:t>
      </w:r>
      <w:r>
        <w:rPr>
          <w:rFonts w:hint="eastAsia" w:cs="宋体"/>
          <w:w w:val="100"/>
          <w:kern w:val="0"/>
        </w:rPr>
        <w:t>的产生量为</w:t>
      </w:r>
      <w:r>
        <w:rPr>
          <w:rFonts w:ascii="TimesNewRomanPSMT" w:eastAsia="TimesNewRomanPSMT" w:cs="TimesNewRomanPSMT"/>
          <w:w w:val="100"/>
          <w:kern w:val="0"/>
        </w:rPr>
        <w:t>0.51kg/a</w:t>
      </w:r>
      <w:r>
        <w:rPr>
          <w:rFonts w:hint="eastAsia" w:cs="宋体"/>
          <w:w w:val="100"/>
          <w:kern w:val="0"/>
        </w:rPr>
        <w:t>。</w:t>
      </w:r>
    </w:p>
    <w:p>
      <w:pPr>
        <w:pStyle w:val="40"/>
        <w:ind w:firstLine="480"/>
      </w:pPr>
      <w:r>
        <w:rPr>
          <w:rFonts w:hint="eastAsia"/>
        </w:rPr>
        <w:t>由于本项目拟采用的污水处理站为地下式结构，格栅池、调节池、絮凝沉淀池均为地下设施，各个污水处理单元均进行密封加盖密闭，并定期投放生物除臭剂，并在污水处理站周边设置绿化隔离带，可抑制大部分恶臭外排，少量逸散的臭气以无组织形式外排。本次评价除臭效率按</w:t>
      </w:r>
      <w:r>
        <w:t>80%</w:t>
      </w:r>
      <w:r>
        <w:rPr>
          <w:rFonts w:hint="eastAsia"/>
        </w:rPr>
        <w:t>核算，则项目污水处理站恶臭污染物排放情况见表</w:t>
      </w:r>
      <w:r>
        <w:t>4.2-5</w:t>
      </w:r>
      <w:r>
        <w:rPr>
          <w:rFonts w:hint="eastAsia"/>
        </w:rPr>
        <w:t>。</w:t>
      </w:r>
    </w:p>
    <w:p>
      <w:pPr>
        <w:pStyle w:val="56"/>
        <w:ind w:firstLine="211"/>
      </w:pPr>
      <w:r>
        <w:rPr>
          <w:rFonts w:hint="eastAsia"/>
        </w:rPr>
        <w:t>表4.2-5  污水</w:t>
      </w:r>
      <w:r>
        <w:t>处理站</w:t>
      </w:r>
      <w:r>
        <w:rPr>
          <w:rFonts w:hint="eastAsia"/>
        </w:rPr>
        <w:t>恶臭</w:t>
      </w:r>
      <w:r>
        <w:t>污染物排放</w:t>
      </w:r>
      <w:r>
        <w:rPr>
          <w:rFonts w:hint="eastAsia"/>
        </w:rPr>
        <w:t>情况</w:t>
      </w:r>
      <w:r>
        <w:t>一览表</w:t>
      </w:r>
    </w:p>
    <w:tbl>
      <w:tblPr>
        <w:tblStyle w:val="2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560"/>
        <w:gridCol w:w="1722"/>
        <w:gridCol w:w="1478"/>
        <w:gridCol w:w="1478"/>
        <w:gridCol w:w="14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7" w:type="dxa"/>
            <w:vAlign w:val="center"/>
          </w:tcPr>
          <w:p>
            <w:pPr>
              <w:pStyle w:val="43"/>
            </w:pPr>
            <w:r>
              <w:rPr>
                <w:rFonts w:hint="eastAsia"/>
              </w:rPr>
              <w:t>污染物</w:t>
            </w:r>
          </w:p>
        </w:tc>
        <w:tc>
          <w:tcPr>
            <w:tcW w:w="1560" w:type="dxa"/>
            <w:vAlign w:val="center"/>
          </w:tcPr>
          <w:p>
            <w:pPr>
              <w:pStyle w:val="43"/>
            </w:pPr>
            <w:r>
              <w:rPr>
                <w:rFonts w:hint="eastAsia"/>
              </w:rPr>
              <w:t>产生</w:t>
            </w:r>
            <w:r>
              <w:t>量</w:t>
            </w:r>
          </w:p>
        </w:tc>
        <w:tc>
          <w:tcPr>
            <w:tcW w:w="1722" w:type="dxa"/>
            <w:vAlign w:val="center"/>
          </w:tcPr>
          <w:p>
            <w:pPr>
              <w:pStyle w:val="43"/>
            </w:pPr>
            <w:r>
              <w:rPr>
                <w:rFonts w:hint="eastAsia"/>
              </w:rPr>
              <w:t>产生</w:t>
            </w:r>
            <w:r>
              <w:t>速率</w:t>
            </w:r>
          </w:p>
        </w:tc>
        <w:tc>
          <w:tcPr>
            <w:tcW w:w="1478" w:type="dxa"/>
            <w:vAlign w:val="center"/>
          </w:tcPr>
          <w:p>
            <w:pPr>
              <w:pStyle w:val="43"/>
            </w:pPr>
            <w:r>
              <w:rPr>
                <w:rFonts w:hint="eastAsia"/>
              </w:rPr>
              <w:t>处理</w:t>
            </w:r>
            <w:r>
              <w:t>措施</w:t>
            </w:r>
          </w:p>
        </w:tc>
        <w:tc>
          <w:tcPr>
            <w:tcW w:w="1478" w:type="dxa"/>
            <w:vAlign w:val="center"/>
          </w:tcPr>
          <w:p>
            <w:pPr>
              <w:pStyle w:val="43"/>
            </w:pPr>
            <w:r>
              <w:rPr>
                <w:rFonts w:hint="eastAsia"/>
              </w:rPr>
              <w:t>排放量</w:t>
            </w:r>
          </w:p>
        </w:tc>
        <w:tc>
          <w:tcPr>
            <w:tcW w:w="1474" w:type="dxa"/>
            <w:vAlign w:val="center"/>
          </w:tcPr>
          <w:p>
            <w:pPr>
              <w:pStyle w:val="43"/>
            </w:pPr>
            <w:r>
              <w:rPr>
                <w:rFonts w:hint="eastAsia"/>
              </w:rPr>
              <w:t>排放</w:t>
            </w:r>
            <w:r>
              <w:t>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7" w:type="dxa"/>
            <w:vAlign w:val="center"/>
          </w:tcPr>
          <w:p>
            <w:pPr>
              <w:pStyle w:val="43"/>
            </w:pPr>
            <w:r>
              <w:rPr>
                <w:rFonts w:hint="eastAsia"/>
              </w:rPr>
              <w:t>NH</w:t>
            </w:r>
            <w:r>
              <w:rPr>
                <w:rFonts w:hint="eastAsia"/>
                <w:vertAlign w:val="subscript"/>
              </w:rPr>
              <w:t>3</w:t>
            </w:r>
          </w:p>
        </w:tc>
        <w:tc>
          <w:tcPr>
            <w:tcW w:w="1560" w:type="dxa"/>
            <w:vAlign w:val="center"/>
          </w:tcPr>
          <w:p>
            <w:pPr>
              <w:pStyle w:val="43"/>
            </w:pPr>
            <w:r>
              <w:rPr>
                <w:rFonts w:hint="eastAsia"/>
              </w:rPr>
              <w:t>13.24</w:t>
            </w:r>
            <w:r>
              <w:t>kg/a</w:t>
            </w:r>
          </w:p>
        </w:tc>
        <w:tc>
          <w:tcPr>
            <w:tcW w:w="1722" w:type="dxa"/>
            <w:vAlign w:val="center"/>
          </w:tcPr>
          <w:p>
            <w:pPr>
              <w:pStyle w:val="43"/>
            </w:pPr>
            <w:r>
              <w:rPr>
                <w:rFonts w:hint="eastAsia"/>
              </w:rPr>
              <w:t>0.0015</w:t>
            </w:r>
            <w:r>
              <w:t>1kg/h</w:t>
            </w:r>
          </w:p>
        </w:tc>
        <w:tc>
          <w:tcPr>
            <w:tcW w:w="1478" w:type="dxa"/>
            <w:vMerge w:val="restart"/>
            <w:vAlign w:val="center"/>
          </w:tcPr>
          <w:p>
            <w:pPr>
              <w:pStyle w:val="43"/>
            </w:pPr>
            <w:r>
              <w:rPr>
                <w:rFonts w:hint="eastAsia"/>
              </w:rPr>
              <w:t>设备密闭，喷洒除臭剂，周边绿化</w:t>
            </w:r>
          </w:p>
        </w:tc>
        <w:tc>
          <w:tcPr>
            <w:tcW w:w="1478" w:type="dxa"/>
            <w:vAlign w:val="center"/>
          </w:tcPr>
          <w:p>
            <w:pPr>
              <w:pStyle w:val="43"/>
            </w:pPr>
            <w:r>
              <w:rPr>
                <w:rFonts w:hint="eastAsia"/>
              </w:rPr>
              <w:t>2.6</w:t>
            </w:r>
            <w:r>
              <w:t>48kg/a</w:t>
            </w:r>
          </w:p>
        </w:tc>
        <w:tc>
          <w:tcPr>
            <w:tcW w:w="1474" w:type="dxa"/>
            <w:vAlign w:val="center"/>
          </w:tcPr>
          <w:p>
            <w:pPr>
              <w:pStyle w:val="43"/>
            </w:pPr>
            <w:r>
              <w:rPr>
                <w:rFonts w:hint="eastAsia"/>
              </w:rPr>
              <w:t>0.0003</w:t>
            </w:r>
            <w: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147" w:type="dxa"/>
            <w:vAlign w:val="center"/>
          </w:tcPr>
          <w:p>
            <w:pPr>
              <w:pStyle w:val="43"/>
            </w:pPr>
            <w:r>
              <w:rPr>
                <w:rFonts w:hint="eastAsia"/>
              </w:rPr>
              <w:t>H</w:t>
            </w:r>
            <w:r>
              <w:rPr>
                <w:rFonts w:hint="eastAsia"/>
                <w:vertAlign w:val="subscript"/>
              </w:rPr>
              <w:t>2</w:t>
            </w:r>
            <w:r>
              <w:rPr>
                <w:rFonts w:hint="eastAsia"/>
              </w:rPr>
              <w:t>S</w:t>
            </w:r>
          </w:p>
        </w:tc>
        <w:tc>
          <w:tcPr>
            <w:tcW w:w="1560" w:type="dxa"/>
            <w:vAlign w:val="center"/>
          </w:tcPr>
          <w:p>
            <w:pPr>
              <w:pStyle w:val="43"/>
            </w:pPr>
            <w:r>
              <w:rPr>
                <w:rFonts w:hint="eastAsia"/>
              </w:rPr>
              <w:t>0.51</w:t>
            </w:r>
            <w:r>
              <w:t>kg/a</w:t>
            </w:r>
          </w:p>
        </w:tc>
        <w:tc>
          <w:tcPr>
            <w:tcW w:w="1722" w:type="dxa"/>
            <w:vAlign w:val="center"/>
          </w:tcPr>
          <w:p>
            <w:pPr>
              <w:pStyle w:val="43"/>
            </w:pPr>
            <w:r>
              <w:rPr>
                <w:rFonts w:hint="eastAsia"/>
              </w:rPr>
              <w:t>0.00005</w:t>
            </w:r>
            <w:r>
              <w:t>8kg/h</w:t>
            </w:r>
          </w:p>
        </w:tc>
        <w:tc>
          <w:tcPr>
            <w:tcW w:w="1478" w:type="dxa"/>
            <w:vMerge w:val="continue"/>
            <w:vAlign w:val="center"/>
          </w:tcPr>
          <w:p>
            <w:pPr>
              <w:pStyle w:val="43"/>
            </w:pPr>
          </w:p>
        </w:tc>
        <w:tc>
          <w:tcPr>
            <w:tcW w:w="1478" w:type="dxa"/>
            <w:vAlign w:val="center"/>
          </w:tcPr>
          <w:p>
            <w:pPr>
              <w:pStyle w:val="43"/>
            </w:pPr>
            <w:r>
              <w:rPr>
                <w:rFonts w:hint="eastAsia"/>
              </w:rPr>
              <w:t>0.102</w:t>
            </w:r>
            <w:r>
              <w:t>kg/a</w:t>
            </w:r>
          </w:p>
        </w:tc>
        <w:tc>
          <w:tcPr>
            <w:tcW w:w="1474" w:type="dxa"/>
            <w:vAlign w:val="center"/>
          </w:tcPr>
          <w:p>
            <w:pPr>
              <w:pStyle w:val="43"/>
            </w:pPr>
            <w:r>
              <w:rPr>
                <w:rFonts w:hint="eastAsia"/>
              </w:rPr>
              <w:t>0.00001</w:t>
            </w:r>
            <w:r>
              <w:t>kg/h</w:t>
            </w:r>
          </w:p>
        </w:tc>
      </w:tr>
    </w:tbl>
    <w:p>
      <w:pPr>
        <w:pStyle w:val="6"/>
      </w:pPr>
      <w:r>
        <w:rPr>
          <w:rFonts w:hint="eastAsia"/>
        </w:rPr>
        <w:t>食堂</w:t>
      </w:r>
      <w:r>
        <w:t>燃料废气</w:t>
      </w:r>
    </w:p>
    <w:p>
      <w:pPr>
        <w:pStyle w:val="40"/>
        <w:ind w:firstLine="480"/>
      </w:pPr>
      <w:r>
        <w:rPr>
          <w:rFonts w:hint="eastAsia"/>
        </w:rPr>
        <w:t>根据</w:t>
      </w:r>
      <w:r>
        <w:t>建设单位提供数据，项目建成后</w:t>
      </w:r>
      <w:r>
        <w:rPr>
          <w:rFonts w:hint="eastAsia"/>
        </w:rPr>
        <w:t>就餐</w:t>
      </w:r>
      <w:r>
        <w:t>人数为</w:t>
      </w:r>
      <w:r>
        <w:rPr>
          <w:rFonts w:hint="eastAsia"/>
        </w:rPr>
        <w:t>412人/次</w:t>
      </w:r>
      <w:r>
        <w:t>，每天提供三餐，最大就餐人数按</w:t>
      </w:r>
      <w:r>
        <w:rPr>
          <w:rFonts w:hint="eastAsia"/>
        </w:rPr>
        <w:t>1236人次/天</w:t>
      </w:r>
      <w:r>
        <w:t>计</w:t>
      </w:r>
      <w:r>
        <w:rPr>
          <w:rFonts w:hint="eastAsia"/>
        </w:rPr>
        <w:t>，</w:t>
      </w:r>
      <w:r>
        <w:t>食堂每天运行时间平均为</w:t>
      </w:r>
      <w:r>
        <w:rPr>
          <w:rFonts w:hint="eastAsia"/>
        </w:rPr>
        <w:t>5</w:t>
      </w:r>
      <w:r>
        <w:t>h，</w:t>
      </w:r>
      <w:r>
        <w:rPr>
          <w:rFonts w:hint="eastAsia"/>
        </w:rPr>
        <w:t>根据</w:t>
      </w:r>
      <w:r>
        <w:t>《</w:t>
      </w:r>
      <w:r>
        <w:rPr>
          <w:rFonts w:hint="eastAsia"/>
        </w:rPr>
        <w:t>城镇燃气</w:t>
      </w:r>
      <w:r>
        <w:t>设计规范》</w:t>
      </w:r>
      <w:r>
        <w:rPr>
          <w:rFonts w:hint="eastAsia"/>
        </w:rPr>
        <w:t>（GB50028-2006）中</w:t>
      </w:r>
      <w:r>
        <w:t>推荐的职工食堂耗热指标为</w:t>
      </w:r>
      <w:r>
        <w:rPr>
          <w:rFonts w:hint="eastAsia"/>
        </w:rPr>
        <w:t>1884</w:t>
      </w:r>
      <w:r>
        <w:t>~2303</w:t>
      </w:r>
      <w:r>
        <w:rPr>
          <w:rFonts w:hint="eastAsia"/>
        </w:rPr>
        <w:t xml:space="preserve"> </w:t>
      </w:r>
      <w:r>
        <w:t>MJ/人·a</w:t>
      </w:r>
      <w:r>
        <w:rPr>
          <w:rFonts w:hint="eastAsia"/>
        </w:rPr>
        <w:t>，</w:t>
      </w:r>
      <w:r>
        <w:t>本项目生活耗热定额取2300</w:t>
      </w:r>
      <w:r>
        <w:rPr>
          <w:rFonts w:hint="eastAsia"/>
        </w:rPr>
        <w:t xml:space="preserve"> </w:t>
      </w:r>
      <w:r>
        <w:t>MJ/人·a，天然气低热值为34.82</w:t>
      </w:r>
      <w:r>
        <w:rPr>
          <w:rFonts w:hint="eastAsia"/>
        </w:rPr>
        <w:t xml:space="preserve"> </w:t>
      </w:r>
      <w:r>
        <w:t>MJ/Nm</w:t>
      </w:r>
      <w:r>
        <w:rPr>
          <w:vertAlign w:val="superscript"/>
        </w:rPr>
        <w:t>3</w:t>
      </w:r>
      <w:r>
        <w:t>，则</w:t>
      </w:r>
      <w:r>
        <w:rPr>
          <w:rFonts w:hint="eastAsia"/>
        </w:rPr>
        <w:t>医院</w:t>
      </w:r>
      <w:r>
        <w:t>生活天然气使用量为8.16×10</w:t>
      </w:r>
      <w:r>
        <w:rPr>
          <w:rFonts w:hint="eastAsia"/>
          <w:vertAlign w:val="superscript"/>
        </w:rPr>
        <w:t>4</w:t>
      </w:r>
      <w:r>
        <w:rPr>
          <w:rFonts w:hint="eastAsia"/>
        </w:rPr>
        <w:t xml:space="preserve"> </w:t>
      </w:r>
      <w:r>
        <w:t>m</w:t>
      </w:r>
      <w:r>
        <w:rPr>
          <w:vertAlign w:val="superscript"/>
        </w:rPr>
        <w:t>3</w:t>
      </w:r>
      <w:r>
        <w:t>/a。</w:t>
      </w:r>
      <w:r>
        <w:rPr>
          <w:rFonts w:hint="eastAsia"/>
        </w:rPr>
        <w:t>根据</w:t>
      </w:r>
      <w:r>
        <w:t>《</w:t>
      </w:r>
      <w:r>
        <w:rPr>
          <w:rFonts w:hint="eastAsia"/>
        </w:rPr>
        <w:t>社会区域</w:t>
      </w:r>
      <w:r>
        <w:t>类环境影响评价》</w:t>
      </w:r>
      <w:r>
        <w:rPr>
          <w:rFonts w:hint="eastAsia"/>
        </w:rPr>
        <w:t>天然气</w:t>
      </w:r>
      <w:r>
        <w:t>燃烧的</w:t>
      </w:r>
      <w:r>
        <w:rPr>
          <w:rFonts w:hint="eastAsia"/>
        </w:rPr>
        <w:t>排污系数</w:t>
      </w:r>
      <w:r>
        <w:t>，燃烧1×10</w:t>
      </w:r>
      <w:r>
        <w:rPr>
          <w:vertAlign w:val="superscript"/>
        </w:rPr>
        <w:t>4</w:t>
      </w:r>
      <w:r>
        <w:rPr>
          <w:rFonts w:hint="eastAsia"/>
        </w:rPr>
        <w:t xml:space="preserve"> </w:t>
      </w:r>
      <w:r>
        <w:t>m</w:t>
      </w:r>
      <w:r>
        <w:rPr>
          <w:vertAlign w:val="superscript"/>
        </w:rPr>
        <w:t>3</w:t>
      </w:r>
      <w:r>
        <w:t>的天然气产生10.64×10</w:t>
      </w:r>
      <w:r>
        <w:rPr>
          <w:vertAlign w:val="superscript"/>
        </w:rPr>
        <w:t>4</w:t>
      </w:r>
      <w:r>
        <w:rPr>
          <w:rFonts w:hint="eastAsia"/>
        </w:rPr>
        <w:t xml:space="preserve"> </w:t>
      </w:r>
      <w:r>
        <w:t>m</w:t>
      </w:r>
      <w:r>
        <w:rPr>
          <w:vertAlign w:val="superscript"/>
        </w:rPr>
        <w:t>3</w:t>
      </w:r>
      <w:r>
        <w:t>的烟气，排放的污染物的量分别为NO</w:t>
      </w:r>
      <w:r>
        <w:rPr>
          <w:rFonts w:hint="eastAsia"/>
          <w:vertAlign w:val="subscript"/>
        </w:rPr>
        <w:t>x</w:t>
      </w:r>
      <w:r>
        <w:t>17.6</w:t>
      </w:r>
      <w:r>
        <w:rPr>
          <w:rFonts w:hint="eastAsia"/>
        </w:rPr>
        <w:t xml:space="preserve"> </w:t>
      </w:r>
      <w:r>
        <w:t>kg、SO</w:t>
      </w:r>
      <w:r>
        <w:rPr>
          <w:vertAlign w:val="subscript"/>
        </w:rPr>
        <w:t>2</w:t>
      </w:r>
      <w:r>
        <w:t>1.8</w:t>
      </w:r>
      <w:r>
        <w:rPr>
          <w:rFonts w:hint="eastAsia"/>
        </w:rPr>
        <w:t xml:space="preserve"> </w:t>
      </w:r>
      <w:r>
        <w:t>kg、烟尘1.4</w:t>
      </w:r>
      <w:r>
        <w:rPr>
          <w:rFonts w:hint="eastAsia"/>
        </w:rPr>
        <w:t xml:space="preserve"> </w:t>
      </w:r>
      <w:r>
        <w:t>kg</w:t>
      </w:r>
      <w:r>
        <w:rPr>
          <w:rFonts w:hint="eastAsia"/>
        </w:rPr>
        <w:t>。</w:t>
      </w:r>
      <w:r>
        <w:t>因此，本项目</w:t>
      </w:r>
      <w:r>
        <w:rPr>
          <w:rFonts w:hint="eastAsia"/>
        </w:rPr>
        <w:t>食堂燃气</w:t>
      </w:r>
      <w:r>
        <w:t>废气</w:t>
      </w:r>
      <w:r>
        <w:rPr>
          <w:rFonts w:hint="eastAsia"/>
        </w:rPr>
        <w:t>排放量</w:t>
      </w:r>
      <w:r>
        <w:t>86.82</w:t>
      </w:r>
      <w:r>
        <w:rPr>
          <w:rFonts w:hint="eastAsia"/>
        </w:rPr>
        <w:t>万</w:t>
      </w:r>
      <w:r>
        <w:t>m</w:t>
      </w:r>
      <w:r>
        <w:rPr>
          <w:vertAlign w:val="superscript"/>
        </w:rPr>
        <w:t>3</w:t>
      </w:r>
      <w:r>
        <w:t>/a，污染物</w:t>
      </w:r>
      <w:r>
        <w:rPr>
          <w:rFonts w:hint="eastAsia"/>
        </w:rPr>
        <w:t>排放</w:t>
      </w:r>
      <w:r>
        <w:t>量分别为NO</w:t>
      </w:r>
      <w:r>
        <w:rPr>
          <w:rFonts w:hint="eastAsia"/>
          <w:vertAlign w:val="subscript"/>
        </w:rPr>
        <w:t>x</w:t>
      </w:r>
      <w:r>
        <w:t>143.62kg</w:t>
      </w:r>
      <w:r>
        <w:rPr>
          <w:rFonts w:hint="eastAsia"/>
        </w:rPr>
        <w:t>/a</w:t>
      </w:r>
      <w:r>
        <w:t>、SO</w:t>
      </w:r>
      <w:r>
        <w:rPr>
          <w:vertAlign w:val="subscript"/>
        </w:rPr>
        <w:t>2</w:t>
      </w:r>
      <w:r>
        <w:t>14.69kg</w:t>
      </w:r>
      <w:r>
        <w:rPr>
          <w:rFonts w:hint="eastAsia"/>
        </w:rPr>
        <w:t>/a</w:t>
      </w:r>
      <w:r>
        <w:t>、烟尘11.42kg/a</w:t>
      </w:r>
      <w:r>
        <w:rPr>
          <w:rFonts w:hint="eastAsia"/>
        </w:rPr>
        <w:t>。</w:t>
      </w:r>
      <w:r>
        <w:t>本项目燃气排污量</w:t>
      </w:r>
      <w:r>
        <w:rPr>
          <w:rFonts w:hint="eastAsia"/>
        </w:rPr>
        <w:t>计算</w:t>
      </w:r>
      <w:r>
        <w:t>见表4.2-6</w:t>
      </w:r>
      <w:r>
        <w:rPr>
          <w:rFonts w:hint="eastAsia"/>
        </w:rPr>
        <w:t>。</w:t>
      </w:r>
    </w:p>
    <w:p>
      <w:pPr>
        <w:pStyle w:val="44"/>
      </w:pPr>
      <w:r>
        <w:t>表4.2-6  项目</w:t>
      </w:r>
      <w:r>
        <w:rPr>
          <w:rFonts w:hint="eastAsia"/>
        </w:rPr>
        <w:t>食堂燃气废气产生及排放表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74"/>
        <w:gridCol w:w="1774"/>
        <w:gridCol w:w="1774"/>
        <w:gridCol w:w="1774"/>
        <w:gridCol w:w="17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74" w:type="dxa"/>
            <w:vAlign w:val="center"/>
          </w:tcPr>
          <w:p>
            <w:pPr>
              <w:pStyle w:val="47"/>
            </w:pPr>
            <w:r>
              <w:t>项目</w:t>
            </w:r>
          </w:p>
        </w:tc>
        <w:tc>
          <w:tcPr>
            <w:tcW w:w="1774" w:type="dxa"/>
            <w:vAlign w:val="center"/>
          </w:tcPr>
          <w:p>
            <w:pPr>
              <w:pStyle w:val="47"/>
            </w:pPr>
            <w:r>
              <w:rPr>
                <w:rFonts w:hint="eastAsia"/>
              </w:rPr>
              <w:t>废气量</w:t>
            </w:r>
          </w:p>
        </w:tc>
        <w:tc>
          <w:tcPr>
            <w:tcW w:w="1774" w:type="dxa"/>
            <w:vAlign w:val="center"/>
          </w:tcPr>
          <w:p>
            <w:pPr>
              <w:pStyle w:val="47"/>
            </w:pPr>
            <w:r>
              <w:t>NO</w:t>
            </w:r>
            <w:r>
              <w:rPr>
                <w:rFonts w:hint="eastAsia"/>
                <w:vertAlign w:val="subscript"/>
              </w:rPr>
              <w:t>x</w:t>
            </w:r>
          </w:p>
        </w:tc>
        <w:tc>
          <w:tcPr>
            <w:tcW w:w="1774" w:type="dxa"/>
            <w:vAlign w:val="center"/>
          </w:tcPr>
          <w:p>
            <w:pPr>
              <w:pStyle w:val="47"/>
            </w:pPr>
            <w:r>
              <w:t>SO</w:t>
            </w:r>
            <w:r>
              <w:rPr>
                <w:vertAlign w:val="subscript"/>
              </w:rPr>
              <w:t>2</w:t>
            </w:r>
          </w:p>
        </w:tc>
        <w:tc>
          <w:tcPr>
            <w:tcW w:w="1774" w:type="dxa"/>
            <w:vAlign w:val="center"/>
          </w:tcPr>
          <w:p>
            <w:pPr>
              <w:pStyle w:val="47"/>
            </w:pPr>
            <w:r>
              <w:t>烟尘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74" w:type="dxa"/>
            <w:vAlign w:val="center"/>
          </w:tcPr>
          <w:p>
            <w:pPr>
              <w:pStyle w:val="47"/>
            </w:pPr>
            <w:r>
              <w:rPr>
                <w:rFonts w:hint="eastAsia"/>
              </w:rPr>
              <w:t>天然气</w:t>
            </w:r>
            <w:r>
              <w:t>用量</w:t>
            </w:r>
          </w:p>
        </w:tc>
        <w:tc>
          <w:tcPr>
            <w:tcW w:w="7096" w:type="dxa"/>
            <w:gridSpan w:val="4"/>
            <w:vAlign w:val="center"/>
          </w:tcPr>
          <w:p>
            <w:pPr>
              <w:pStyle w:val="47"/>
            </w:pPr>
            <w:r>
              <w:t>8.16</w:t>
            </w:r>
            <w:r>
              <w:rPr>
                <w:rFonts w:hint="eastAsia"/>
              </w:rPr>
              <w:t>×</w:t>
            </w:r>
            <w:r>
              <w:rPr>
                <w:szCs w:val="21"/>
              </w:rPr>
              <w:t>10</w:t>
            </w:r>
            <w:r>
              <w:rPr>
                <w:rFonts w:hint="eastAsia"/>
                <w:szCs w:val="21"/>
                <w:vertAlign w:val="superscript"/>
              </w:rPr>
              <w:t>4</w:t>
            </w:r>
            <w:r>
              <w:rPr>
                <w:rFonts w:hint="eastAsia"/>
                <w:szCs w:val="21"/>
              </w:rPr>
              <w:t xml:space="preserve"> </w:t>
            </w:r>
            <w:r>
              <w:rPr>
                <w:szCs w:val="21"/>
              </w:rPr>
              <w:t>m</w:t>
            </w:r>
            <w:r>
              <w:rPr>
                <w:szCs w:val="21"/>
                <w:vertAlign w:val="superscript"/>
              </w:rPr>
              <w:t>3</w:t>
            </w:r>
            <w:r>
              <w:rPr>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74" w:type="dxa"/>
            <w:vAlign w:val="center"/>
          </w:tcPr>
          <w:p>
            <w:pPr>
              <w:pStyle w:val="47"/>
            </w:pPr>
            <w:r>
              <w:t>排放系数</w:t>
            </w:r>
          </w:p>
        </w:tc>
        <w:tc>
          <w:tcPr>
            <w:tcW w:w="1774" w:type="dxa"/>
            <w:vAlign w:val="center"/>
          </w:tcPr>
          <w:p>
            <w:pPr>
              <w:pStyle w:val="47"/>
            </w:pPr>
            <w:r>
              <w:t>10.64m</w:t>
            </w:r>
            <w:r>
              <w:rPr>
                <w:vertAlign w:val="superscript"/>
              </w:rPr>
              <w:t>3</w:t>
            </w:r>
            <w:r>
              <w:t>/</w:t>
            </w:r>
            <w:r>
              <w:rPr>
                <w:rFonts w:hint="eastAsia"/>
                <w:vertAlign w:val="superscript"/>
              </w:rPr>
              <w:t xml:space="preserve"> </w:t>
            </w:r>
            <w:r>
              <w:t>m</w:t>
            </w:r>
            <w:r>
              <w:rPr>
                <w:vertAlign w:val="superscript"/>
              </w:rPr>
              <w:t>3</w:t>
            </w:r>
          </w:p>
        </w:tc>
        <w:tc>
          <w:tcPr>
            <w:tcW w:w="1774" w:type="dxa"/>
            <w:vAlign w:val="center"/>
          </w:tcPr>
          <w:p>
            <w:pPr>
              <w:pStyle w:val="47"/>
            </w:pPr>
            <w:r>
              <w:t>17.6kg/</w:t>
            </w:r>
            <w:r>
              <w:rPr>
                <w:szCs w:val="21"/>
              </w:rPr>
              <w:t>10</w:t>
            </w:r>
            <w:r>
              <w:rPr>
                <w:rFonts w:hint="eastAsia"/>
                <w:szCs w:val="21"/>
                <w:vertAlign w:val="superscript"/>
              </w:rPr>
              <w:t>4</w:t>
            </w:r>
            <w:r>
              <w:rPr>
                <w:rFonts w:hint="eastAsia"/>
                <w:szCs w:val="21"/>
              </w:rPr>
              <w:t xml:space="preserve"> </w:t>
            </w:r>
            <w:r>
              <w:t>m</w:t>
            </w:r>
            <w:r>
              <w:rPr>
                <w:vertAlign w:val="superscript"/>
              </w:rPr>
              <w:t>3</w:t>
            </w:r>
          </w:p>
        </w:tc>
        <w:tc>
          <w:tcPr>
            <w:tcW w:w="1774" w:type="dxa"/>
            <w:vAlign w:val="center"/>
          </w:tcPr>
          <w:p>
            <w:pPr>
              <w:pStyle w:val="47"/>
            </w:pPr>
            <w:r>
              <w:t>1.8 kg/</w:t>
            </w:r>
            <w:r>
              <w:rPr>
                <w:szCs w:val="21"/>
              </w:rPr>
              <w:t>10</w:t>
            </w:r>
            <w:r>
              <w:rPr>
                <w:rFonts w:hint="eastAsia"/>
                <w:szCs w:val="21"/>
                <w:vertAlign w:val="superscript"/>
              </w:rPr>
              <w:t>4</w:t>
            </w:r>
            <w:r>
              <w:rPr>
                <w:rFonts w:hint="eastAsia"/>
                <w:szCs w:val="21"/>
              </w:rPr>
              <w:t xml:space="preserve"> </w:t>
            </w:r>
            <w:r>
              <w:t>m</w:t>
            </w:r>
            <w:r>
              <w:rPr>
                <w:vertAlign w:val="superscript"/>
              </w:rPr>
              <w:t>3</w:t>
            </w:r>
          </w:p>
        </w:tc>
        <w:tc>
          <w:tcPr>
            <w:tcW w:w="1774" w:type="dxa"/>
            <w:vAlign w:val="center"/>
          </w:tcPr>
          <w:p>
            <w:pPr>
              <w:pStyle w:val="47"/>
            </w:pPr>
            <w:r>
              <w:t>1.4 kg/</w:t>
            </w:r>
            <w:r>
              <w:rPr>
                <w:szCs w:val="21"/>
              </w:rPr>
              <w:t>10</w:t>
            </w:r>
            <w:r>
              <w:rPr>
                <w:rFonts w:hint="eastAsia"/>
                <w:szCs w:val="21"/>
                <w:vertAlign w:val="superscript"/>
              </w:rPr>
              <w:t>4</w:t>
            </w:r>
            <w:r>
              <w:rPr>
                <w:rFonts w:hint="eastAsia"/>
                <w:szCs w:val="21"/>
              </w:rPr>
              <w:t xml:space="preserve"> </w:t>
            </w:r>
            <w:r>
              <w:t>m</w:t>
            </w:r>
            <w:r>
              <w:rPr>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774" w:type="dxa"/>
            <w:vAlign w:val="center"/>
          </w:tcPr>
          <w:p>
            <w:pPr>
              <w:pStyle w:val="47"/>
            </w:pPr>
            <w:r>
              <w:t>排放量</w:t>
            </w:r>
          </w:p>
        </w:tc>
        <w:tc>
          <w:tcPr>
            <w:tcW w:w="1774" w:type="dxa"/>
            <w:vAlign w:val="center"/>
          </w:tcPr>
          <w:p>
            <w:pPr>
              <w:pStyle w:val="47"/>
            </w:pPr>
            <w:r>
              <w:t>86.82</w:t>
            </w:r>
            <w:r>
              <w:rPr>
                <w:rFonts w:hint="eastAsia"/>
              </w:rPr>
              <w:t>万</w:t>
            </w:r>
            <w:r>
              <w:t xml:space="preserve"> m</w:t>
            </w:r>
            <w:r>
              <w:rPr>
                <w:vertAlign w:val="superscript"/>
              </w:rPr>
              <w:t>3</w:t>
            </w:r>
            <w:r>
              <w:t>/a</w:t>
            </w:r>
          </w:p>
        </w:tc>
        <w:tc>
          <w:tcPr>
            <w:tcW w:w="1774" w:type="dxa"/>
            <w:vAlign w:val="center"/>
          </w:tcPr>
          <w:p>
            <w:pPr>
              <w:pStyle w:val="47"/>
            </w:pPr>
            <w:r>
              <w:t>143.62kg/a</w:t>
            </w:r>
          </w:p>
        </w:tc>
        <w:tc>
          <w:tcPr>
            <w:tcW w:w="1774" w:type="dxa"/>
            <w:vAlign w:val="center"/>
          </w:tcPr>
          <w:p>
            <w:pPr>
              <w:pStyle w:val="47"/>
            </w:pPr>
            <w:r>
              <w:t>14.69kg/a</w:t>
            </w:r>
          </w:p>
        </w:tc>
        <w:tc>
          <w:tcPr>
            <w:tcW w:w="1774" w:type="dxa"/>
            <w:vAlign w:val="center"/>
          </w:tcPr>
          <w:p>
            <w:pPr>
              <w:pStyle w:val="47"/>
            </w:pPr>
            <w:r>
              <w:t>11.42kg/a</w:t>
            </w:r>
          </w:p>
        </w:tc>
      </w:tr>
    </w:tbl>
    <w:p>
      <w:pPr>
        <w:pStyle w:val="6"/>
      </w:pPr>
      <w:r>
        <w:rPr>
          <w:rFonts w:hint="eastAsia"/>
        </w:rPr>
        <w:t>食堂</w:t>
      </w:r>
      <w:r>
        <w:t>油烟</w:t>
      </w:r>
    </w:p>
    <w:p>
      <w:pPr>
        <w:pStyle w:val="40"/>
        <w:ind w:firstLine="480"/>
      </w:pPr>
      <w:r>
        <w:rPr>
          <w:rFonts w:hint="eastAsia"/>
        </w:rPr>
        <w:t>项目医院设有食堂，食堂位于办公</w:t>
      </w:r>
      <w:r>
        <w:t>后勤楼</w:t>
      </w:r>
      <w:r>
        <w:rPr>
          <w:rFonts w:hint="eastAsia"/>
        </w:rPr>
        <w:t>一层，食堂燃料采用天然气，医院建成后，每天就餐人数按</w:t>
      </w:r>
      <w:r>
        <w:t>1236</w:t>
      </w:r>
      <w:r>
        <w:rPr>
          <w:rFonts w:hint="eastAsia"/>
        </w:rPr>
        <w:t>人次/</w:t>
      </w:r>
      <w:r>
        <w:t>d</w:t>
      </w:r>
      <w:r>
        <w:rPr>
          <w:rFonts w:hint="eastAsia"/>
        </w:rPr>
        <w:t>计，设置基准灶头</w:t>
      </w:r>
      <w:r>
        <w:t>5</w:t>
      </w:r>
      <w:r>
        <w:rPr>
          <w:rFonts w:hint="eastAsia"/>
        </w:rPr>
        <w:t>个。</w:t>
      </w:r>
      <w:r>
        <w:t>根据类比调查，</w:t>
      </w:r>
      <w:r>
        <w:rPr>
          <w:rFonts w:hint="eastAsia"/>
        </w:rPr>
        <w:t>一般</w:t>
      </w:r>
      <w:r>
        <w:t>15</w:t>
      </w:r>
      <w:r>
        <w:rPr>
          <w:rFonts w:hint="eastAsia"/>
        </w:rPr>
        <w:t>g/人·餐用油量，年耗油量为</w:t>
      </w:r>
      <w:r>
        <w:t>6.77t/a</w:t>
      </w:r>
      <w:r>
        <w:rPr>
          <w:rFonts w:hint="eastAsia"/>
        </w:rPr>
        <w:t>，</w:t>
      </w:r>
      <w:r>
        <w:t>一般油烟挥发量占总耗油量的2～4%，平均为2.83%</w:t>
      </w:r>
      <w:r>
        <w:rPr>
          <w:rFonts w:hint="eastAsia"/>
        </w:rPr>
        <w:t>，油烟产生量为</w:t>
      </w:r>
      <w:r>
        <w:t>0.19t</w:t>
      </w:r>
      <w:r>
        <w:rPr>
          <w:rFonts w:hint="eastAsia"/>
        </w:rPr>
        <w:t>/a，根据</w:t>
      </w:r>
      <w:r>
        <w:t>建设单位提供的资料，</w:t>
      </w:r>
      <w:r>
        <w:rPr>
          <w:rFonts w:hint="eastAsia"/>
        </w:rPr>
        <w:t>项目厨房设计风</w:t>
      </w:r>
      <w:r>
        <w:t>机风量</w:t>
      </w:r>
      <w:r>
        <w:rPr>
          <w:rFonts w:hint="eastAsia"/>
        </w:rPr>
        <w:t>为</w:t>
      </w:r>
      <w:r>
        <w:t>30000m</w:t>
      </w:r>
      <w:r>
        <w:rPr>
          <w:vertAlign w:val="superscript"/>
        </w:rPr>
        <w:t>3</w:t>
      </w:r>
      <w:r>
        <w:t>/h，则油烟产生</w:t>
      </w:r>
      <w:r>
        <w:rPr>
          <w:rFonts w:hint="eastAsia"/>
        </w:rPr>
        <w:t>浓度</w:t>
      </w:r>
      <w:r>
        <w:t>为3.50</w:t>
      </w:r>
      <w:r>
        <w:rPr>
          <w:rFonts w:hint="eastAsia"/>
        </w:rPr>
        <w:t>mg/m</w:t>
      </w:r>
      <w:r>
        <w:rPr>
          <w:rFonts w:hint="eastAsia"/>
          <w:vertAlign w:val="superscript"/>
        </w:rPr>
        <w:t>3</w:t>
      </w:r>
      <w:r>
        <w:rPr>
          <w:rFonts w:hint="eastAsia"/>
        </w:rPr>
        <w:t>，根据《饮食业油烟排放标准（试行）》（GB18483-2001）规定，食堂需安装净化效率</w:t>
      </w:r>
      <w:r>
        <w:t>75</w:t>
      </w:r>
      <w:r>
        <w:rPr>
          <w:rFonts w:hint="eastAsia"/>
        </w:rPr>
        <w:t>% 以上的油烟净化装置，油烟通过该油烟净化器净化后，油烟排放量</w:t>
      </w:r>
      <w:r>
        <w:t>0.05t</w:t>
      </w:r>
      <w:r>
        <w:rPr>
          <w:rFonts w:hint="eastAsia"/>
        </w:rPr>
        <w:t>/a，排放浓度</w:t>
      </w:r>
      <w:r>
        <w:t>0.88</w:t>
      </w:r>
      <w:r>
        <w:rPr>
          <w:rFonts w:hint="eastAsia"/>
        </w:rPr>
        <w:t>mg/m</w:t>
      </w:r>
      <w:r>
        <w:rPr>
          <w:rFonts w:hint="eastAsia"/>
          <w:vertAlign w:val="superscript"/>
        </w:rPr>
        <w:t>3</w:t>
      </w:r>
      <w:r>
        <w:rPr>
          <w:rFonts w:hint="eastAsia"/>
        </w:rPr>
        <w:t>，经烟道引至楼顶排放。项目食堂油烟产生及排放情况见表</w:t>
      </w:r>
      <w:r>
        <w:t>4.2-7</w:t>
      </w:r>
      <w:r>
        <w:rPr>
          <w:rFonts w:hint="eastAsia"/>
        </w:rPr>
        <w:t>。</w:t>
      </w:r>
    </w:p>
    <w:p>
      <w:pPr>
        <w:pStyle w:val="22"/>
      </w:pPr>
      <w:r>
        <w:t xml:space="preserve">表4.2-7  </w:t>
      </w:r>
      <w:r>
        <w:rPr>
          <w:rFonts w:hint="eastAsia"/>
        </w:rPr>
        <w:t>项目食堂油烟产生及排放表</w:t>
      </w:r>
    </w:p>
    <w:tbl>
      <w:tblPr>
        <w:tblStyle w:val="25"/>
        <w:tblW w:w="887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47"/>
        <w:gridCol w:w="1674"/>
        <w:gridCol w:w="1323"/>
        <w:gridCol w:w="1265"/>
        <w:gridCol w:w="1271"/>
        <w:gridCol w:w="1065"/>
        <w:gridCol w:w="10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195" w:hRule="atLeast"/>
          <w:jc w:val="center"/>
        </w:trPr>
        <w:tc>
          <w:tcPr>
            <w:tcW w:w="1247" w:type="dxa"/>
            <w:vMerge w:val="restart"/>
            <w:tcMar>
              <w:top w:w="15" w:type="dxa"/>
              <w:left w:w="15" w:type="dxa"/>
              <w:bottom w:w="0" w:type="dxa"/>
              <w:right w:w="15" w:type="dxa"/>
            </w:tcMar>
            <w:vAlign w:val="center"/>
          </w:tcPr>
          <w:p>
            <w:pPr>
              <w:pStyle w:val="43"/>
            </w:pPr>
            <w:r>
              <w:t>规模</w:t>
            </w:r>
          </w:p>
        </w:tc>
        <w:tc>
          <w:tcPr>
            <w:tcW w:w="1674" w:type="dxa"/>
            <w:vMerge w:val="restart"/>
            <w:tcMar>
              <w:top w:w="15" w:type="dxa"/>
              <w:left w:w="15" w:type="dxa"/>
              <w:bottom w:w="0" w:type="dxa"/>
              <w:right w:w="15" w:type="dxa"/>
            </w:tcMar>
            <w:vAlign w:val="center"/>
          </w:tcPr>
          <w:p>
            <w:pPr>
              <w:pStyle w:val="43"/>
            </w:pPr>
            <w:r>
              <w:t>耗油量（t/a）</w:t>
            </w:r>
          </w:p>
        </w:tc>
        <w:tc>
          <w:tcPr>
            <w:tcW w:w="1323" w:type="dxa"/>
            <w:vMerge w:val="restart"/>
            <w:tcBorders>
              <w:top w:val="single" w:color="auto" w:sz="12" w:space="0"/>
            </w:tcBorders>
            <w:tcMar>
              <w:top w:w="15" w:type="dxa"/>
              <w:left w:w="15" w:type="dxa"/>
              <w:bottom w:w="0" w:type="dxa"/>
              <w:right w:w="15" w:type="dxa"/>
            </w:tcMar>
            <w:vAlign w:val="center"/>
          </w:tcPr>
          <w:p>
            <w:pPr>
              <w:pStyle w:val="43"/>
            </w:pPr>
            <w:r>
              <w:t>油烟挥发系数</w:t>
            </w:r>
          </w:p>
        </w:tc>
        <w:tc>
          <w:tcPr>
            <w:tcW w:w="2536" w:type="dxa"/>
            <w:gridSpan w:val="2"/>
            <w:tcBorders>
              <w:top w:val="single" w:color="auto" w:sz="12" w:space="0"/>
              <w:bottom w:val="single" w:color="auto" w:sz="2" w:space="0"/>
            </w:tcBorders>
            <w:vAlign w:val="center"/>
          </w:tcPr>
          <w:p>
            <w:pPr>
              <w:pStyle w:val="43"/>
            </w:pPr>
            <w:r>
              <w:t>油烟</w:t>
            </w:r>
            <w:r>
              <w:rPr>
                <w:rFonts w:hint="eastAsia"/>
              </w:rPr>
              <w:t>浓度</w:t>
            </w:r>
            <w:r>
              <w:t>（</w:t>
            </w:r>
            <w:r>
              <w:rPr>
                <w:rFonts w:hint="eastAsia"/>
              </w:rPr>
              <w:t>mg/m</w:t>
            </w:r>
            <w:r>
              <w:rPr>
                <w:rFonts w:hint="eastAsia"/>
                <w:vertAlign w:val="superscript"/>
              </w:rPr>
              <w:t>3</w:t>
            </w:r>
            <w:r>
              <w:t>）</w:t>
            </w:r>
          </w:p>
        </w:tc>
        <w:tc>
          <w:tcPr>
            <w:tcW w:w="2094" w:type="dxa"/>
            <w:gridSpan w:val="2"/>
            <w:tcBorders>
              <w:bottom w:val="single" w:color="auto" w:sz="2" w:space="0"/>
            </w:tcBorders>
            <w:vAlign w:val="center"/>
          </w:tcPr>
          <w:p>
            <w:pPr>
              <w:pStyle w:val="43"/>
            </w:pPr>
            <w:r>
              <w:t>油烟量（t/a）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1247" w:type="dxa"/>
            <w:vMerge w:val="continue"/>
            <w:tcMar>
              <w:top w:w="15" w:type="dxa"/>
              <w:left w:w="15" w:type="dxa"/>
              <w:bottom w:w="0" w:type="dxa"/>
              <w:right w:w="15" w:type="dxa"/>
            </w:tcMar>
            <w:vAlign w:val="center"/>
          </w:tcPr>
          <w:p>
            <w:pPr>
              <w:pStyle w:val="43"/>
            </w:pPr>
          </w:p>
        </w:tc>
        <w:tc>
          <w:tcPr>
            <w:tcW w:w="1674" w:type="dxa"/>
            <w:vMerge w:val="continue"/>
            <w:tcMar>
              <w:top w:w="15" w:type="dxa"/>
              <w:left w:w="15" w:type="dxa"/>
              <w:bottom w:w="0" w:type="dxa"/>
              <w:right w:w="15" w:type="dxa"/>
            </w:tcMar>
            <w:vAlign w:val="center"/>
          </w:tcPr>
          <w:p>
            <w:pPr>
              <w:pStyle w:val="43"/>
            </w:pPr>
          </w:p>
        </w:tc>
        <w:tc>
          <w:tcPr>
            <w:tcW w:w="1323" w:type="dxa"/>
            <w:vMerge w:val="continue"/>
            <w:tcMar>
              <w:top w:w="15" w:type="dxa"/>
              <w:left w:w="15" w:type="dxa"/>
              <w:bottom w:w="0" w:type="dxa"/>
              <w:right w:w="15" w:type="dxa"/>
            </w:tcMar>
            <w:vAlign w:val="center"/>
          </w:tcPr>
          <w:p>
            <w:pPr>
              <w:pStyle w:val="43"/>
            </w:pPr>
          </w:p>
        </w:tc>
        <w:tc>
          <w:tcPr>
            <w:tcW w:w="1265" w:type="dxa"/>
            <w:tcBorders>
              <w:top w:val="single" w:color="auto" w:sz="2" w:space="0"/>
              <w:right w:val="single" w:color="auto" w:sz="2" w:space="0"/>
            </w:tcBorders>
            <w:vAlign w:val="center"/>
          </w:tcPr>
          <w:p>
            <w:pPr>
              <w:pStyle w:val="43"/>
            </w:pPr>
            <w:r>
              <w:rPr>
                <w:rFonts w:hint="eastAsia"/>
              </w:rPr>
              <w:t>产生</w:t>
            </w:r>
          </w:p>
        </w:tc>
        <w:tc>
          <w:tcPr>
            <w:tcW w:w="1271" w:type="dxa"/>
            <w:tcBorders>
              <w:top w:val="single" w:color="auto" w:sz="2" w:space="0"/>
              <w:left w:val="single" w:color="auto" w:sz="2" w:space="0"/>
            </w:tcBorders>
            <w:vAlign w:val="center"/>
          </w:tcPr>
          <w:p>
            <w:pPr>
              <w:pStyle w:val="43"/>
            </w:pPr>
            <w:r>
              <w:rPr>
                <w:rFonts w:hint="eastAsia"/>
              </w:rPr>
              <w:t>排放</w:t>
            </w:r>
          </w:p>
        </w:tc>
        <w:tc>
          <w:tcPr>
            <w:tcW w:w="1065" w:type="dxa"/>
            <w:tcBorders>
              <w:top w:val="single" w:color="auto" w:sz="2" w:space="0"/>
              <w:right w:val="single" w:color="auto" w:sz="2" w:space="0"/>
            </w:tcBorders>
            <w:vAlign w:val="center"/>
          </w:tcPr>
          <w:p>
            <w:pPr>
              <w:pStyle w:val="43"/>
            </w:pPr>
            <w:r>
              <w:rPr>
                <w:rFonts w:hint="eastAsia"/>
              </w:rPr>
              <w:t>产生</w:t>
            </w:r>
          </w:p>
        </w:tc>
        <w:tc>
          <w:tcPr>
            <w:tcW w:w="1029" w:type="dxa"/>
            <w:tcBorders>
              <w:top w:val="single" w:color="auto" w:sz="2" w:space="0"/>
              <w:left w:val="single" w:color="auto" w:sz="2" w:space="0"/>
            </w:tcBorders>
            <w:vAlign w:val="center"/>
          </w:tcPr>
          <w:p>
            <w:pPr>
              <w:pStyle w:val="43"/>
            </w:pPr>
            <w:r>
              <w:rPr>
                <w:rFonts w:hint="eastAsia"/>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430" w:hRule="atLeast"/>
          <w:jc w:val="center"/>
        </w:trPr>
        <w:tc>
          <w:tcPr>
            <w:tcW w:w="1247" w:type="dxa"/>
            <w:tcMar>
              <w:top w:w="15" w:type="dxa"/>
              <w:left w:w="15" w:type="dxa"/>
              <w:bottom w:w="0" w:type="dxa"/>
              <w:right w:w="15" w:type="dxa"/>
            </w:tcMar>
            <w:vAlign w:val="center"/>
          </w:tcPr>
          <w:p>
            <w:pPr>
              <w:pStyle w:val="43"/>
              <w:rPr>
                <w:vertAlign w:val="superscript"/>
              </w:rPr>
            </w:pPr>
            <w:r>
              <w:t>5</w:t>
            </w:r>
            <w:r>
              <w:rPr>
                <w:rFonts w:hint="eastAsia"/>
              </w:rPr>
              <w:t>个灶头</w:t>
            </w:r>
          </w:p>
        </w:tc>
        <w:tc>
          <w:tcPr>
            <w:tcW w:w="1674" w:type="dxa"/>
            <w:tcMar>
              <w:top w:w="15" w:type="dxa"/>
              <w:left w:w="15" w:type="dxa"/>
              <w:bottom w:w="0" w:type="dxa"/>
              <w:right w:w="15" w:type="dxa"/>
            </w:tcMar>
            <w:vAlign w:val="center"/>
          </w:tcPr>
          <w:p>
            <w:pPr>
              <w:pStyle w:val="43"/>
            </w:pPr>
            <w:r>
              <w:t>6.77</w:t>
            </w:r>
          </w:p>
        </w:tc>
        <w:tc>
          <w:tcPr>
            <w:tcW w:w="1323" w:type="dxa"/>
            <w:tcMar>
              <w:top w:w="15" w:type="dxa"/>
              <w:left w:w="15" w:type="dxa"/>
              <w:bottom w:w="0" w:type="dxa"/>
              <w:right w:w="15" w:type="dxa"/>
            </w:tcMar>
            <w:vAlign w:val="center"/>
          </w:tcPr>
          <w:p>
            <w:pPr>
              <w:pStyle w:val="43"/>
            </w:pPr>
            <w:r>
              <w:t>2.83%</w:t>
            </w:r>
          </w:p>
        </w:tc>
        <w:tc>
          <w:tcPr>
            <w:tcW w:w="1265" w:type="dxa"/>
            <w:tcBorders>
              <w:right w:val="single" w:color="auto" w:sz="2" w:space="0"/>
            </w:tcBorders>
            <w:vAlign w:val="center"/>
          </w:tcPr>
          <w:p>
            <w:pPr>
              <w:pStyle w:val="43"/>
            </w:pPr>
            <w:r>
              <w:t>3.5</w:t>
            </w:r>
          </w:p>
        </w:tc>
        <w:tc>
          <w:tcPr>
            <w:tcW w:w="1271" w:type="dxa"/>
            <w:tcBorders>
              <w:left w:val="single" w:color="auto" w:sz="2" w:space="0"/>
            </w:tcBorders>
            <w:vAlign w:val="center"/>
          </w:tcPr>
          <w:p>
            <w:pPr>
              <w:pStyle w:val="43"/>
            </w:pPr>
            <w:r>
              <w:t>0.88</w:t>
            </w:r>
          </w:p>
        </w:tc>
        <w:tc>
          <w:tcPr>
            <w:tcW w:w="1065" w:type="dxa"/>
            <w:tcBorders>
              <w:right w:val="single" w:color="auto" w:sz="2" w:space="0"/>
            </w:tcBorders>
            <w:vAlign w:val="center"/>
          </w:tcPr>
          <w:p>
            <w:pPr>
              <w:pStyle w:val="43"/>
            </w:pPr>
            <w:r>
              <w:t>0.19</w:t>
            </w:r>
          </w:p>
        </w:tc>
        <w:tc>
          <w:tcPr>
            <w:tcW w:w="1029" w:type="dxa"/>
            <w:tcBorders>
              <w:left w:val="single" w:color="auto" w:sz="2" w:space="0"/>
            </w:tcBorders>
            <w:vAlign w:val="center"/>
          </w:tcPr>
          <w:p>
            <w:pPr>
              <w:pStyle w:val="43"/>
            </w:pPr>
            <w:r>
              <w:t>0.05</w:t>
            </w:r>
          </w:p>
        </w:tc>
      </w:tr>
    </w:tbl>
    <w:p>
      <w:pPr>
        <w:pStyle w:val="6"/>
      </w:pPr>
      <w:r>
        <w:rPr>
          <w:rFonts w:hint="eastAsia"/>
        </w:rPr>
        <w:t>停车场</w:t>
      </w:r>
      <w:r>
        <w:t>废气</w:t>
      </w:r>
    </w:p>
    <w:p>
      <w:pPr>
        <w:pStyle w:val="40"/>
        <w:ind w:firstLine="480"/>
      </w:pPr>
      <w:r>
        <w:rPr>
          <w:rFonts w:hint="eastAsia"/>
        </w:rPr>
        <w:t>项目在院区后勤</w:t>
      </w:r>
      <w:r>
        <w:t>楼南北两</w:t>
      </w:r>
      <w:r>
        <w:rPr>
          <w:rFonts w:hint="eastAsia"/>
        </w:rPr>
        <w:t>侧建设地上停车场</w:t>
      </w:r>
      <w:r>
        <w:t>，</w:t>
      </w:r>
      <w:r>
        <w:rPr>
          <w:rFonts w:hint="eastAsia"/>
        </w:rPr>
        <w:t>共设计停车位</w:t>
      </w:r>
      <w:r>
        <w:t>100</w:t>
      </w:r>
      <w:r>
        <w:rPr>
          <w:rFonts w:hint="eastAsia"/>
        </w:rPr>
        <w:t>个。由于地面停车位为开放区域，进出车辆多为小型车，在医院内行驶距离较短，汽车尾气排放量相对较小，污染物在空气中稀释扩散较快，对环境空气影响较小。同时，项目有针对性的进行绿化美化环境的同时将对机动车产生尾气起到有效地吸附降解作用，因此，地面停车位所带来的大气污染影响较小。</w:t>
      </w:r>
    </w:p>
    <w:p>
      <w:pPr>
        <w:pStyle w:val="6"/>
      </w:pPr>
      <w:r>
        <w:rPr>
          <w:rFonts w:hint="eastAsia"/>
        </w:rPr>
        <w:t>备用发电机</w:t>
      </w:r>
      <w:r>
        <w:t>废气</w:t>
      </w:r>
    </w:p>
    <w:p>
      <w:pPr>
        <w:pStyle w:val="40"/>
        <w:ind w:firstLine="480"/>
        <w:rPr>
          <w:highlight w:val="yellow"/>
        </w:rPr>
      </w:pPr>
      <w:r>
        <w:rPr>
          <w:rFonts w:hint="eastAsia"/>
        </w:rPr>
        <w:t>根据</w:t>
      </w:r>
      <w:r>
        <w:t>建设单位提供数据，本项目设置</w:t>
      </w:r>
      <w:r>
        <w:rPr>
          <w:rFonts w:hint="eastAsia"/>
        </w:rPr>
        <w:t>1</w:t>
      </w:r>
      <w:r>
        <w:t>台8</w:t>
      </w:r>
      <w:r>
        <w:rPr>
          <w:rFonts w:hint="eastAsia"/>
        </w:rPr>
        <w:t>00</w:t>
      </w:r>
      <w:r>
        <w:t>kw柴油发电机组。燃料为0#轻柴油。</w:t>
      </w:r>
      <w:r>
        <w:rPr>
          <w:szCs w:val="20"/>
        </w:rPr>
        <w:t>根据1kw=3600kJ/h，800KW=800×3600kJ/h=28.8×10</w:t>
      </w:r>
      <w:r>
        <w:rPr>
          <w:szCs w:val="20"/>
          <w:vertAlign w:val="superscript"/>
        </w:rPr>
        <w:t>5</w:t>
      </w:r>
      <w:r>
        <w:rPr>
          <w:szCs w:val="20"/>
        </w:rPr>
        <w:t>kJ/h。根据资料柴油的热值为3.552×10</w:t>
      </w:r>
      <w:r>
        <w:rPr>
          <w:szCs w:val="20"/>
          <w:vertAlign w:val="superscript"/>
        </w:rPr>
        <w:t>6</w:t>
      </w:r>
      <w:r>
        <w:rPr>
          <w:szCs w:val="20"/>
        </w:rPr>
        <w:t>kJ/m</w:t>
      </w:r>
      <w:r>
        <w:rPr>
          <w:szCs w:val="20"/>
          <w:vertAlign w:val="superscript"/>
        </w:rPr>
        <w:t>3</w:t>
      </w:r>
      <w:r>
        <w:rPr>
          <w:rFonts w:hint="eastAsia"/>
          <w:szCs w:val="20"/>
        </w:rPr>
        <w:t>，</w:t>
      </w:r>
      <w:r>
        <w:rPr>
          <w:szCs w:val="20"/>
        </w:rPr>
        <w:t>燃油效率按90%计算。由此可以算出柴油发电机的燃油量约为0.90Nm</w:t>
      </w:r>
      <w:r>
        <w:rPr>
          <w:szCs w:val="20"/>
          <w:vertAlign w:val="superscript"/>
        </w:rPr>
        <w:t>3</w:t>
      </w:r>
      <w:r>
        <w:rPr>
          <w:szCs w:val="20"/>
        </w:rPr>
        <w:t>/h</w:t>
      </w:r>
      <w:r>
        <w:rPr>
          <w:rFonts w:hint="eastAsia"/>
          <w:szCs w:val="20"/>
        </w:rPr>
        <w:t>，</w:t>
      </w:r>
      <w:r>
        <w:rPr>
          <w:szCs w:val="20"/>
        </w:rPr>
        <w:t>根据类比统计数据，每燃烧1m</w:t>
      </w:r>
      <w:r>
        <w:rPr>
          <w:szCs w:val="20"/>
          <w:vertAlign w:val="superscript"/>
        </w:rPr>
        <w:t>3</w:t>
      </w:r>
      <w:r>
        <w:rPr>
          <w:szCs w:val="20"/>
        </w:rPr>
        <w:t xml:space="preserve"> 的柴油排放烟尘1.8kg、SO</w:t>
      </w:r>
      <w:r>
        <w:rPr>
          <w:szCs w:val="20"/>
          <w:vertAlign w:val="subscript"/>
        </w:rPr>
        <w:t>2</w:t>
      </w:r>
      <w:r>
        <w:rPr>
          <w:szCs w:val="20"/>
        </w:rPr>
        <w:t>0.86kg，按此计算</w:t>
      </w:r>
      <w:r>
        <w:rPr>
          <w:rFonts w:hint="eastAsia"/>
          <w:szCs w:val="20"/>
        </w:rPr>
        <w:t>项目</w:t>
      </w:r>
      <w:r>
        <w:rPr>
          <w:szCs w:val="20"/>
        </w:rPr>
        <w:t>备用柴油发电机燃油产生的废气中主要污染物烟尘1.62kg/h 、SO</w:t>
      </w:r>
      <w:r>
        <w:rPr>
          <w:szCs w:val="20"/>
          <w:vertAlign w:val="subscript"/>
        </w:rPr>
        <w:t>2</w:t>
      </w:r>
      <w:r>
        <w:rPr>
          <w:szCs w:val="20"/>
        </w:rPr>
        <w:t>0.77kg/h。该备用柴油发电机在正常情况下不使用，为确保其正常使用功能，每</w:t>
      </w:r>
      <w:r>
        <w:rPr>
          <w:rFonts w:hint="eastAsia"/>
          <w:szCs w:val="20"/>
        </w:rPr>
        <w:t>三个月</w:t>
      </w:r>
      <w:r>
        <w:rPr>
          <w:szCs w:val="20"/>
        </w:rPr>
        <w:t>开机试车一次，每次30min，</w:t>
      </w:r>
      <w:r>
        <w:rPr>
          <w:rFonts w:hint="eastAsia"/>
          <w:szCs w:val="20"/>
        </w:rPr>
        <w:t>全年</w:t>
      </w:r>
      <w:r>
        <w:rPr>
          <w:szCs w:val="20"/>
        </w:rPr>
        <w:t>运行时间</w:t>
      </w:r>
      <w:r>
        <w:rPr>
          <w:rFonts w:hint="eastAsia"/>
          <w:szCs w:val="20"/>
        </w:rPr>
        <w:t>2</w:t>
      </w:r>
      <w:r>
        <w:rPr>
          <w:szCs w:val="20"/>
        </w:rPr>
        <w:t>h，主要污染物的产生量为烟尘3.24kg/a、SO</w:t>
      </w:r>
      <w:r>
        <w:rPr>
          <w:szCs w:val="20"/>
          <w:vertAlign w:val="subscript"/>
        </w:rPr>
        <w:t>2</w:t>
      </w:r>
      <w:r>
        <w:rPr>
          <w:szCs w:val="20"/>
        </w:rPr>
        <w:t>1.64kg/a。</w:t>
      </w:r>
      <w:r>
        <w:rPr>
          <w:rFonts w:hint="eastAsia"/>
        </w:rPr>
        <w:t>备用</w:t>
      </w:r>
      <w:r>
        <w:t>发电机</w:t>
      </w:r>
      <w:r>
        <w:rPr>
          <w:rFonts w:hint="eastAsia"/>
        </w:rPr>
        <w:t>设烟气收集系统，废气经专用排气</w:t>
      </w:r>
      <w:r>
        <w:t>管道</w:t>
      </w:r>
      <w:r>
        <w:rPr>
          <w:rFonts w:hint="eastAsia"/>
        </w:rPr>
        <w:t>引至</w:t>
      </w:r>
      <w:r>
        <w:t>楼顶</w:t>
      </w:r>
      <w:r>
        <w:rPr>
          <w:rFonts w:hint="eastAsia"/>
        </w:rPr>
        <w:t>排出，背向人群易聚集处。</w:t>
      </w:r>
    </w:p>
    <w:p>
      <w:pPr>
        <w:pStyle w:val="6"/>
      </w:pPr>
      <w:r>
        <w:rPr>
          <w:rFonts w:hint="eastAsia"/>
        </w:rPr>
        <w:t>煎药</w:t>
      </w:r>
      <w:r>
        <w:t>废气</w:t>
      </w:r>
    </w:p>
    <w:p>
      <w:pPr>
        <w:pStyle w:val="40"/>
        <w:ind w:firstLine="480"/>
      </w:pPr>
      <w:r>
        <w:rPr>
          <w:rFonts w:hint="eastAsia"/>
        </w:rPr>
        <w:t>项目煎药室采用密闭型中药煎药机来煎制中药，每次煎制中药时在挤出药液前，需打开排气阀排出水汽来减压，此时会随之带出少量水蒸气，水蒸汽带有的中药气味，以及药渣挥发的中药气味，使煎药房会产生煎药异味。常见的中药有效成分一般多为挥发油和萜类成分及含氧衍生物，为天然植物性物质，基本上属于无毒无害气体，虽对人体不会产生健康影响，但是对人体的嗅觉会产生一定的不悦感。煎药废气量很小，煎药装置密闭，建设单位拟在煎药室设置机械排风系统，煎药房异味经机械抽排后自然稀释，呈无组织排放，不会对环境产生不良影响。</w:t>
      </w:r>
    </w:p>
    <w:p>
      <w:pPr>
        <w:pStyle w:val="40"/>
        <w:ind w:firstLine="480"/>
      </w:pPr>
      <w:r>
        <w:rPr>
          <w:rFonts w:hint="eastAsia"/>
        </w:rPr>
        <w:t>项目</w:t>
      </w:r>
      <w:r>
        <w:t>运营期</w:t>
      </w:r>
      <w:r>
        <w:rPr>
          <w:rFonts w:hint="eastAsia"/>
        </w:rPr>
        <w:t>废气</w:t>
      </w:r>
      <w:r>
        <w:t>污染物源强核算</w:t>
      </w:r>
      <w:r>
        <w:rPr>
          <w:rFonts w:hint="eastAsia"/>
        </w:rPr>
        <w:t>结果</w:t>
      </w:r>
      <w:r>
        <w:t>及</w:t>
      </w:r>
      <w:r>
        <w:rPr>
          <w:rFonts w:hint="eastAsia"/>
        </w:rPr>
        <w:t>相关</w:t>
      </w:r>
      <w:r>
        <w:t>参数表见表</w:t>
      </w:r>
      <w:r>
        <w:rPr>
          <w:rFonts w:hint="eastAsia"/>
        </w:rPr>
        <w:t>4.2</w:t>
      </w:r>
      <w:r>
        <w:t xml:space="preserve">-8 </w:t>
      </w:r>
      <w:r>
        <w:rPr>
          <w:rFonts w:hint="eastAsia"/>
        </w:rPr>
        <w:t>。</w:t>
      </w:r>
    </w:p>
    <w:p>
      <w:pPr>
        <w:pStyle w:val="40"/>
        <w:ind w:firstLine="480"/>
        <w:rPr>
          <w:highlight w:val="yellow"/>
        </w:rPr>
        <w:sectPr>
          <w:headerReference r:id="rId23" w:type="default"/>
          <w:pgSz w:w="11906" w:h="16838"/>
          <w:pgMar w:top="1418" w:right="1418" w:bottom="1418" w:left="1588" w:header="851" w:footer="992" w:gutter="0"/>
          <w:pgNumType w:fmt="numberInDash"/>
          <w:cols w:space="425" w:num="1"/>
          <w:docGrid w:type="linesAndChars" w:linePitch="312" w:charSpace="0"/>
        </w:sectPr>
      </w:pPr>
    </w:p>
    <w:p>
      <w:pPr>
        <w:pStyle w:val="22"/>
      </w:pPr>
      <w:r>
        <w:rPr>
          <w:rFonts w:hint="eastAsia"/>
        </w:rPr>
        <w:t>表</w:t>
      </w:r>
      <w:r>
        <w:t>4.2</w:t>
      </w:r>
      <w:r>
        <w:rPr>
          <w:rFonts w:hint="eastAsia"/>
        </w:rPr>
        <w:t>-</w:t>
      </w:r>
      <w:r>
        <w:t xml:space="preserve">8 </w:t>
      </w:r>
      <w:r>
        <w:rPr>
          <w:rFonts w:hint="eastAsia"/>
        </w:rPr>
        <w:t xml:space="preserve"> 项目</w:t>
      </w:r>
      <w:r>
        <w:t>废气污染源源强核算结果</w:t>
      </w:r>
      <w:r>
        <w:rPr>
          <w:rFonts w:hint="eastAsia"/>
        </w:rPr>
        <w:t>及相关</w:t>
      </w:r>
      <w:r>
        <w:t>参数一览表</w:t>
      </w:r>
    </w:p>
    <w:tbl>
      <w:tblPr>
        <w:tblStyle w:val="25"/>
        <w:tblW w:w="139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1"/>
        <w:gridCol w:w="497"/>
        <w:gridCol w:w="753"/>
        <w:gridCol w:w="824"/>
        <w:gridCol w:w="950"/>
        <w:gridCol w:w="847"/>
        <w:gridCol w:w="994"/>
        <w:gridCol w:w="989"/>
        <w:gridCol w:w="2128"/>
        <w:gridCol w:w="1134"/>
        <w:gridCol w:w="811"/>
        <w:gridCol w:w="827"/>
        <w:gridCol w:w="1058"/>
        <w:gridCol w:w="969"/>
        <w:gridCol w:w="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工序</w:t>
            </w:r>
          </w:p>
        </w:tc>
        <w:tc>
          <w:tcPr>
            <w:tcW w:w="49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生产装置</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污染源</w:t>
            </w:r>
          </w:p>
        </w:tc>
        <w:tc>
          <w:tcPr>
            <w:tcW w:w="82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w:t>
            </w:r>
          </w:p>
        </w:tc>
        <w:tc>
          <w:tcPr>
            <w:tcW w:w="3780" w:type="dxa"/>
            <w:gridSpan w:val="4"/>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污染物产生</w:t>
            </w:r>
          </w:p>
        </w:tc>
        <w:tc>
          <w:tcPr>
            <w:tcW w:w="3262"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治理措施</w:t>
            </w:r>
          </w:p>
        </w:tc>
        <w:tc>
          <w:tcPr>
            <w:tcW w:w="3665" w:type="dxa"/>
            <w:gridSpan w:val="4"/>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污染物排放</w:t>
            </w:r>
          </w:p>
        </w:tc>
        <w:tc>
          <w:tcPr>
            <w:tcW w:w="635"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Merge w:val="continue"/>
            <w:vAlign w:val="center"/>
          </w:tcPr>
          <w:p>
            <w:pPr>
              <w:adjustRightInd w:val="0"/>
              <w:snapToGrid w:val="0"/>
              <w:jc w:val="center"/>
              <w:rPr>
                <w:rFonts w:ascii="Times New Roman" w:hAnsi="Times New Roman" w:eastAsia="宋体" w:cs="Times New Roman"/>
                <w:szCs w:val="21"/>
              </w:rPr>
            </w:pPr>
          </w:p>
        </w:tc>
        <w:tc>
          <w:tcPr>
            <w:tcW w:w="950"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核算方法</w:t>
            </w:r>
          </w:p>
        </w:tc>
        <w:tc>
          <w:tcPr>
            <w:tcW w:w="84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产生废气量（m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99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产生浓度</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产生量</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kg/h</w:t>
            </w:r>
          </w:p>
        </w:tc>
        <w:tc>
          <w:tcPr>
            <w:tcW w:w="212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工艺</w:t>
            </w:r>
          </w:p>
        </w:tc>
        <w:tc>
          <w:tcPr>
            <w:tcW w:w="113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效率（%）</w:t>
            </w:r>
          </w:p>
        </w:tc>
        <w:tc>
          <w:tcPr>
            <w:tcW w:w="81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核算方法</w:t>
            </w:r>
          </w:p>
        </w:tc>
        <w:tc>
          <w:tcPr>
            <w:tcW w:w="827"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排放废气量（m</w:t>
            </w:r>
            <w:r>
              <w:rPr>
                <w:rFonts w:ascii="Times New Roman" w:hAnsi="Times New Roman" w:eastAsia="宋体" w:cs="Times New Roman"/>
                <w:szCs w:val="21"/>
                <w:vertAlign w:val="superscript"/>
              </w:rPr>
              <w:t>3</w:t>
            </w:r>
            <w:r>
              <w:rPr>
                <w:rFonts w:ascii="Times New Roman" w:hAnsi="Times New Roman" w:eastAsia="宋体" w:cs="Times New Roman"/>
                <w:szCs w:val="21"/>
              </w:rPr>
              <w:t>/h）</w:t>
            </w:r>
          </w:p>
        </w:tc>
        <w:tc>
          <w:tcPr>
            <w:tcW w:w="1058"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排放浓度</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（mg/m</w:t>
            </w:r>
            <w:r>
              <w:rPr>
                <w:rFonts w:ascii="Times New Roman" w:hAnsi="Times New Roman" w:eastAsia="宋体" w:cs="Times New Roman"/>
                <w:szCs w:val="21"/>
                <w:vertAlign w:val="superscript"/>
              </w:rPr>
              <w:t>3</w:t>
            </w:r>
            <w:r>
              <w:rPr>
                <w:rFonts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排放量</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kg/h</w:t>
            </w:r>
          </w:p>
        </w:tc>
        <w:tc>
          <w:tcPr>
            <w:tcW w:w="635"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锅炉房</w:t>
            </w:r>
          </w:p>
        </w:tc>
        <w:tc>
          <w:tcPr>
            <w:tcW w:w="497"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采暖</w:t>
            </w:r>
            <w:r>
              <w:rPr>
                <w:rFonts w:ascii="Times New Roman" w:hAnsi="Times New Roman" w:eastAsia="宋体" w:cs="Times New Roman"/>
                <w:szCs w:val="21"/>
              </w:rPr>
              <w:t>锅炉</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天然气</w:t>
            </w:r>
            <w:r>
              <w:rPr>
                <w:rFonts w:ascii="Times New Roman" w:hAnsi="Times New Roman" w:eastAsia="宋体" w:cs="Times New Roman"/>
                <w:szCs w:val="21"/>
              </w:rPr>
              <w:t>锅炉排气筒P1-P2</w:t>
            </w:r>
          </w:p>
        </w:tc>
        <w:tc>
          <w:tcPr>
            <w:tcW w:w="824" w:type="dxa"/>
            <w:vAlign w:val="center"/>
          </w:tcPr>
          <w:p>
            <w:pPr>
              <w:adjustRightInd w:val="0"/>
              <w:snapToGrid w:val="0"/>
              <w:jc w:val="center"/>
              <w:rPr>
                <w:rFonts w:ascii="Times New Roman" w:hAnsi="Times New Roman" w:eastAsia="宋体" w:cs="Times New Roman"/>
                <w:szCs w:val="21"/>
                <w:highlight w:val="yellow"/>
              </w:rPr>
            </w:pPr>
            <w:r>
              <w:rPr>
                <w:rFonts w:hint="eastAsia"/>
              </w:rPr>
              <w:t>烟尘</w:t>
            </w:r>
          </w:p>
        </w:tc>
        <w:tc>
          <w:tcPr>
            <w:tcW w:w="95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47"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6465.18</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98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0.0</w:t>
            </w:r>
            <w:r>
              <w:rPr>
                <w:rFonts w:ascii="Times New Roman" w:hAnsi="Times New Roman" w:eastAsia="宋体" w:cs="Times New Roman"/>
                <w:color w:val="FF0000"/>
                <w:szCs w:val="21"/>
              </w:rPr>
              <w:t>72</w:t>
            </w:r>
          </w:p>
        </w:tc>
        <w:tc>
          <w:tcPr>
            <w:tcW w:w="2128" w:type="dxa"/>
            <w:vMerge w:val="restart"/>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color w:val="FF0000"/>
                <w:szCs w:val="21"/>
              </w:rPr>
              <w:t>低氮</w:t>
            </w:r>
            <w:r>
              <w:rPr>
                <w:rFonts w:ascii="Times New Roman" w:hAnsi="Times New Roman" w:eastAsia="宋体" w:cs="Times New Roman"/>
                <w:color w:val="FF0000"/>
                <w:szCs w:val="21"/>
              </w:rPr>
              <w:t>燃烧+2</w:t>
            </w:r>
            <w:r>
              <w:rPr>
                <w:rFonts w:hint="eastAsia" w:ascii="Times New Roman" w:hAnsi="Times New Roman" w:eastAsia="宋体" w:cs="Times New Roman"/>
                <w:color w:val="FF0000"/>
                <w:szCs w:val="21"/>
              </w:rPr>
              <w:t>根</w:t>
            </w:r>
            <w:r>
              <w:rPr>
                <w:rFonts w:ascii="Times New Roman" w:hAnsi="Times New Roman" w:eastAsia="宋体" w:cs="Times New Roman"/>
                <w:color w:val="FF0000"/>
                <w:szCs w:val="21"/>
              </w:rPr>
              <w:t>60m高排气筒排放</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27" w:type="dxa"/>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6465.18</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96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0.0</w:t>
            </w:r>
            <w:r>
              <w:rPr>
                <w:rFonts w:ascii="Times New Roman" w:hAnsi="Times New Roman" w:eastAsia="宋体" w:cs="Times New Roman"/>
                <w:color w:val="FF0000"/>
                <w:szCs w:val="21"/>
              </w:rPr>
              <w:t>72</w:t>
            </w:r>
          </w:p>
        </w:tc>
        <w:tc>
          <w:tcPr>
            <w:tcW w:w="6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Align w:val="center"/>
          </w:tcPr>
          <w:p>
            <w:pPr>
              <w:pStyle w:val="47"/>
            </w:pPr>
            <w:r>
              <w:rPr>
                <w:rFonts w:hint="eastAsia"/>
              </w:rPr>
              <w:t>SO</w:t>
            </w:r>
            <w:r>
              <w:rPr>
                <w:vertAlign w:val="subscript"/>
              </w:rPr>
              <w:t>2</w:t>
            </w:r>
            <w:r>
              <w:rPr>
                <w:rFonts w:hint="eastAsia"/>
              </w:rPr>
              <w:t xml:space="preserve"> </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center"/>
          </w:tcPr>
          <w:p>
            <w:pPr>
              <w:jc w:val="center"/>
              <w:rPr>
                <w:color w:val="FF0000"/>
              </w:rPr>
            </w:pPr>
            <w:r>
              <w:rPr>
                <w:rFonts w:ascii="Times New Roman" w:hAnsi="Times New Roman" w:eastAsia="宋体" w:cs="Times New Roman"/>
                <w:color w:val="FF0000"/>
                <w:szCs w:val="21"/>
              </w:rPr>
              <w:t>6465.18</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98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120</w:t>
            </w:r>
          </w:p>
        </w:tc>
        <w:tc>
          <w:tcPr>
            <w:tcW w:w="2128"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center"/>
          </w:tcPr>
          <w:p>
            <w:pPr>
              <w:jc w:val="center"/>
              <w:rPr>
                <w:color w:val="FF0000"/>
              </w:rPr>
            </w:pPr>
            <w:r>
              <w:rPr>
                <w:rFonts w:ascii="Times New Roman" w:hAnsi="Times New Roman" w:eastAsia="宋体" w:cs="Times New Roman"/>
                <w:color w:val="FF0000"/>
                <w:szCs w:val="21"/>
              </w:rPr>
              <w:t>6465.18</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96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120</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Align w:val="center"/>
          </w:tcPr>
          <w:p>
            <w:pPr>
              <w:pStyle w:val="47"/>
            </w:pPr>
            <w:r>
              <w:rPr>
                <w:rFonts w:hint="eastAsia"/>
              </w:rPr>
              <w:t>N</w:t>
            </w:r>
            <w:r>
              <w:t>O</w:t>
            </w:r>
            <w:r>
              <w:rPr>
                <w:vertAlign w:val="subscript"/>
              </w:rPr>
              <w:t>x</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center"/>
          </w:tcPr>
          <w:p>
            <w:pPr>
              <w:jc w:val="center"/>
              <w:rPr>
                <w:color w:val="FF0000"/>
              </w:rPr>
            </w:pPr>
            <w:r>
              <w:rPr>
                <w:rFonts w:ascii="Times New Roman" w:hAnsi="Times New Roman" w:eastAsia="宋体" w:cs="Times New Roman"/>
                <w:color w:val="FF0000"/>
                <w:szCs w:val="21"/>
              </w:rPr>
              <w:t>6465.18</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98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0.1</w:t>
            </w:r>
            <w:r>
              <w:rPr>
                <w:rFonts w:ascii="Times New Roman" w:hAnsi="Times New Roman" w:eastAsia="宋体" w:cs="Times New Roman"/>
                <w:color w:val="FF0000"/>
                <w:szCs w:val="21"/>
              </w:rPr>
              <w:t>82</w:t>
            </w:r>
          </w:p>
        </w:tc>
        <w:tc>
          <w:tcPr>
            <w:tcW w:w="2128"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center"/>
          </w:tcPr>
          <w:p>
            <w:pPr>
              <w:jc w:val="center"/>
              <w:rPr>
                <w:color w:val="FF0000"/>
              </w:rPr>
            </w:pPr>
            <w:r>
              <w:rPr>
                <w:rFonts w:ascii="Times New Roman" w:hAnsi="Times New Roman" w:eastAsia="宋体" w:cs="Times New Roman"/>
                <w:color w:val="FF0000"/>
                <w:szCs w:val="21"/>
              </w:rPr>
              <w:t>6465.18</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969"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0.1</w:t>
            </w:r>
            <w:r>
              <w:rPr>
                <w:rFonts w:ascii="Times New Roman" w:hAnsi="Times New Roman" w:eastAsia="宋体" w:cs="Times New Roman"/>
                <w:color w:val="FF0000"/>
                <w:szCs w:val="21"/>
              </w:rPr>
              <w:t>82</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热水</w:t>
            </w:r>
            <w:r>
              <w:rPr>
                <w:rFonts w:ascii="Times New Roman" w:hAnsi="Times New Roman" w:eastAsia="宋体" w:cs="Times New Roman"/>
                <w:szCs w:val="21"/>
              </w:rPr>
              <w:t>锅炉</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天然气</w:t>
            </w:r>
            <w:r>
              <w:rPr>
                <w:rFonts w:ascii="Times New Roman" w:hAnsi="Times New Roman" w:eastAsia="宋体" w:cs="Times New Roman"/>
                <w:szCs w:val="21"/>
              </w:rPr>
              <w:t>锅炉排气筒P3</w:t>
            </w:r>
          </w:p>
        </w:tc>
        <w:tc>
          <w:tcPr>
            <w:tcW w:w="824" w:type="dxa"/>
            <w:vAlign w:val="center"/>
          </w:tcPr>
          <w:p>
            <w:pPr>
              <w:pStyle w:val="47"/>
            </w:pPr>
            <w:r>
              <w:rPr>
                <w:rFonts w:hint="eastAsia"/>
              </w:rPr>
              <w:t>烟尘</w:t>
            </w:r>
          </w:p>
        </w:tc>
        <w:tc>
          <w:tcPr>
            <w:tcW w:w="95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47" w:type="dxa"/>
            <w:vAlign w:val="bottom"/>
          </w:tcPr>
          <w:p>
            <w:pPr>
              <w:pStyle w:val="47"/>
            </w:pPr>
            <w:r>
              <w:rPr>
                <w:color w:val="FF0000"/>
              </w:rPr>
              <w:t>1212.22</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989" w:type="dxa"/>
            <w:vAlign w:val="bottom"/>
          </w:tcPr>
          <w:p>
            <w:pPr>
              <w:pStyle w:val="47"/>
              <w:rPr>
                <w:color w:val="FF0000"/>
              </w:rPr>
            </w:pPr>
            <w:r>
              <w:rPr>
                <w:rFonts w:hint="eastAsia"/>
                <w:color w:val="FF0000"/>
              </w:rPr>
              <w:t>0.0</w:t>
            </w:r>
            <w:r>
              <w:rPr>
                <w:color w:val="FF0000"/>
              </w:rPr>
              <w:t>14</w:t>
            </w:r>
          </w:p>
        </w:tc>
        <w:tc>
          <w:tcPr>
            <w:tcW w:w="2128" w:type="dxa"/>
            <w:vMerge w:val="restart"/>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color w:val="FF0000"/>
                <w:szCs w:val="21"/>
              </w:rPr>
              <w:t>低氮</w:t>
            </w:r>
            <w:r>
              <w:rPr>
                <w:rFonts w:ascii="Times New Roman" w:hAnsi="Times New Roman" w:eastAsia="宋体" w:cs="Times New Roman"/>
                <w:color w:val="FF0000"/>
                <w:szCs w:val="21"/>
              </w:rPr>
              <w:t>燃烧</w:t>
            </w:r>
            <w:r>
              <w:rPr>
                <w:rFonts w:hint="eastAsia" w:ascii="Times New Roman" w:hAnsi="Times New Roman" w:eastAsia="宋体" w:cs="Times New Roman"/>
                <w:color w:val="FF0000"/>
                <w:szCs w:val="21"/>
              </w:rPr>
              <w:t>+1根</w:t>
            </w:r>
            <w:r>
              <w:rPr>
                <w:rFonts w:ascii="Times New Roman" w:hAnsi="Times New Roman" w:eastAsia="宋体" w:cs="Times New Roman"/>
                <w:color w:val="FF0000"/>
                <w:szCs w:val="21"/>
              </w:rPr>
              <w:t>60m高</w:t>
            </w:r>
            <w:r>
              <w:rPr>
                <w:rFonts w:hint="eastAsia" w:ascii="Times New Roman" w:hAnsi="Times New Roman" w:eastAsia="宋体" w:cs="Times New Roman"/>
                <w:color w:val="FF0000"/>
                <w:szCs w:val="21"/>
              </w:rPr>
              <w:t>排气筒</w:t>
            </w:r>
            <w:r>
              <w:rPr>
                <w:rFonts w:ascii="Times New Roman" w:hAnsi="Times New Roman" w:eastAsia="宋体" w:cs="Times New Roman"/>
                <w:color w:val="FF0000"/>
                <w:szCs w:val="21"/>
              </w:rPr>
              <w:t>排放</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27" w:type="dxa"/>
            <w:vAlign w:val="bottom"/>
          </w:tcPr>
          <w:p>
            <w:pPr>
              <w:pStyle w:val="47"/>
              <w:rPr>
                <w:color w:val="FF0000"/>
              </w:rPr>
            </w:pPr>
            <w:r>
              <w:rPr>
                <w:rFonts w:hint="eastAsia"/>
                <w:color w:val="FF0000"/>
              </w:rPr>
              <w:t>1212.22</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969" w:type="dxa"/>
            <w:vAlign w:val="bottom"/>
          </w:tcPr>
          <w:p>
            <w:pPr>
              <w:pStyle w:val="47"/>
              <w:rPr>
                <w:color w:val="FF0000"/>
              </w:rPr>
            </w:pPr>
            <w:r>
              <w:rPr>
                <w:rFonts w:hint="eastAsia"/>
                <w:color w:val="FF0000"/>
              </w:rPr>
              <w:t>0.0</w:t>
            </w:r>
            <w:r>
              <w:rPr>
                <w:color w:val="FF0000"/>
              </w:rPr>
              <w:t>14</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753"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24" w:type="dxa"/>
            <w:vAlign w:val="center"/>
          </w:tcPr>
          <w:p>
            <w:pPr>
              <w:pStyle w:val="47"/>
            </w:pPr>
            <w:r>
              <w:rPr>
                <w:rFonts w:hint="eastAsia"/>
              </w:rPr>
              <w:t>SO</w:t>
            </w:r>
            <w:r>
              <w:rPr>
                <w:vertAlign w:val="subscript"/>
              </w:rPr>
              <w:t>2</w:t>
            </w:r>
            <w:r>
              <w:rPr>
                <w:rFonts w:hint="eastAsia"/>
              </w:rPr>
              <w:t xml:space="preserve"> </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bottom"/>
          </w:tcPr>
          <w:p>
            <w:pPr>
              <w:pStyle w:val="47"/>
              <w:rPr>
                <w:color w:val="FF0000"/>
              </w:rPr>
            </w:pPr>
            <w:r>
              <w:rPr>
                <w:rFonts w:hint="eastAsia"/>
                <w:color w:val="FF0000"/>
              </w:rPr>
              <w:t>1212.22</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989" w:type="dxa"/>
            <w:vAlign w:val="bottom"/>
          </w:tcPr>
          <w:p>
            <w:pPr>
              <w:pStyle w:val="47"/>
              <w:rPr>
                <w:color w:val="FF0000"/>
              </w:rPr>
            </w:pPr>
            <w:r>
              <w:rPr>
                <w:rFonts w:hint="eastAsia"/>
                <w:color w:val="FF0000"/>
              </w:rPr>
              <w:t>0.0</w:t>
            </w:r>
            <w:r>
              <w:rPr>
                <w:color w:val="FF0000"/>
              </w:rPr>
              <w:t>23</w:t>
            </w:r>
          </w:p>
        </w:tc>
        <w:tc>
          <w:tcPr>
            <w:tcW w:w="2128" w:type="dxa"/>
            <w:vMerge w:val="continue"/>
            <w:vAlign w:val="center"/>
          </w:tcPr>
          <w:p>
            <w:pPr>
              <w:adjustRightInd w:val="0"/>
              <w:snapToGrid w:val="0"/>
              <w:jc w:val="center"/>
              <w:rPr>
                <w:rFonts w:ascii="Times New Roman" w:hAnsi="Times New Roman" w:eastAsia="宋体" w:cs="Times New Roman"/>
                <w:szCs w:val="21"/>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bottom"/>
          </w:tcPr>
          <w:p>
            <w:pPr>
              <w:pStyle w:val="47"/>
              <w:rPr>
                <w:color w:val="FF0000"/>
              </w:rPr>
            </w:pPr>
            <w:r>
              <w:rPr>
                <w:rFonts w:hint="eastAsia"/>
                <w:color w:val="FF0000"/>
              </w:rPr>
              <w:t>1212.22</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969" w:type="dxa"/>
            <w:vAlign w:val="bottom"/>
          </w:tcPr>
          <w:p>
            <w:pPr>
              <w:pStyle w:val="47"/>
              <w:rPr>
                <w:color w:val="FF0000"/>
              </w:rPr>
            </w:pPr>
            <w:r>
              <w:rPr>
                <w:rFonts w:hint="eastAsia"/>
                <w:color w:val="FF0000"/>
              </w:rPr>
              <w:t>0.0</w:t>
            </w:r>
            <w:r>
              <w:rPr>
                <w:color w:val="FF0000"/>
              </w:rPr>
              <w:t>23</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753"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24" w:type="dxa"/>
            <w:vAlign w:val="center"/>
          </w:tcPr>
          <w:p>
            <w:pPr>
              <w:pStyle w:val="47"/>
            </w:pPr>
            <w:r>
              <w:rPr>
                <w:rFonts w:hint="eastAsia"/>
              </w:rPr>
              <w:t>N</w:t>
            </w:r>
            <w:r>
              <w:t>O</w:t>
            </w:r>
            <w:r>
              <w:rPr>
                <w:vertAlign w:val="subscript"/>
              </w:rPr>
              <w:t>x</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bottom"/>
          </w:tcPr>
          <w:p>
            <w:pPr>
              <w:pStyle w:val="47"/>
              <w:rPr>
                <w:color w:val="FF0000"/>
              </w:rPr>
            </w:pPr>
            <w:r>
              <w:rPr>
                <w:rFonts w:hint="eastAsia"/>
                <w:color w:val="FF0000"/>
              </w:rPr>
              <w:t>1212.22</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989" w:type="dxa"/>
            <w:vAlign w:val="bottom"/>
          </w:tcPr>
          <w:p>
            <w:pPr>
              <w:pStyle w:val="47"/>
              <w:rPr>
                <w:color w:val="FF0000"/>
              </w:rPr>
            </w:pPr>
            <w:r>
              <w:rPr>
                <w:rFonts w:hint="eastAsia"/>
                <w:color w:val="FF0000"/>
              </w:rPr>
              <w:t>0.0</w:t>
            </w:r>
            <w:r>
              <w:rPr>
                <w:color w:val="FF0000"/>
              </w:rPr>
              <w:t>34</w:t>
            </w:r>
          </w:p>
        </w:tc>
        <w:tc>
          <w:tcPr>
            <w:tcW w:w="2128" w:type="dxa"/>
            <w:vMerge w:val="continue"/>
            <w:vAlign w:val="center"/>
          </w:tcPr>
          <w:p>
            <w:pPr>
              <w:adjustRightInd w:val="0"/>
              <w:snapToGrid w:val="0"/>
              <w:jc w:val="center"/>
              <w:rPr>
                <w:rFonts w:ascii="Times New Roman" w:hAnsi="Times New Roman" w:eastAsia="宋体" w:cs="Times New Roman"/>
                <w:szCs w:val="21"/>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bottom"/>
          </w:tcPr>
          <w:p>
            <w:pPr>
              <w:pStyle w:val="47"/>
              <w:rPr>
                <w:color w:val="FF0000"/>
              </w:rPr>
            </w:pPr>
            <w:r>
              <w:rPr>
                <w:rFonts w:hint="eastAsia"/>
                <w:color w:val="FF0000"/>
              </w:rPr>
              <w:t>1212.22</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969" w:type="dxa"/>
            <w:vAlign w:val="bottom"/>
          </w:tcPr>
          <w:p>
            <w:pPr>
              <w:pStyle w:val="47"/>
              <w:rPr>
                <w:color w:val="FF0000"/>
              </w:rPr>
            </w:pPr>
            <w:r>
              <w:rPr>
                <w:rFonts w:hint="eastAsia"/>
                <w:color w:val="FF0000"/>
              </w:rPr>
              <w:t>0.0</w:t>
            </w:r>
            <w:r>
              <w:rPr>
                <w:color w:val="FF0000"/>
              </w:rPr>
              <w:t>34</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w:t>
            </w:r>
          </w:p>
        </w:tc>
        <w:tc>
          <w:tcPr>
            <w:tcW w:w="49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处理站</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无组织</w:t>
            </w:r>
            <w:r>
              <w:rPr>
                <w:rFonts w:ascii="Times New Roman" w:hAnsi="Times New Roman" w:eastAsia="宋体" w:cs="Times New Roman"/>
                <w:szCs w:val="21"/>
              </w:rPr>
              <w:t>排放</w:t>
            </w:r>
          </w:p>
        </w:tc>
        <w:tc>
          <w:tcPr>
            <w:tcW w:w="82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NH</w:t>
            </w:r>
            <w:r>
              <w:rPr>
                <w:rFonts w:ascii="Times New Roman" w:hAnsi="Times New Roman" w:eastAsia="宋体" w:cs="Times New Roman"/>
                <w:szCs w:val="21"/>
                <w:vertAlign w:val="subscript"/>
              </w:rPr>
              <w:t>3</w:t>
            </w:r>
          </w:p>
        </w:tc>
        <w:tc>
          <w:tcPr>
            <w:tcW w:w="95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 xml:space="preserve">类比法 </w:t>
            </w: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0.00151</w:t>
            </w:r>
          </w:p>
        </w:tc>
        <w:tc>
          <w:tcPr>
            <w:tcW w:w="2128" w:type="dxa"/>
            <w:vMerge w:val="restart"/>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采用地埋式，并加盖板密闭，定期喷洒生物除臭剂，加强污水处理站的运行操作管理</w:t>
            </w:r>
          </w:p>
        </w:tc>
        <w:tc>
          <w:tcPr>
            <w:tcW w:w="1134"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80%</w:t>
            </w:r>
          </w:p>
        </w:tc>
        <w:tc>
          <w:tcPr>
            <w:tcW w:w="8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0.0003</w:t>
            </w:r>
          </w:p>
        </w:tc>
        <w:tc>
          <w:tcPr>
            <w:tcW w:w="635" w:type="dxa"/>
            <w:vMerge w:val="restart"/>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S</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0.000058</w:t>
            </w:r>
          </w:p>
        </w:tc>
        <w:tc>
          <w:tcPr>
            <w:tcW w:w="2128"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1134" w:type="dxa"/>
            <w:vMerge w:val="continue"/>
            <w:vAlign w:val="center"/>
          </w:tcPr>
          <w:p>
            <w:pPr>
              <w:adjustRightInd w:val="0"/>
              <w:snapToGrid w:val="0"/>
              <w:jc w:val="center"/>
              <w:rPr>
                <w:rFonts w:ascii="Times New Roman" w:hAnsi="Times New Roman" w:eastAsia="宋体" w:cs="Times New Roman"/>
                <w:szCs w:val="21"/>
              </w:rPr>
            </w:pP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0.00001</w:t>
            </w:r>
          </w:p>
        </w:tc>
        <w:tc>
          <w:tcPr>
            <w:tcW w:w="635" w:type="dxa"/>
            <w:vMerge w:val="continue"/>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497"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天然气</w:t>
            </w:r>
            <w:r>
              <w:rPr>
                <w:rFonts w:ascii="Times New Roman" w:hAnsi="Times New Roman" w:eastAsia="宋体" w:cs="Times New Roman"/>
                <w:szCs w:val="21"/>
              </w:rPr>
              <w:t>燃烧</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无组织</w:t>
            </w:r>
            <w:r>
              <w:rPr>
                <w:rFonts w:ascii="Times New Roman" w:hAnsi="Times New Roman" w:eastAsia="宋体" w:cs="Times New Roman"/>
                <w:szCs w:val="21"/>
              </w:rPr>
              <w:t>排放</w:t>
            </w:r>
          </w:p>
        </w:tc>
        <w:tc>
          <w:tcPr>
            <w:tcW w:w="824" w:type="dxa"/>
            <w:vAlign w:val="center"/>
          </w:tcPr>
          <w:p>
            <w:pPr>
              <w:pStyle w:val="47"/>
            </w:pPr>
            <w:r>
              <w:rPr>
                <w:rFonts w:hint="eastAsia"/>
              </w:rPr>
              <w:t>N</w:t>
            </w:r>
            <w:r>
              <w:t>O</w:t>
            </w:r>
            <w:r>
              <w:rPr>
                <w:vertAlign w:val="subscript"/>
              </w:rPr>
              <w:t>x</w:t>
            </w:r>
            <w:r>
              <w:rPr>
                <w:rFonts w:hint="eastAsia"/>
              </w:rPr>
              <w:t xml:space="preserve"> </w:t>
            </w:r>
          </w:p>
        </w:tc>
        <w:tc>
          <w:tcPr>
            <w:tcW w:w="950"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0.079</w:t>
            </w:r>
          </w:p>
        </w:tc>
        <w:tc>
          <w:tcPr>
            <w:tcW w:w="2128"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restart"/>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类比法</w:t>
            </w: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0.079</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Align w:val="center"/>
          </w:tcPr>
          <w:p>
            <w:pPr>
              <w:pStyle w:val="47"/>
            </w:pPr>
            <w:r>
              <w:rPr>
                <w:rFonts w:hint="eastAsia"/>
              </w:rPr>
              <w:t>SO</w:t>
            </w:r>
            <w:r>
              <w:rPr>
                <w:vertAlign w:val="subscript"/>
              </w:rPr>
              <w:t>2</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0.008</w:t>
            </w:r>
          </w:p>
        </w:tc>
        <w:tc>
          <w:tcPr>
            <w:tcW w:w="2128" w:type="dxa"/>
            <w:vMerge w:val="continue"/>
            <w:vAlign w:val="center"/>
          </w:tcPr>
          <w:p>
            <w:pPr>
              <w:adjustRightInd w:val="0"/>
              <w:snapToGrid w:val="0"/>
              <w:jc w:val="center"/>
              <w:rPr>
                <w:rFonts w:ascii="Times New Roman" w:hAnsi="Times New Roman" w:eastAsia="宋体" w:cs="Times New Roman"/>
                <w:szCs w:val="21"/>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0.008</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Merge w:val="continue"/>
            <w:vAlign w:val="center"/>
          </w:tcPr>
          <w:p>
            <w:pPr>
              <w:adjustRightInd w:val="0"/>
              <w:snapToGrid w:val="0"/>
              <w:jc w:val="center"/>
              <w:rPr>
                <w:rFonts w:ascii="Times New Roman" w:hAnsi="Times New Roman" w:eastAsia="宋体" w:cs="Times New Roman"/>
                <w:szCs w:val="21"/>
              </w:rPr>
            </w:pPr>
          </w:p>
        </w:tc>
        <w:tc>
          <w:tcPr>
            <w:tcW w:w="753" w:type="dxa"/>
            <w:vMerge w:val="continue"/>
            <w:vAlign w:val="center"/>
          </w:tcPr>
          <w:p>
            <w:pPr>
              <w:adjustRightInd w:val="0"/>
              <w:snapToGrid w:val="0"/>
              <w:jc w:val="center"/>
              <w:rPr>
                <w:rFonts w:ascii="Times New Roman" w:hAnsi="Times New Roman" w:eastAsia="宋体" w:cs="Times New Roman"/>
                <w:szCs w:val="21"/>
              </w:rPr>
            </w:pPr>
          </w:p>
        </w:tc>
        <w:tc>
          <w:tcPr>
            <w:tcW w:w="824" w:type="dxa"/>
            <w:vAlign w:val="center"/>
          </w:tcPr>
          <w:p>
            <w:pPr>
              <w:pStyle w:val="47"/>
            </w:pPr>
            <w:r>
              <w:rPr>
                <w:rFonts w:hint="eastAsia"/>
              </w:rPr>
              <w:t>烟尘</w:t>
            </w:r>
          </w:p>
        </w:tc>
        <w:tc>
          <w:tcPr>
            <w:tcW w:w="950" w:type="dxa"/>
            <w:vMerge w:val="continue"/>
            <w:vAlign w:val="center"/>
          </w:tcPr>
          <w:p>
            <w:pPr>
              <w:adjustRightInd w:val="0"/>
              <w:snapToGrid w:val="0"/>
              <w:jc w:val="center"/>
              <w:rPr>
                <w:rFonts w:ascii="Times New Roman" w:hAnsi="Times New Roman" w:eastAsia="宋体" w:cs="Times New Roman"/>
                <w:szCs w:val="21"/>
              </w:rPr>
            </w:pP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0.006</w:t>
            </w:r>
          </w:p>
        </w:tc>
        <w:tc>
          <w:tcPr>
            <w:tcW w:w="2128" w:type="dxa"/>
            <w:vMerge w:val="continue"/>
            <w:vAlign w:val="center"/>
          </w:tcPr>
          <w:p>
            <w:pPr>
              <w:adjustRightInd w:val="0"/>
              <w:snapToGrid w:val="0"/>
              <w:jc w:val="center"/>
              <w:rPr>
                <w:rFonts w:ascii="Times New Roman" w:hAnsi="Times New Roman" w:eastAsia="宋体" w:cs="Times New Roman"/>
                <w:szCs w:val="21"/>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0.006</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continue"/>
            <w:vAlign w:val="center"/>
          </w:tcPr>
          <w:p>
            <w:pPr>
              <w:adjustRightInd w:val="0"/>
              <w:snapToGrid w:val="0"/>
              <w:jc w:val="center"/>
              <w:rPr>
                <w:rFonts w:ascii="Times New Roman" w:hAnsi="Times New Roman" w:eastAsia="宋体" w:cs="Times New Roman"/>
                <w:szCs w:val="21"/>
              </w:rPr>
            </w:pPr>
          </w:p>
        </w:tc>
        <w:tc>
          <w:tcPr>
            <w:tcW w:w="49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75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排气筒</w:t>
            </w:r>
          </w:p>
        </w:tc>
        <w:tc>
          <w:tcPr>
            <w:tcW w:w="82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油烟</w:t>
            </w:r>
          </w:p>
        </w:tc>
        <w:tc>
          <w:tcPr>
            <w:tcW w:w="950"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30000</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3.50</w:t>
            </w:r>
          </w:p>
        </w:tc>
        <w:tc>
          <w:tcPr>
            <w:tcW w:w="989" w:type="dxa"/>
            <w:vAlign w:val="center"/>
          </w:tcPr>
          <w:p>
            <w:pPr>
              <w:adjustRightInd w:val="0"/>
              <w:snapToGrid w:val="0"/>
              <w:jc w:val="center"/>
              <w:rPr>
                <w:rFonts w:ascii="Times New Roman" w:hAnsi="Times New Roman" w:eastAsia="宋体" w:cs="Times New Roman"/>
                <w:color w:val="FF0000"/>
                <w:szCs w:val="21"/>
                <w:highlight w:val="yellow"/>
              </w:rPr>
            </w:pPr>
            <w:r>
              <w:rPr>
                <w:rFonts w:hint="eastAsia" w:ascii="Times New Roman" w:hAnsi="Times New Roman" w:eastAsia="宋体" w:cs="Times New Roman"/>
                <w:szCs w:val="21"/>
              </w:rPr>
              <w:t>0.104</w:t>
            </w:r>
          </w:p>
        </w:tc>
        <w:tc>
          <w:tcPr>
            <w:tcW w:w="2128" w:type="dxa"/>
            <w:vAlign w:val="center"/>
          </w:tcPr>
          <w:p>
            <w:pPr>
              <w:adjustRightInd w:val="0"/>
              <w:snapToGrid w:val="0"/>
              <w:jc w:val="center"/>
              <w:rPr>
                <w:rFonts w:ascii="Times New Roman" w:hAnsi="Times New Roman" w:eastAsia="宋体" w:cs="Times New Roman"/>
                <w:szCs w:val="21"/>
                <w:highlight w:val="yellow"/>
              </w:rPr>
            </w:pPr>
          </w:p>
        </w:tc>
        <w:tc>
          <w:tcPr>
            <w:tcW w:w="1134" w:type="dxa"/>
            <w:vAlign w:val="center"/>
          </w:tcPr>
          <w:p>
            <w:pPr>
              <w:adjustRightInd w:val="0"/>
              <w:snapToGrid w:val="0"/>
              <w:jc w:val="center"/>
              <w:rPr>
                <w:rFonts w:ascii="Times New Roman" w:hAnsi="Times New Roman" w:eastAsia="宋体" w:cs="Times New Roman"/>
                <w:szCs w:val="21"/>
                <w:highlight w:val="yellow"/>
              </w:rPr>
            </w:pPr>
          </w:p>
        </w:tc>
        <w:tc>
          <w:tcPr>
            <w:tcW w:w="811" w:type="dxa"/>
            <w:vAlign w:val="center"/>
          </w:tcPr>
          <w:p>
            <w:pPr>
              <w:adjustRightInd w:val="0"/>
              <w:snapToGrid w:val="0"/>
              <w:jc w:val="center"/>
              <w:rPr>
                <w:rFonts w:ascii="Times New Roman" w:hAnsi="Times New Roman" w:eastAsia="宋体" w:cs="Times New Roman"/>
                <w:szCs w:val="21"/>
                <w:highlight w:val="yellow"/>
              </w:rPr>
            </w:pP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30000</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0.88</w:t>
            </w:r>
          </w:p>
        </w:tc>
        <w:tc>
          <w:tcPr>
            <w:tcW w:w="969" w:type="dxa"/>
            <w:vAlign w:val="center"/>
          </w:tcPr>
          <w:p>
            <w:pPr>
              <w:adjustRightInd w:val="0"/>
              <w:snapToGrid w:val="0"/>
              <w:jc w:val="center"/>
              <w:rPr>
                <w:rFonts w:ascii="Times New Roman" w:hAnsi="Times New Roman" w:eastAsia="宋体" w:cs="Times New Roman"/>
                <w:color w:val="FF0000"/>
                <w:szCs w:val="21"/>
                <w:highlight w:val="yellow"/>
              </w:rPr>
            </w:pPr>
            <w:r>
              <w:rPr>
                <w:rFonts w:hint="eastAsia" w:ascii="Times New Roman" w:hAnsi="Times New Roman" w:eastAsia="宋体" w:cs="Times New Roman"/>
                <w:szCs w:val="21"/>
              </w:rPr>
              <w:t>0.027</w:t>
            </w:r>
          </w:p>
        </w:tc>
        <w:tc>
          <w:tcPr>
            <w:tcW w:w="6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备用</w:t>
            </w:r>
            <w:r>
              <w:rPr>
                <w:rFonts w:ascii="Times New Roman" w:hAnsi="Times New Roman" w:eastAsia="宋体" w:cs="Times New Roman"/>
                <w:szCs w:val="21"/>
              </w:rPr>
              <w:t>发电机</w:t>
            </w:r>
          </w:p>
        </w:tc>
        <w:tc>
          <w:tcPr>
            <w:tcW w:w="49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发电机</w:t>
            </w:r>
          </w:p>
        </w:tc>
        <w:tc>
          <w:tcPr>
            <w:tcW w:w="75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无组织排放</w:t>
            </w:r>
          </w:p>
        </w:tc>
        <w:tc>
          <w:tcPr>
            <w:tcW w:w="82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烟尘</w:t>
            </w:r>
          </w:p>
        </w:tc>
        <w:tc>
          <w:tcPr>
            <w:tcW w:w="950"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产污系数法</w:t>
            </w: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.62</w:t>
            </w:r>
          </w:p>
        </w:tc>
        <w:tc>
          <w:tcPr>
            <w:tcW w:w="2128"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经专用管道</w:t>
            </w:r>
            <w:r>
              <w:rPr>
                <w:rFonts w:ascii="Times New Roman" w:hAnsi="Times New Roman" w:eastAsia="宋体" w:cs="Times New Roman"/>
                <w:szCs w:val="21"/>
              </w:rPr>
              <w:t>引至楼顶排放</w:t>
            </w: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产污系数法</w:t>
            </w: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1.62</w:t>
            </w:r>
          </w:p>
        </w:tc>
        <w:tc>
          <w:tcPr>
            <w:tcW w:w="635" w:type="dxa"/>
            <w:vMerge w:val="restart"/>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rPr>
        <w:tc>
          <w:tcPr>
            <w:tcW w:w="511"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497"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753"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24" w:type="dxa"/>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950" w:type="dxa"/>
            <w:vMerge w:val="continue"/>
            <w:vAlign w:val="center"/>
          </w:tcPr>
          <w:p>
            <w:pPr>
              <w:adjustRightInd w:val="0"/>
              <w:snapToGrid w:val="0"/>
              <w:jc w:val="center"/>
              <w:rPr>
                <w:rFonts w:ascii="Times New Roman" w:hAnsi="Times New Roman" w:eastAsia="宋体" w:cs="Times New Roman"/>
                <w:szCs w:val="21"/>
                <w:highlight w:val="yellow"/>
              </w:rPr>
            </w:pPr>
          </w:p>
        </w:tc>
        <w:tc>
          <w:tcPr>
            <w:tcW w:w="84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9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8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0.82</w:t>
            </w:r>
          </w:p>
        </w:tc>
        <w:tc>
          <w:tcPr>
            <w:tcW w:w="2128" w:type="dxa"/>
            <w:vMerge w:val="continue"/>
            <w:vAlign w:val="center"/>
          </w:tcPr>
          <w:p>
            <w:pPr>
              <w:adjustRightInd w:val="0"/>
              <w:snapToGrid w:val="0"/>
              <w:jc w:val="center"/>
              <w:rPr>
                <w:rFonts w:ascii="Times New Roman" w:hAnsi="Times New Roman" w:eastAsia="宋体" w:cs="Times New Roman"/>
                <w:szCs w:val="21"/>
              </w:rPr>
            </w:pPr>
          </w:p>
        </w:tc>
        <w:tc>
          <w:tcPr>
            <w:tcW w:w="11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811" w:type="dxa"/>
            <w:vMerge w:val="continue"/>
            <w:vAlign w:val="center"/>
          </w:tcPr>
          <w:p>
            <w:pPr>
              <w:adjustRightInd w:val="0"/>
              <w:snapToGrid w:val="0"/>
              <w:jc w:val="center"/>
              <w:rPr>
                <w:rFonts w:ascii="Times New Roman" w:hAnsi="Times New Roman" w:eastAsia="宋体" w:cs="Times New Roman"/>
                <w:szCs w:val="21"/>
              </w:rPr>
            </w:pPr>
          </w:p>
        </w:tc>
        <w:tc>
          <w:tcPr>
            <w:tcW w:w="82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058"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969"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0.82</w:t>
            </w:r>
          </w:p>
        </w:tc>
        <w:tc>
          <w:tcPr>
            <w:tcW w:w="635" w:type="dxa"/>
            <w:vMerge w:val="continue"/>
            <w:vAlign w:val="center"/>
          </w:tcPr>
          <w:p>
            <w:pPr>
              <w:adjustRightInd w:val="0"/>
              <w:snapToGrid w:val="0"/>
              <w:jc w:val="center"/>
              <w:rPr>
                <w:rFonts w:ascii="Times New Roman" w:hAnsi="Times New Roman" w:eastAsia="宋体" w:cs="Times New Roman"/>
                <w:szCs w:val="21"/>
                <w:highlight w:val="yellow"/>
              </w:rPr>
            </w:pPr>
          </w:p>
        </w:tc>
      </w:tr>
    </w:tbl>
    <w:p>
      <w:pPr>
        <w:pStyle w:val="40"/>
        <w:ind w:firstLine="480"/>
        <w:rPr>
          <w:highlight w:val="yellow"/>
        </w:rPr>
      </w:pPr>
    </w:p>
    <w:p>
      <w:pPr>
        <w:pStyle w:val="40"/>
        <w:ind w:firstLine="480"/>
        <w:rPr>
          <w:highlight w:val="yellow"/>
        </w:rPr>
      </w:pPr>
    </w:p>
    <w:p>
      <w:pPr>
        <w:pStyle w:val="40"/>
        <w:ind w:firstLine="480"/>
        <w:rPr>
          <w:highlight w:val="yellow"/>
        </w:rPr>
        <w:sectPr>
          <w:headerReference r:id="rId24" w:type="default"/>
          <w:headerReference r:id="rId25" w:type="even"/>
          <w:pgSz w:w="16838" w:h="11906" w:orient="landscape"/>
          <w:pgMar w:top="1588" w:right="1418" w:bottom="1418" w:left="1418" w:header="851" w:footer="992" w:gutter="0"/>
          <w:pgNumType w:fmt="numberInDash"/>
          <w:cols w:space="425" w:num="1"/>
          <w:docGrid w:type="linesAndChars" w:linePitch="312" w:charSpace="0"/>
        </w:sectPr>
      </w:pPr>
    </w:p>
    <w:p>
      <w:pPr>
        <w:pStyle w:val="5"/>
      </w:pPr>
      <w:r>
        <w:rPr>
          <w:rFonts w:hint="eastAsia"/>
        </w:rPr>
        <w:t>废水</w:t>
      </w:r>
      <w:r>
        <w:t>污染源</w:t>
      </w:r>
    </w:p>
    <w:p>
      <w:pPr>
        <w:pStyle w:val="40"/>
        <w:ind w:firstLine="480"/>
        <w:rPr>
          <w:rFonts w:cs="Times New Roman"/>
          <w:kern w:val="0"/>
          <w:szCs w:val="20"/>
          <w:highlight w:val="yellow"/>
        </w:rPr>
      </w:pPr>
      <w:r>
        <w:rPr>
          <w:rFonts w:hint="eastAsia" w:cs="Times New Roman"/>
          <w:kern w:val="0"/>
          <w:szCs w:val="20"/>
        </w:rPr>
        <w:t>项目废水主要是来自门诊</w:t>
      </w:r>
      <w:r>
        <w:rPr>
          <w:rFonts w:cs="Times New Roman"/>
          <w:kern w:val="0"/>
          <w:szCs w:val="20"/>
        </w:rPr>
        <w:t>人员、住院病人、医务人员和行政办公人员</w:t>
      </w:r>
      <w:r>
        <w:rPr>
          <w:rFonts w:hint="eastAsia" w:cs="Times New Roman"/>
          <w:kern w:val="0"/>
          <w:szCs w:val="20"/>
        </w:rPr>
        <w:t>、</w:t>
      </w:r>
      <w:r>
        <w:rPr>
          <w:rFonts w:cs="Times New Roman"/>
          <w:kern w:val="0"/>
          <w:szCs w:val="20"/>
        </w:rPr>
        <w:t>以及食堂</w:t>
      </w:r>
      <w:r>
        <w:rPr>
          <w:rFonts w:hint="eastAsia" w:cs="Times New Roman"/>
          <w:kern w:val="0"/>
          <w:szCs w:val="20"/>
        </w:rPr>
        <w:t>餐饮</w:t>
      </w:r>
      <w:r>
        <w:rPr>
          <w:rFonts w:cs="Times New Roman"/>
          <w:kern w:val="0"/>
          <w:szCs w:val="20"/>
        </w:rPr>
        <w:t>用水等。</w:t>
      </w:r>
    </w:p>
    <w:p>
      <w:pPr>
        <w:pStyle w:val="6"/>
      </w:pPr>
      <w:r>
        <w:rPr>
          <w:rFonts w:hint="eastAsia"/>
        </w:rPr>
        <w:t>废水水量</w:t>
      </w:r>
    </w:p>
    <w:p>
      <w:pPr>
        <w:pStyle w:val="40"/>
        <w:ind w:firstLine="482"/>
        <w:rPr>
          <w:b/>
        </w:rPr>
      </w:pPr>
      <w:r>
        <w:rPr>
          <w:rFonts w:hint="eastAsia"/>
          <w:b/>
        </w:rPr>
        <w:t>1、门诊</w:t>
      </w:r>
      <w:r>
        <w:rPr>
          <w:b/>
        </w:rPr>
        <w:t>用排水</w:t>
      </w:r>
    </w:p>
    <w:p>
      <w:pPr>
        <w:pStyle w:val="40"/>
        <w:ind w:firstLine="480"/>
        <w:rPr>
          <w:rFonts w:cs="Times New Roman"/>
          <w:szCs w:val="24"/>
        </w:rPr>
      </w:pPr>
      <w:r>
        <w:rPr>
          <w:rFonts w:hint="eastAsia" w:cs="Times New Roman"/>
          <w:szCs w:val="24"/>
        </w:rPr>
        <w:t>项目门诊每日的人流量较大，其废水主要为冲厕、盥洗等产生的废水。这类污水含有一定浓度的有机物，部分具有传染性。主要污染物为</w:t>
      </w:r>
      <w:r>
        <w:rPr>
          <w:rFonts w:cs="Times New Roman"/>
          <w:szCs w:val="24"/>
        </w:rPr>
        <w:t>COD</w:t>
      </w:r>
      <w:r>
        <w:rPr>
          <w:rFonts w:hint="eastAsia" w:cs="Times New Roman"/>
          <w:szCs w:val="24"/>
        </w:rPr>
        <w:t>、</w:t>
      </w:r>
      <w:r>
        <w:rPr>
          <w:rFonts w:cs="Times New Roman"/>
          <w:szCs w:val="24"/>
        </w:rPr>
        <w:t>NH</w:t>
      </w:r>
      <w:r>
        <w:rPr>
          <w:rFonts w:cs="Times New Roman"/>
          <w:szCs w:val="24"/>
          <w:vertAlign w:val="subscript"/>
        </w:rPr>
        <w:t>3</w:t>
      </w:r>
      <w:r>
        <w:rPr>
          <w:rFonts w:cs="Times New Roman"/>
          <w:szCs w:val="24"/>
        </w:rPr>
        <w:t>-N</w:t>
      </w:r>
      <w:r>
        <w:rPr>
          <w:rFonts w:hint="eastAsia" w:cs="Times New Roman"/>
          <w:szCs w:val="24"/>
        </w:rPr>
        <w:t>、</w:t>
      </w:r>
      <w:r>
        <w:rPr>
          <w:rFonts w:cs="Times New Roman"/>
          <w:szCs w:val="24"/>
        </w:rPr>
        <w:t xml:space="preserve">SS </w:t>
      </w:r>
      <w:r>
        <w:rPr>
          <w:rFonts w:hint="eastAsia" w:cs="Times New Roman"/>
          <w:szCs w:val="24"/>
        </w:rPr>
        <w:t>及粪大肠菌群等。</w:t>
      </w:r>
    </w:p>
    <w:p>
      <w:pPr>
        <w:pStyle w:val="40"/>
        <w:ind w:firstLine="480"/>
        <w:rPr>
          <w:rFonts w:hAnsi="宋体"/>
        </w:rPr>
      </w:pPr>
      <w:r>
        <w:rPr>
          <w:rFonts w:hint="eastAsia"/>
        </w:rPr>
        <w:t>根据</w:t>
      </w:r>
      <w:r>
        <w:t>建设单位提供数据，项目</w:t>
      </w:r>
      <w:r>
        <w:rPr>
          <w:rFonts w:hint="eastAsia"/>
        </w:rPr>
        <w:t>建成后医院</w:t>
      </w:r>
      <w:r>
        <w:t>门诊人数</w:t>
      </w:r>
      <w:r>
        <w:rPr>
          <w:rFonts w:hint="eastAsia"/>
        </w:rPr>
        <w:t>1500人/</w:t>
      </w:r>
      <w:r>
        <w:t>d，根据陕西省</w:t>
      </w:r>
      <w:r>
        <w:rPr>
          <w:rFonts w:hint="eastAsia"/>
        </w:rPr>
        <w:t>地方</w:t>
      </w:r>
      <w:r>
        <w:t>标准《行业用水定额》（DB61/T943-2020），</w:t>
      </w:r>
      <w:r>
        <w:rPr>
          <w:rFonts w:hint="eastAsia"/>
        </w:rPr>
        <w:t>新建（改建、扩建）项目</w:t>
      </w:r>
      <w:r>
        <w:t>医院门诊</w:t>
      </w:r>
      <w:r>
        <w:rPr>
          <w:rFonts w:hint="eastAsia"/>
        </w:rPr>
        <w:t>用水定额以先进值</w:t>
      </w:r>
      <w:r>
        <w:t>11</w:t>
      </w:r>
      <w:r>
        <w:rPr>
          <w:rFonts w:hint="eastAsia"/>
        </w:rPr>
        <w:t>L/（人•d）计，则</w:t>
      </w:r>
      <w:r>
        <w:t>项目门诊用水量为16.5m</w:t>
      </w:r>
      <w:r>
        <w:rPr>
          <w:vertAlign w:val="superscript"/>
        </w:rPr>
        <w:t>3</w:t>
      </w:r>
      <w:r>
        <w:t>/d</w:t>
      </w:r>
      <w:r>
        <w:rPr>
          <w:rFonts w:hint="eastAsia"/>
        </w:rPr>
        <w:t>，</w:t>
      </w:r>
      <w:r>
        <w:t>60225.5m</w:t>
      </w:r>
      <w:r>
        <w:rPr>
          <w:vertAlign w:val="superscript"/>
        </w:rPr>
        <w:t>3</w:t>
      </w:r>
      <w:r>
        <w:t>/a，</w:t>
      </w:r>
      <w:r>
        <w:rPr>
          <w:rFonts w:hint="eastAsia"/>
        </w:rPr>
        <w:t>废水</w:t>
      </w:r>
      <w:r>
        <w:t>产生</w:t>
      </w:r>
      <w:r>
        <w:rPr>
          <w:rFonts w:hint="eastAsia"/>
        </w:rPr>
        <w:t>量</w:t>
      </w:r>
      <w:r>
        <w:t>按用水量的85%计，</w:t>
      </w:r>
      <w:r>
        <w:rPr>
          <w:rFonts w:hint="eastAsia"/>
        </w:rPr>
        <w:t>门诊废水量</w:t>
      </w:r>
      <w:r>
        <w:t>为14.03m</w:t>
      </w:r>
      <w:r>
        <w:rPr>
          <w:vertAlign w:val="superscript"/>
        </w:rPr>
        <w:t>3</w:t>
      </w:r>
      <w:r>
        <w:t>/d</w:t>
      </w:r>
      <w:r>
        <w:rPr>
          <w:rFonts w:hint="eastAsia"/>
        </w:rPr>
        <w:t>，</w:t>
      </w:r>
      <w:r>
        <w:t>5119.13m</w:t>
      </w:r>
      <w:r>
        <w:rPr>
          <w:vertAlign w:val="superscript"/>
        </w:rPr>
        <w:t>3</w:t>
      </w:r>
      <w:r>
        <w:t>/a</w:t>
      </w:r>
      <w:r>
        <w:rPr>
          <w:rFonts w:hint="eastAsia"/>
        </w:rPr>
        <w:t>。</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2、病房废水</w:t>
      </w:r>
    </w:p>
    <w:p>
      <w:pPr>
        <w:adjustRightInd w:val="0"/>
        <w:snapToGrid w:val="0"/>
        <w:spacing w:line="360" w:lineRule="auto"/>
        <w:ind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rPr>
        <w:t>本项目医院</w:t>
      </w:r>
      <w:r>
        <w:rPr>
          <w:rFonts w:ascii="Times New Roman" w:hAnsi="Times New Roman" w:eastAsia="宋体" w:cs="Times New Roman"/>
          <w:sz w:val="24"/>
          <w:szCs w:val="24"/>
        </w:rPr>
        <w:t>共设置病床</w:t>
      </w:r>
      <w:r>
        <w:rPr>
          <w:rFonts w:hint="eastAsia" w:ascii="Times New Roman" w:hAnsi="Times New Roman" w:eastAsia="宋体" w:cs="Times New Roman"/>
          <w:sz w:val="24"/>
          <w:szCs w:val="24"/>
        </w:rPr>
        <w:t>500床</w:t>
      </w:r>
      <w:r>
        <w:rPr>
          <w:rFonts w:ascii="Times New Roman" w:hAnsi="Times New Roman" w:eastAsia="宋体" w:cs="Times New Roman"/>
          <w:sz w:val="24"/>
          <w:szCs w:val="24"/>
        </w:rPr>
        <w:t>，</w:t>
      </w:r>
      <w:r>
        <w:rPr>
          <w:rFonts w:hint="eastAsia" w:ascii="Times New Roman" w:hAnsi="Times New Roman" w:eastAsia="宋体" w:cs="Times New Roman"/>
          <w:sz w:val="24"/>
          <w:szCs w:val="24"/>
        </w:rPr>
        <w:t>根据陕西省地方标准《行业用水定额》（DB61/T943-2020），新建（改建、扩建）项目医院设</w:t>
      </w:r>
      <w:r>
        <w:rPr>
          <w:rFonts w:ascii="Times New Roman" w:hAnsi="Times New Roman" w:eastAsia="宋体" w:cs="Times New Roman"/>
          <w:sz w:val="24"/>
          <w:szCs w:val="24"/>
        </w:rPr>
        <w:t>单独卫生间</w:t>
      </w:r>
      <w:r>
        <w:rPr>
          <w:rFonts w:hint="eastAsia" w:ascii="Times New Roman" w:hAnsi="Times New Roman" w:eastAsia="宋体" w:cs="Times New Roman"/>
          <w:sz w:val="24"/>
          <w:szCs w:val="24"/>
        </w:rPr>
        <w:t>用水</w:t>
      </w:r>
      <w:r>
        <w:rPr>
          <w:rFonts w:ascii="Times New Roman" w:hAnsi="Times New Roman" w:eastAsia="宋体" w:cs="Times New Roman"/>
          <w:sz w:val="24"/>
          <w:szCs w:val="24"/>
        </w:rPr>
        <w:t>定额以先进值</w:t>
      </w:r>
      <w:r>
        <w:rPr>
          <w:rFonts w:hint="eastAsia" w:ascii="Times New Roman" w:hAnsi="Times New Roman" w:eastAsia="宋体" w:cs="Times New Roman"/>
          <w:sz w:val="24"/>
          <w:szCs w:val="24"/>
        </w:rPr>
        <w:t>220L</w:t>
      </w:r>
      <w:r>
        <w:rPr>
          <w:rFonts w:ascii="Times New Roman" w:hAnsi="Times New Roman" w:eastAsia="宋体" w:cs="Times New Roman"/>
          <w:sz w:val="24"/>
          <w:szCs w:val="24"/>
        </w:rPr>
        <w:t>/</w:t>
      </w:r>
      <w:r>
        <w:rPr>
          <w:rFonts w:hint="eastAsia" w:ascii="Times New Roman" w:hAnsi="Times New Roman" w:eastAsia="宋体" w:cs="Times New Roman"/>
          <w:sz w:val="24"/>
          <w:szCs w:val="24"/>
        </w:rPr>
        <w:t>床</w:t>
      </w:r>
      <w:r>
        <w:rPr>
          <w:rFonts w:ascii="Times New Roman" w:hAnsi="Times New Roman" w:eastAsia="宋体" w:cs="Times New Roman"/>
          <w:sz w:val="24"/>
          <w:szCs w:val="24"/>
        </w:rPr>
        <w:t>·</w:t>
      </w:r>
      <w:r>
        <w:rPr>
          <w:rFonts w:hint="eastAsia" w:ascii="Times New Roman" w:hAnsi="Times New Roman" w:eastAsia="宋体" w:cs="Times New Roman"/>
          <w:sz w:val="24"/>
          <w:szCs w:val="24"/>
        </w:rPr>
        <w:t>d，则</w:t>
      </w:r>
      <w:r>
        <w:rPr>
          <w:rFonts w:ascii="Times New Roman" w:hAnsi="Times New Roman" w:eastAsia="宋体" w:cs="Times New Roman"/>
          <w:sz w:val="24"/>
          <w:szCs w:val="24"/>
        </w:rPr>
        <w:t>项目病房用水量为110m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/d，40150m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废水</w:t>
      </w:r>
      <w:r>
        <w:rPr>
          <w:rFonts w:ascii="Times New Roman" w:hAnsi="Times New Roman" w:eastAsia="宋体" w:cs="Times New Roman"/>
          <w:sz w:val="24"/>
          <w:szCs w:val="24"/>
        </w:rPr>
        <w:t>产生</w:t>
      </w:r>
      <w:r>
        <w:rPr>
          <w:rFonts w:hint="eastAsia" w:ascii="Times New Roman" w:hAnsi="Times New Roman" w:eastAsia="宋体" w:cs="Times New Roman"/>
          <w:sz w:val="24"/>
          <w:szCs w:val="24"/>
        </w:rPr>
        <w:t>量</w:t>
      </w:r>
      <w:r>
        <w:rPr>
          <w:rFonts w:ascii="Times New Roman" w:hAnsi="Times New Roman" w:eastAsia="宋体" w:cs="Times New Roman"/>
          <w:sz w:val="24"/>
          <w:szCs w:val="24"/>
        </w:rPr>
        <w:t>按用水量的85%计，</w:t>
      </w:r>
      <w:r>
        <w:rPr>
          <w:rFonts w:hint="eastAsia" w:ascii="Times New Roman" w:hAnsi="Times New Roman" w:eastAsia="宋体" w:cs="Times New Roman"/>
          <w:sz w:val="24"/>
          <w:szCs w:val="24"/>
        </w:rPr>
        <w:t>病房废水量</w:t>
      </w:r>
      <w:r>
        <w:rPr>
          <w:rFonts w:ascii="Times New Roman" w:hAnsi="Times New Roman" w:eastAsia="宋体" w:cs="Times New Roman"/>
          <w:sz w:val="24"/>
          <w:szCs w:val="24"/>
        </w:rPr>
        <w:t>为93.50m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34127.50m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3、医护</w:t>
      </w:r>
      <w:r>
        <w:rPr>
          <w:rFonts w:ascii="Times New Roman" w:hAnsi="Times New Roman" w:eastAsia="宋体" w:cs="Times New Roman"/>
          <w:b/>
          <w:sz w:val="24"/>
          <w:szCs w:val="24"/>
        </w:rPr>
        <w:t>人员废</w:t>
      </w:r>
      <w:r>
        <w:rPr>
          <w:rFonts w:hint="eastAsia" w:ascii="Times New Roman" w:hAnsi="Times New Roman" w:eastAsia="宋体" w:cs="Times New Roman"/>
          <w:b/>
          <w:sz w:val="24"/>
          <w:szCs w:val="24"/>
        </w:rPr>
        <w:t>水</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建成后医护人员595</w:t>
      </w:r>
      <w:r>
        <w:rPr>
          <w:rFonts w:hint="eastAsia" w:ascii="Times New Roman" w:hAnsi="Times New Roman" w:eastAsia="宋体" w:cs="Times New Roman"/>
          <w:sz w:val="24"/>
          <w:szCs w:val="24"/>
        </w:rPr>
        <w:t>人</w:t>
      </w:r>
      <w:r>
        <w:rPr>
          <w:rFonts w:ascii="Times New Roman" w:hAnsi="Times New Roman" w:eastAsia="宋体" w:cs="Times New Roman"/>
          <w:sz w:val="24"/>
          <w:szCs w:val="24"/>
        </w:rPr>
        <w:t>，</w:t>
      </w:r>
      <w:r>
        <w:rPr>
          <w:rFonts w:hint="eastAsia" w:ascii="Times New Roman" w:hAnsi="Times New Roman" w:eastAsia="宋体" w:cs="Times New Roman"/>
          <w:sz w:val="24"/>
          <w:szCs w:val="24"/>
        </w:rPr>
        <w:t>根据陕西省地方标准《行业用水定额》（DB61/T 943-20</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）有关规定，新建（改建、扩建）项目医护</w:t>
      </w:r>
      <w:r>
        <w:rPr>
          <w:rFonts w:ascii="Times New Roman" w:hAnsi="Times New Roman" w:eastAsia="宋体" w:cs="Times New Roman"/>
          <w:sz w:val="24"/>
          <w:szCs w:val="24"/>
        </w:rPr>
        <w:t>人员用水定额</w:t>
      </w:r>
      <w:r>
        <w:rPr>
          <w:rFonts w:hint="eastAsia" w:ascii="Times New Roman" w:hAnsi="Times New Roman" w:eastAsia="宋体" w:cs="Times New Roman"/>
          <w:sz w:val="24"/>
          <w:szCs w:val="24"/>
        </w:rPr>
        <w:t>以</w:t>
      </w:r>
      <w:r>
        <w:rPr>
          <w:rFonts w:ascii="Times New Roman" w:hAnsi="Times New Roman" w:eastAsia="宋体" w:cs="Times New Roman"/>
          <w:sz w:val="24"/>
          <w:szCs w:val="24"/>
        </w:rPr>
        <w:t>先进值</w:t>
      </w:r>
      <w:r>
        <w:rPr>
          <w:rFonts w:hint="eastAsia" w:ascii="Times New Roman" w:hAnsi="Times New Roman" w:eastAsia="宋体" w:cs="Times New Roman"/>
          <w:sz w:val="24"/>
          <w:szCs w:val="24"/>
        </w:rPr>
        <w:t>1</w:t>
      </w:r>
      <w:r>
        <w:rPr>
          <w:rFonts w:ascii="Times New Roman" w:hAnsi="Times New Roman" w:eastAsia="宋体" w:cs="Times New Roman"/>
          <w:sz w:val="24"/>
          <w:szCs w:val="24"/>
        </w:rPr>
        <w:t>2</w:t>
      </w:r>
      <w:r>
        <w:rPr>
          <w:rFonts w:hint="eastAsia" w:ascii="Times New Roman" w:hAnsi="Times New Roman" w:eastAsia="宋体" w:cs="Times New Roman"/>
          <w:sz w:val="24"/>
          <w:szCs w:val="24"/>
        </w:rPr>
        <w:t>0</w:t>
      </w:r>
      <w:r>
        <w:rPr>
          <w:rFonts w:ascii="Times New Roman" w:hAnsi="Times New Roman" w:eastAsia="宋体" w:cs="Times New Roman"/>
          <w:sz w:val="24"/>
          <w:szCs w:val="24"/>
        </w:rPr>
        <w:t>L/</w:t>
      </w:r>
      <w:r>
        <w:rPr>
          <w:rFonts w:hint="eastAsia" w:ascii="Times New Roman" w:hAnsi="Times New Roman" w:eastAsia="宋体" w:cs="Times New Roman"/>
          <w:sz w:val="24"/>
          <w:szCs w:val="24"/>
        </w:rPr>
        <w:t>人·</w:t>
      </w:r>
      <w:r>
        <w:rPr>
          <w:rFonts w:ascii="Times New Roman" w:hAnsi="Times New Roman" w:eastAsia="宋体" w:cs="Times New Roman"/>
          <w:sz w:val="24"/>
          <w:szCs w:val="24"/>
        </w:rPr>
        <w:t>班</w:t>
      </w:r>
      <w:r>
        <w:rPr>
          <w:rFonts w:hint="eastAsia" w:ascii="Times New Roman" w:hAnsi="Times New Roman" w:eastAsia="宋体" w:cs="Times New Roman"/>
          <w:sz w:val="24"/>
          <w:szCs w:val="24"/>
        </w:rPr>
        <w:t>计，则</w:t>
      </w:r>
      <w:r>
        <w:rPr>
          <w:rFonts w:ascii="Times New Roman" w:hAnsi="Times New Roman" w:eastAsia="宋体" w:cs="Times New Roman"/>
          <w:sz w:val="24"/>
          <w:szCs w:val="24"/>
        </w:rPr>
        <w:t>项目医护人员用水量为71.4m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/d，26061m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废水</w:t>
      </w:r>
      <w:r>
        <w:rPr>
          <w:rFonts w:ascii="Times New Roman" w:hAnsi="Times New Roman" w:eastAsia="宋体" w:cs="Times New Roman"/>
          <w:sz w:val="24"/>
          <w:szCs w:val="24"/>
        </w:rPr>
        <w:t>产生</w:t>
      </w:r>
      <w:r>
        <w:rPr>
          <w:rFonts w:hint="eastAsia" w:ascii="Times New Roman" w:hAnsi="Times New Roman" w:eastAsia="宋体" w:cs="Times New Roman"/>
          <w:sz w:val="24"/>
          <w:szCs w:val="24"/>
        </w:rPr>
        <w:t>量</w:t>
      </w:r>
      <w:r>
        <w:rPr>
          <w:rFonts w:ascii="Times New Roman" w:hAnsi="Times New Roman" w:eastAsia="宋体" w:cs="Times New Roman"/>
          <w:sz w:val="24"/>
          <w:szCs w:val="24"/>
        </w:rPr>
        <w:t>按用水量的85%计，</w:t>
      </w:r>
      <w:r>
        <w:rPr>
          <w:rFonts w:hint="eastAsia" w:ascii="Times New Roman" w:hAnsi="Times New Roman" w:eastAsia="宋体" w:cs="Times New Roman"/>
          <w:sz w:val="24"/>
          <w:szCs w:val="24"/>
        </w:rPr>
        <w:t>医护人员废水量</w:t>
      </w:r>
      <w:r>
        <w:rPr>
          <w:rFonts w:ascii="Times New Roman" w:hAnsi="Times New Roman" w:eastAsia="宋体" w:cs="Times New Roman"/>
          <w:sz w:val="24"/>
          <w:szCs w:val="24"/>
        </w:rPr>
        <w:t>为60.69m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22151.85m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4、办公</w:t>
      </w:r>
      <w:r>
        <w:rPr>
          <w:rFonts w:ascii="Times New Roman" w:hAnsi="Times New Roman" w:eastAsia="宋体" w:cs="Times New Roman"/>
          <w:b/>
          <w:sz w:val="24"/>
          <w:szCs w:val="24"/>
        </w:rPr>
        <w:t>、后勤服务废水</w:t>
      </w:r>
    </w:p>
    <w:p>
      <w:pPr>
        <w:adjustRightInd w:val="0"/>
        <w:snapToGrid w:val="0"/>
        <w:spacing w:line="360" w:lineRule="auto"/>
        <w:ind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rPr>
        <w:t>项目建成</w:t>
      </w:r>
      <w:r>
        <w:rPr>
          <w:rFonts w:ascii="Times New Roman" w:hAnsi="Times New Roman" w:eastAsia="宋体" w:cs="Times New Roman"/>
          <w:sz w:val="24"/>
          <w:szCs w:val="24"/>
        </w:rPr>
        <w:t>后</w:t>
      </w:r>
      <w:r>
        <w:rPr>
          <w:rFonts w:hint="eastAsia" w:ascii="Times New Roman" w:hAnsi="Times New Roman" w:eastAsia="宋体" w:cs="Times New Roman"/>
          <w:sz w:val="24"/>
          <w:szCs w:val="24"/>
        </w:rPr>
        <w:t>办公</w:t>
      </w:r>
      <w:r>
        <w:rPr>
          <w:rFonts w:ascii="Times New Roman" w:hAnsi="Times New Roman" w:eastAsia="宋体" w:cs="Times New Roman"/>
          <w:sz w:val="24"/>
          <w:szCs w:val="24"/>
        </w:rPr>
        <w:t>及后勤服务人员为225</w:t>
      </w:r>
      <w:r>
        <w:rPr>
          <w:rFonts w:hint="eastAsia" w:ascii="Times New Roman" w:hAnsi="Times New Roman" w:eastAsia="宋体" w:cs="Times New Roman"/>
          <w:sz w:val="24"/>
          <w:szCs w:val="24"/>
        </w:rPr>
        <w:t>人</w:t>
      </w:r>
      <w:r>
        <w:rPr>
          <w:rFonts w:ascii="Times New Roman" w:hAnsi="Times New Roman" w:eastAsia="宋体" w:cs="Times New Roman"/>
          <w:sz w:val="24"/>
          <w:szCs w:val="24"/>
        </w:rPr>
        <w:t>，</w:t>
      </w:r>
      <w:r>
        <w:rPr>
          <w:rFonts w:hint="eastAsia" w:ascii="Times New Roman" w:hAnsi="Times New Roman" w:eastAsia="宋体" w:cs="Times New Roman"/>
          <w:sz w:val="24"/>
          <w:szCs w:val="24"/>
        </w:rPr>
        <w:t>根据陕西省地方标准《行业用水定额》（DB61/T 943-20</w:t>
      </w:r>
      <w:r>
        <w:rPr>
          <w:rFonts w:ascii="Times New Roman" w:hAnsi="Times New Roman" w:eastAsia="宋体" w:cs="Times New Roman"/>
          <w:sz w:val="24"/>
          <w:szCs w:val="24"/>
        </w:rPr>
        <w:t>20</w:t>
      </w:r>
      <w:r>
        <w:rPr>
          <w:rFonts w:hint="eastAsia" w:ascii="Times New Roman" w:hAnsi="Times New Roman" w:eastAsia="宋体" w:cs="Times New Roman"/>
          <w:sz w:val="24"/>
          <w:szCs w:val="24"/>
        </w:rPr>
        <w:t>）有关规定，新建（改建、扩建）项目办公人员用水</w:t>
      </w:r>
      <w:r>
        <w:rPr>
          <w:rFonts w:ascii="Times New Roman" w:hAnsi="Times New Roman" w:eastAsia="宋体" w:cs="Times New Roman"/>
          <w:sz w:val="24"/>
          <w:szCs w:val="24"/>
        </w:rPr>
        <w:t>定额</w:t>
      </w:r>
      <w:r>
        <w:rPr>
          <w:rFonts w:hint="eastAsia" w:ascii="Times New Roman" w:hAnsi="Times New Roman" w:eastAsia="宋体" w:cs="Times New Roman"/>
          <w:sz w:val="24"/>
          <w:szCs w:val="24"/>
        </w:rPr>
        <w:t>以</w:t>
      </w:r>
      <w:r>
        <w:rPr>
          <w:rFonts w:ascii="Times New Roman" w:hAnsi="Times New Roman" w:eastAsia="宋体" w:cs="Times New Roman"/>
          <w:sz w:val="24"/>
          <w:szCs w:val="24"/>
        </w:rPr>
        <w:t>先进值10m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计</w:t>
      </w:r>
      <w:r>
        <w:rPr>
          <w:rFonts w:ascii="Times New Roman" w:hAnsi="Times New Roman" w:eastAsia="宋体" w:cs="Times New Roman"/>
          <w:sz w:val="24"/>
          <w:szCs w:val="24"/>
        </w:rPr>
        <w:t>，则项目办公及后勤服务人员用水为6.16m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/d，2250m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废水</w:t>
      </w:r>
      <w:r>
        <w:rPr>
          <w:rFonts w:ascii="Times New Roman" w:hAnsi="Times New Roman" w:eastAsia="宋体" w:cs="Times New Roman"/>
          <w:sz w:val="24"/>
          <w:szCs w:val="24"/>
        </w:rPr>
        <w:t>产生</w:t>
      </w:r>
      <w:r>
        <w:rPr>
          <w:rFonts w:hint="eastAsia" w:ascii="Times New Roman" w:hAnsi="Times New Roman" w:eastAsia="宋体" w:cs="Times New Roman"/>
          <w:sz w:val="24"/>
          <w:szCs w:val="24"/>
        </w:rPr>
        <w:t>量</w:t>
      </w:r>
      <w:r>
        <w:rPr>
          <w:rFonts w:ascii="Times New Roman" w:hAnsi="Times New Roman" w:eastAsia="宋体" w:cs="Times New Roman"/>
          <w:sz w:val="24"/>
          <w:szCs w:val="24"/>
        </w:rPr>
        <w:t>按用水量的85%计，</w:t>
      </w:r>
      <w:r>
        <w:rPr>
          <w:rFonts w:hint="eastAsia" w:ascii="Times New Roman" w:hAnsi="Times New Roman" w:eastAsia="宋体" w:cs="Times New Roman"/>
          <w:sz w:val="24"/>
          <w:szCs w:val="24"/>
        </w:rPr>
        <w:t>医护人员废水量</w:t>
      </w:r>
      <w:r>
        <w:rPr>
          <w:rFonts w:ascii="Times New Roman" w:hAnsi="Times New Roman" w:eastAsia="宋体" w:cs="Times New Roman"/>
          <w:sz w:val="24"/>
          <w:szCs w:val="24"/>
        </w:rPr>
        <w:t>为5.24m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sz w:val="24"/>
          <w:szCs w:val="24"/>
        </w:rPr>
        <w:t>1912.50m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5、食堂</w:t>
      </w:r>
      <w:r>
        <w:rPr>
          <w:rFonts w:ascii="Times New Roman" w:hAnsi="Times New Roman" w:eastAsia="宋体" w:cs="Times New Roman"/>
          <w:b/>
          <w:sz w:val="24"/>
          <w:szCs w:val="24"/>
        </w:rPr>
        <w:t>用水</w:t>
      </w:r>
    </w:p>
    <w:p>
      <w:pPr>
        <w:adjustRightInd w:val="0"/>
        <w:snapToGrid w:val="0"/>
        <w:spacing w:line="360" w:lineRule="auto"/>
        <w:ind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食堂就餐人数为412</w:t>
      </w:r>
      <w:r>
        <w:rPr>
          <w:rFonts w:hint="eastAsia" w:ascii="Times New Roman" w:hAnsi="Times New Roman" w:eastAsia="宋体" w:cs="Times New Roman"/>
          <w:sz w:val="24"/>
          <w:szCs w:val="24"/>
        </w:rPr>
        <w:t>人/次</w:t>
      </w:r>
      <w:r>
        <w:rPr>
          <w:rFonts w:ascii="Times New Roman" w:hAnsi="Times New Roman" w:eastAsia="宋体" w:cs="Times New Roman"/>
          <w:sz w:val="24"/>
          <w:szCs w:val="24"/>
        </w:rPr>
        <w:t>，</w:t>
      </w:r>
      <w:r>
        <w:rPr>
          <w:rFonts w:hint="eastAsia" w:ascii="Times New Roman" w:hAnsi="Times New Roman" w:eastAsia="宋体" w:cs="Times New Roman"/>
          <w:sz w:val="24"/>
          <w:szCs w:val="24"/>
        </w:rPr>
        <w:t>每天</w:t>
      </w:r>
      <w:r>
        <w:rPr>
          <w:rFonts w:ascii="Times New Roman" w:hAnsi="Times New Roman" w:eastAsia="宋体" w:cs="Times New Roman"/>
          <w:sz w:val="24"/>
          <w:szCs w:val="24"/>
        </w:rPr>
        <w:t>提供三餐，</w:t>
      </w:r>
      <w:r>
        <w:rPr>
          <w:rFonts w:hint="eastAsia" w:ascii="Times New Roman" w:hAnsi="Times New Roman" w:eastAsia="宋体" w:cs="Times New Roman"/>
          <w:sz w:val="24"/>
          <w:szCs w:val="24"/>
        </w:rPr>
        <w:t>食堂</w:t>
      </w:r>
      <w:r>
        <w:rPr>
          <w:rFonts w:ascii="Times New Roman" w:hAnsi="Times New Roman" w:eastAsia="宋体" w:cs="Times New Roman"/>
          <w:sz w:val="24"/>
          <w:szCs w:val="24"/>
        </w:rPr>
        <w:t>用水量以</w:t>
      </w:r>
      <w:r>
        <w:rPr>
          <w:rFonts w:hint="eastAsia" w:ascii="Times New Roman" w:hAnsi="Times New Roman" w:eastAsia="宋体" w:cs="Times New Roman"/>
          <w:sz w:val="24"/>
          <w:szCs w:val="24"/>
        </w:rPr>
        <w:t>20</w:t>
      </w:r>
      <w:r>
        <w:rPr>
          <w:rFonts w:ascii="Times New Roman" w:hAnsi="Times New Roman" w:eastAsia="宋体" w:cs="Times New Roman"/>
          <w:sz w:val="24"/>
          <w:szCs w:val="24"/>
        </w:rPr>
        <w:t>L/</w:t>
      </w:r>
      <w:r>
        <w:rPr>
          <w:rFonts w:hint="eastAsia" w:ascii="Times New Roman" w:hAnsi="Times New Roman" w:eastAsia="宋体" w:cs="Times New Roman"/>
          <w:sz w:val="24"/>
          <w:szCs w:val="24"/>
        </w:rPr>
        <w:t>（人</w:t>
      </w:r>
      <w:r>
        <w:rPr>
          <w:rFonts w:ascii="Times New Roman" w:hAnsi="Times New Roman" w:eastAsia="宋体" w:cs="Times New Roman"/>
          <w:sz w:val="24"/>
          <w:szCs w:val="24"/>
        </w:rPr>
        <w:t>·次</w:t>
      </w:r>
      <w:r>
        <w:rPr>
          <w:rFonts w:hint="eastAsia" w:ascii="Times New Roman" w:hAnsi="Times New Roman" w:eastAsia="宋体" w:cs="Times New Roman"/>
          <w:sz w:val="24"/>
          <w:szCs w:val="24"/>
        </w:rPr>
        <w:t>），</w:t>
      </w:r>
      <w:r>
        <w:rPr>
          <w:rFonts w:ascii="Times New Roman" w:hAnsi="Times New Roman" w:eastAsia="宋体" w:cs="Times New Roman"/>
          <w:sz w:val="24"/>
          <w:szCs w:val="24"/>
        </w:rPr>
        <w:t>则</w:t>
      </w:r>
      <w:r>
        <w:rPr>
          <w:rFonts w:hint="eastAsia" w:ascii="Times New Roman" w:hAnsi="Times New Roman" w:eastAsia="宋体" w:cs="Times New Roman"/>
          <w:sz w:val="24"/>
          <w:szCs w:val="24"/>
        </w:rPr>
        <w:t>食堂</w:t>
      </w:r>
      <w:r>
        <w:rPr>
          <w:rFonts w:ascii="Times New Roman" w:hAnsi="Times New Roman" w:eastAsia="宋体" w:cs="Times New Roman"/>
          <w:sz w:val="24"/>
          <w:szCs w:val="24"/>
        </w:rPr>
        <w:t>用水量为24.72m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/d，9022.8m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/a，废水产生量按用水量的</w:t>
      </w:r>
      <w:r>
        <w:rPr>
          <w:rFonts w:hint="eastAsia" w:ascii="Times New Roman" w:hAnsi="Times New Roman" w:eastAsia="宋体" w:cs="Times New Roman"/>
          <w:sz w:val="24"/>
          <w:szCs w:val="24"/>
        </w:rPr>
        <w:t>85</w:t>
      </w:r>
      <w:r>
        <w:rPr>
          <w:rFonts w:ascii="Times New Roman" w:hAnsi="Times New Roman" w:eastAsia="宋体" w:cs="Times New Roman"/>
          <w:sz w:val="24"/>
          <w:szCs w:val="24"/>
        </w:rPr>
        <w:t>%计</w:t>
      </w:r>
      <w:r>
        <w:rPr>
          <w:rFonts w:hint="eastAsia" w:ascii="Times New Roman" w:hAnsi="Times New Roman" w:eastAsia="宋体" w:cs="Times New Roman"/>
          <w:sz w:val="24"/>
          <w:szCs w:val="24"/>
        </w:rPr>
        <w:t>，</w:t>
      </w:r>
      <w:r>
        <w:rPr>
          <w:rFonts w:ascii="Times New Roman" w:hAnsi="Times New Roman" w:eastAsia="宋体" w:cs="Times New Roman"/>
          <w:sz w:val="24"/>
          <w:szCs w:val="24"/>
        </w:rPr>
        <w:t>则食堂废水产生量为21.01m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/d，7669.38m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/a</w:t>
      </w:r>
      <w:r>
        <w:rPr>
          <w:rFonts w:hint="eastAsia" w:ascii="Times New Roman" w:hAnsi="Times New Roman" w:eastAsia="宋体" w:cs="Times New Roman"/>
          <w:sz w:val="24"/>
          <w:szCs w:val="24"/>
        </w:rPr>
        <w:t>。</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6、特殊</w:t>
      </w:r>
      <w:r>
        <w:rPr>
          <w:rFonts w:ascii="Times New Roman" w:hAnsi="Times New Roman" w:eastAsia="宋体" w:cs="Times New Roman"/>
          <w:b/>
          <w:sz w:val="24"/>
          <w:szCs w:val="24"/>
        </w:rPr>
        <w:t>用水</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设有放射科，开展同位素诊疗项目，</w:t>
      </w:r>
      <w:r>
        <w:rPr>
          <w:rFonts w:hint="eastAsia" w:ascii="Times New Roman" w:hAnsi="Times New Roman" w:eastAsia="宋体" w:cs="Times New Roman"/>
          <w:sz w:val="24"/>
          <w:szCs w:val="24"/>
        </w:rPr>
        <w:t>根据</w:t>
      </w:r>
      <w:r>
        <w:rPr>
          <w:rFonts w:ascii="Times New Roman" w:hAnsi="Times New Roman" w:eastAsia="宋体" w:cs="Times New Roman"/>
          <w:sz w:val="24"/>
          <w:szCs w:val="24"/>
        </w:rPr>
        <w:t>建设单位提供资料，放射性用水量为1m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/d，放射性废水产生量为0.85m</w:t>
      </w:r>
      <w:r>
        <w:rPr>
          <w:rFonts w:ascii="Times New Roman" w:hAnsi="Times New Roman" w:eastAsia="宋体" w:cs="Times New Roman"/>
          <w:sz w:val="24"/>
          <w:szCs w:val="24"/>
          <w:vertAlign w:val="superscript"/>
        </w:rPr>
        <w:t>3</w:t>
      </w:r>
      <w:r>
        <w:rPr>
          <w:rFonts w:ascii="Times New Roman" w:hAnsi="Times New Roman" w:eastAsia="宋体" w:cs="Times New Roman"/>
          <w:sz w:val="24"/>
          <w:szCs w:val="24"/>
        </w:rPr>
        <w:t>/d</w:t>
      </w:r>
      <w:r>
        <w:rPr>
          <w:rFonts w:hint="eastAsia" w:ascii="Times New Roman" w:hAnsi="Times New Roman" w:eastAsia="宋体" w:cs="Times New Roman"/>
          <w:sz w:val="24"/>
          <w:szCs w:val="24"/>
        </w:rPr>
        <w:t>，经</w:t>
      </w:r>
      <w:r>
        <w:rPr>
          <w:rFonts w:ascii="Times New Roman" w:hAnsi="Times New Roman" w:eastAsia="宋体" w:cs="Times New Roman"/>
          <w:sz w:val="24"/>
          <w:szCs w:val="24"/>
        </w:rPr>
        <w:t>衰变池处理后排入医院自建污水处理站处理。</w:t>
      </w:r>
    </w:p>
    <w:p>
      <w:pPr>
        <w:adjustRightInd w:val="0"/>
        <w:snapToGrid w:val="0"/>
        <w:spacing w:line="360" w:lineRule="auto"/>
        <w:ind w:firstLine="480" w:firstLineChars="200"/>
        <w:rPr>
          <w:rFonts w:ascii="Times New Roman" w:hAnsi="Times New Roman" w:eastAsia="宋体" w:cs="Times New Roman"/>
          <w:b/>
          <w:sz w:val="24"/>
          <w:szCs w:val="24"/>
        </w:rPr>
      </w:pPr>
      <w:r>
        <w:rPr>
          <w:rFonts w:hint="eastAsia" w:ascii="Times New Roman" w:hAnsi="Times New Roman" w:eastAsia="宋体" w:cs="Times New Roman"/>
          <w:b/>
          <w:sz w:val="24"/>
          <w:szCs w:val="24"/>
        </w:rPr>
        <w:t>7、锅炉</w:t>
      </w:r>
      <w:r>
        <w:rPr>
          <w:rFonts w:ascii="Times New Roman" w:hAnsi="Times New Roman" w:eastAsia="宋体" w:cs="Times New Roman"/>
          <w:b/>
          <w:sz w:val="24"/>
          <w:szCs w:val="24"/>
        </w:rPr>
        <w:t>用排水量</w:t>
      </w:r>
    </w:p>
    <w:p>
      <w:pPr>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项目</w:t>
      </w:r>
      <w:r>
        <w:rPr>
          <w:rFonts w:hint="eastAsia" w:ascii="Times New Roman" w:hAnsi="Times New Roman" w:eastAsia="宋体" w:cs="Times New Roman"/>
          <w:sz w:val="24"/>
          <w:szCs w:val="24"/>
        </w:rPr>
        <w:t>设置</w:t>
      </w:r>
      <w:r>
        <w:rPr>
          <w:rFonts w:hint="eastAsia" w:ascii="Times New Roman" w:hAnsi="Times New Roman" w:eastAsia="宋体" w:cs="Times New Roman"/>
          <w:color w:val="FF0000"/>
          <w:sz w:val="24"/>
          <w:szCs w:val="24"/>
        </w:rPr>
        <w:t>2台4t/h的燃气热水锅炉为医院提供冬季采暖，1台1.5t/h燃气热水锅炉为医院提供平时的生活热水。</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①采暖季</w:t>
      </w:r>
    </w:p>
    <w:p>
      <w:pPr>
        <w:adjustRightInd w:val="0"/>
        <w:snapToGrid w:val="0"/>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sz w:val="24"/>
          <w:szCs w:val="24"/>
        </w:rPr>
        <w:t>根据</w:t>
      </w:r>
      <w:r>
        <w:rPr>
          <w:rFonts w:ascii="Times New Roman" w:hAnsi="Times New Roman" w:eastAsia="宋体" w:cs="Times New Roman"/>
          <w:sz w:val="24"/>
          <w:szCs w:val="24"/>
        </w:rPr>
        <w:t>《</w:t>
      </w:r>
      <w:r>
        <w:rPr>
          <w:rFonts w:hint="eastAsia" w:ascii="Times New Roman" w:hAnsi="Times New Roman" w:eastAsia="宋体" w:cs="Times New Roman"/>
          <w:sz w:val="24"/>
          <w:szCs w:val="24"/>
        </w:rPr>
        <w:t>锅炉</w:t>
      </w:r>
      <w:r>
        <w:rPr>
          <w:rFonts w:ascii="Times New Roman" w:hAnsi="Times New Roman" w:eastAsia="宋体" w:cs="Times New Roman"/>
          <w:sz w:val="24"/>
          <w:szCs w:val="24"/>
        </w:rPr>
        <w:t>手册》</w:t>
      </w:r>
      <w:r>
        <w:rPr>
          <w:rFonts w:hint="eastAsia" w:ascii="Times New Roman" w:hAnsi="Times New Roman" w:eastAsia="宋体" w:cs="Times New Roman"/>
          <w:sz w:val="24"/>
          <w:szCs w:val="24"/>
        </w:rPr>
        <w:t>，热水</w:t>
      </w:r>
      <w:r>
        <w:rPr>
          <w:rFonts w:ascii="Times New Roman" w:hAnsi="Times New Roman" w:eastAsia="宋体" w:cs="Times New Roman"/>
          <w:sz w:val="24"/>
          <w:szCs w:val="24"/>
        </w:rPr>
        <w:t>锅炉补充水为循环水量的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~4%</w:t>
      </w:r>
      <w:r>
        <w:rPr>
          <w:rFonts w:hint="eastAsia" w:ascii="Times New Roman" w:hAnsi="Times New Roman" w:eastAsia="宋体" w:cs="Times New Roman"/>
          <w:sz w:val="24"/>
          <w:szCs w:val="24"/>
        </w:rPr>
        <w:t>（本次</w:t>
      </w:r>
      <w:r>
        <w:rPr>
          <w:rFonts w:ascii="Times New Roman" w:hAnsi="Times New Roman" w:eastAsia="宋体" w:cs="Times New Roman"/>
          <w:sz w:val="24"/>
          <w:szCs w:val="24"/>
        </w:rPr>
        <w:t>计算</w:t>
      </w:r>
      <w:r>
        <w:rPr>
          <w:rFonts w:hint="eastAsia" w:ascii="Times New Roman" w:hAnsi="Times New Roman" w:eastAsia="宋体" w:cs="Times New Roman"/>
          <w:sz w:val="24"/>
          <w:szCs w:val="24"/>
        </w:rPr>
        <w:t>取3</w:t>
      </w:r>
      <w:r>
        <w:rPr>
          <w:rFonts w:ascii="Times New Roman" w:hAnsi="Times New Roman" w:eastAsia="宋体" w:cs="Times New Roman"/>
          <w:sz w:val="24"/>
          <w:szCs w:val="24"/>
        </w:rPr>
        <w:t>%</w:t>
      </w:r>
      <w:r>
        <w:rPr>
          <w:rFonts w:hint="eastAsia" w:ascii="Times New Roman" w:hAnsi="Times New Roman" w:eastAsia="宋体" w:cs="Times New Roman"/>
          <w:sz w:val="24"/>
          <w:szCs w:val="24"/>
        </w:rPr>
        <w:t>），热水</w:t>
      </w:r>
      <w:r>
        <w:rPr>
          <w:rFonts w:ascii="Times New Roman" w:hAnsi="Times New Roman" w:eastAsia="宋体" w:cs="Times New Roman"/>
          <w:sz w:val="24"/>
          <w:szCs w:val="24"/>
        </w:rPr>
        <w:t>锅炉排污量按补充水量的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本次</w:t>
      </w:r>
      <w:r>
        <w:rPr>
          <w:rFonts w:ascii="Times New Roman" w:hAnsi="Times New Roman" w:eastAsia="宋体" w:cs="Times New Roman"/>
          <w:sz w:val="24"/>
          <w:szCs w:val="24"/>
        </w:rPr>
        <w:t>计算取</w:t>
      </w:r>
      <w:r>
        <w:rPr>
          <w:rFonts w:hint="eastAsia" w:ascii="Times New Roman" w:hAnsi="Times New Roman" w:eastAsia="宋体" w:cs="Times New Roman"/>
          <w:sz w:val="24"/>
          <w:szCs w:val="24"/>
        </w:rPr>
        <w:t>1.5</w:t>
      </w:r>
      <w:r>
        <w:rPr>
          <w:rFonts w:ascii="Times New Roman" w:hAnsi="Times New Roman" w:eastAsia="宋体" w:cs="Times New Roman"/>
          <w:sz w:val="24"/>
          <w:szCs w:val="24"/>
        </w:rPr>
        <w:t>%），无循环量，排污量为蒸发量的</w:t>
      </w:r>
      <w:r>
        <w:rPr>
          <w:rFonts w:hint="eastAsia" w:ascii="Times New Roman" w:hAnsi="Times New Roman" w:eastAsia="宋体" w:cs="Times New Roman"/>
          <w:sz w:val="24"/>
          <w:szCs w:val="24"/>
        </w:rPr>
        <w:t>2</w:t>
      </w:r>
      <w:r>
        <w:rPr>
          <w:rFonts w:ascii="Times New Roman" w:hAnsi="Times New Roman" w:eastAsia="宋体" w:cs="Times New Roman"/>
          <w:sz w:val="24"/>
          <w:szCs w:val="24"/>
        </w:rPr>
        <w:t>~3%（</w:t>
      </w:r>
      <w:r>
        <w:rPr>
          <w:rFonts w:hint="eastAsia" w:ascii="Times New Roman" w:hAnsi="Times New Roman" w:eastAsia="宋体" w:cs="Times New Roman"/>
          <w:sz w:val="24"/>
          <w:szCs w:val="24"/>
        </w:rPr>
        <w:t>本次</w:t>
      </w:r>
      <w:r>
        <w:rPr>
          <w:rFonts w:ascii="Times New Roman" w:hAnsi="Times New Roman" w:eastAsia="宋体" w:cs="Times New Roman"/>
          <w:sz w:val="24"/>
          <w:szCs w:val="24"/>
        </w:rPr>
        <w:t>计算取</w:t>
      </w:r>
      <w:r>
        <w:rPr>
          <w:rFonts w:hint="eastAsia" w:ascii="Times New Roman" w:hAnsi="Times New Roman" w:eastAsia="宋体" w:cs="Times New Roman"/>
          <w:sz w:val="24"/>
          <w:szCs w:val="24"/>
        </w:rPr>
        <w:t>3</w:t>
      </w:r>
      <w:r>
        <w:rPr>
          <w:rFonts w:ascii="Times New Roman" w:hAnsi="Times New Roman" w:eastAsia="宋体" w:cs="Times New Roman"/>
          <w:sz w:val="24"/>
          <w:szCs w:val="24"/>
        </w:rPr>
        <w:t>%）</w:t>
      </w:r>
      <w:r>
        <w:rPr>
          <w:rFonts w:hint="eastAsia" w:ascii="Times New Roman" w:hAnsi="Times New Roman" w:eastAsia="宋体" w:cs="Times New Roman"/>
          <w:sz w:val="24"/>
          <w:szCs w:val="24"/>
        </w:rPr>
        <w:t>，采暖季（120</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hint="eastAsia" w:ascii="Times New Roman" w:hAnsi="Times New Roman" w:eastAsia="宋体" w:cs="Times New Roman"/>
          <w:color w:val="FF0000"/>
          <w:sz w:val="24"/>
          <w:szCs w:val="24"/>
        </w:rPr>
        <w:t>项目</w:t>
      </w:r>
      <w:r>
        <w:rPr>
          <w:rFonts w:ascii="Times New Roman" w:hAnsi="Times New Roman" w:eastAsia="宋体" w:cs="Times New Roman"/>
          <w:color w:val="FF0000"/>
          <w:sz w:val="24"/>
          <w:szCs w:val="24"/>
        </w:rPr>
        <w:t>共采用2</w:t>
      </w:r>
      <w:r>
        <w:rPr>
          <w:rFonts w:hint="eastAsia" w:ascii="Times New Roman" w:hAnsi="Times New Roman" w:eastAsia="宋体" w:cs="Times New Roman"/>
          <w:color w:val="FF0000"/>
          <w:sz w:val="24"/>
          <w:szCs w:val="24"/>
        </w:rPr>
        <w:t>台</w:t>
      </w:r>
      <w:r>
        <w:rPr>
          <w:rFonts w:ascii="Times New Roman" w:hAnsi="Times New Roman" w:eastAsia="宋体" w:cs="Times New Roman"/>
          <w:color w:val="FF0000"/>
          <w:sz w:val="24"/>
          <w:szCs w:val="24"/>
        </w:rPr>
        <w:t>4t/h</w:t>
      </w:r>
      <w:r>
        <w:rPr>
          <w:rFonts w:hint="eastAsia" w:ascii="Times New Roman" w:hAnsi="Times New Roman" w:eastAsia="宋体" w:cs="Times New Roman"/>
          <w:color w:val="FF0000"/>
          <w:sz w:val="24"/>
          <w:szCs w:val="24"/>
        </w:rPr>
        <w:t>的</w:t>
      </w:r>
      <w:r>
        <w:rPr>
          <w:rFonts w:ascii="Times New Roman" w:hAnsi="Times New Roman" w:eastAsia="宋体" w:cs="Times New Roman"/>
          <w:color w:val="FF0000"/>
          <w:sz w:val="24"/>
          <w:szCs w:val="24"/>
        </w:rPr>
        <w:t>燃气热水锅炉</w:t>
      </w:r>
      <w:r>
        <w:rPr>
          <w:rFonts w:hint="eastAsia" w:ascii="Times New Roman" w:hAnsi="Times New Roman" w:eastAsia="宋体" w:cs="Times New Roman"/>
          <w:color w:val="FF0000"/>
          <w:sz w:val="24"/>
          <w:szCs w:val="24"/>
        </w:rPr>
        <w:t>供热，1.5</w:t>
      </w:r>
      <w:r>
        <w:rPr>
          <w:rFonts w:ascii="Times New Roman" w:hAnsi="Times New Roman" w:eastAsia="宋体" w:cs="Times New Roman"/>
          <w:color w:val="FF0000"/>
          <w:sz w:val="24"/>
          <w:szCs w:val="24"/>
        </w:rPr>
        <w:t>t/h的燃气热水锅炉提供热水</w:t>
      </w:r>
      <w:r>
        <w:rPr>
          <w:rFonts w:hint="eastAsia" w:ascii="Times New Roman" w:hAnsi="Times New Roman" w:eastAsia="宋体" w:cs="Times New Roman"/>
          <w:color w:val="FF0000"/>
          <w:sz w:val="24"/>
          <w:szCs w:val="24"/>
        </w:rPr>
        <w:t>，供暖</w:t>
      </w:r>
      <w:r>
        <w:rPr>
          <w:rFonts w:ascii="Times New Roman" w:hAnsi="Times New Roman" w:eastAsia="宋体" w:cs="Times New Roman"/>
          <w:color w:val="FF0000"/>
          <w:sz w:val="24"/>
          <w:szCs w:val="24"/>
        </w:rPr>
        <w:t>锅炉及</w:t>
      </w:r>
      <w:r>
        <w:rPr>
          <w:rFonts w:hint="eastAsia" w:ascii="Times New Roman" w:hAnsi="Times New Roman" w:eastAsia="宋体" w:cs="Times New Roman"/>
          <w:color w:val="FF0000"/>
          <w:sz w:val="24"/>
          <w:szCs w:val="24"/>
        </w:rPr>
        <w:t>热水</w:t>
      </w:r>
      <w:r>
        <w:rPr>
          <w:rFonts w:ascii="Times New Roman" w:hAnsi="Times New Roman" w:eastAsia="宋体" w:cs="Times New Roman"/>
          <w:color w:val="FF0000"/>
          <w:sz w:val="24"/>
          <w:szCs w:val="24"/>
        </w:rPr>
        <w:t>锅炉</w:t>
      </w:r>
      <w:r>
        <w:rPr>
          <w:rFonts w:hint="eastAsia" w:ascii="Times New Roman" w:hAnsi="Times New Roman" w:eastAsia="宋体" w:cs="Times New Roman"/>
          <w:color w:val="FF0000"/>
          <w:sz w:val="24"/>
          <w:szCs w:val="24"/>
        </w:rPr>
        <w:t>每天</w:t>
      </w:r>
      <w:r>
        <w:rPr>
          <w:rFonts w:ascii="Times New Roman" w:hAnsi="Times New Roman" w:eastAsia="宋体" w:cs="Times New Roman"/>
          <w:color w:val="FF0000"/>
          <w:sz w:val="24"/>
          <w:szCs w:val="24"/>
        </w:rPr>
        <w:t>运行</w:t>
      </w:r>
      <w:r>
        <w:rPr>
          <w:rFonts w:hint="eastAsia" w:ascii="Times New Roman" w:hAnsi="Times New Roman" w:eastAsia="宋体" w:cs="Times New Roman"/>
          <w:color w:val="FF0000"/>
          <w:sz w:val="24"/>
          <w:szCs w:val="24"/>
        </w:rPr>
        <w:t>时间</w:t>
      </w:r>
      <w:r>
        <w:rPr>
          <w:rFonts w:ascii="Times New Roman" w:hAnsi="Times New Roman" w:eastAsia="宋体" w:cs="Times New Roman"/>
          <w:color w:val="FF0000"/>
          <w:sz w:val="24"/>
          <w:szCs w:val="24"/>
        </w:rPr>
        <w:t>均为12</w:t>
      </w:r>
      <w:r>
        <w:rPr>
          <w:rFonts w:hint="eastAsia" w:ascii="Times New Roman" w:hAnsi="Times New Roman" w:eastAsia="宋体" w:cs="Times New Roman"/>
          <w:color w:val="FF0000"/>
          <w:sz w:val="24"/>
          <w:szCs w:val="24"/>
        </w:rPr>
        <w:t>h</w:t>
      </w:r>
      <w:r>
        <w:rPr>
          <w:rFonts w:ascii="Times New Roman" w:hAnsi="Times New Roman" w:eastAsia="宋体" w:cs="Times New Roman"/>
          <w:color w:val="FF0000"/>
          <w:sz w:val="24"/>
          <w:szCs w:val="24"/>
        </w:rPr>
        <w:t>，</w:t>
      </w:r>
      <w:r>
        <w:rPr>
          <w:rFonts w:hint="eastAsia" w:ascii="Times New Roman" w:hAnsi="Times New Roman" w:eastAsia="宋体" w:cs="Times New Roman"/>
          <w:color w:val="FF0000"/>
          <w:sz w:val="24"/>
          <w:szCs w:val="24"/>
        </w:rPr>
        <w:t>采暖</w:t>
      </w:r>
      <w:r>
        <w:rPr>
          <w:rFonts w:ascii="Times New Roman" w:hAnsi="Times New Roman" w:eastAsia="宋体" w:cs="Times New Roman"/>
          <w:color w:val="FF0000"/>
          <w:sz w:val="24"/>
          <w:szCs w:val="24"/>
        </w:rPr>
        <w:t>锅炉</w:t>
      </w:r>
      <w:r>
        <w:rPr>
          <w:rFonts w:hint="eastAsia" w:ascii="Times New Roman" w:hAnsi="Times New Roman" w:eastAsia="宋体" w:cs="Times New Roman"/>
          <w:sz w:val="24"/>
          <w:szCs w:val="24"/>
        </w:rPr>
        <w:t>循环</w:t>
      </w:r>
      <w:r>
        <w:rPr>
          <w:rFonts w:ascii="Times New Roman" w:hAnsi="Times New Roman" w:eastAsia="宋体" w:cs="Times New Roman"/>
          <w:sz w:val="24"/>
          <w:szCs w:val="24"/>
        </w:rPr>
        <w:t>水量为</w:t>
      </w:r>
      <w:r>
        <w:rPr>
          <w:rFonts w:ascii="Times New Roman" w:hAnsi="Times New Roman" w:eastAsia="宋体" w:cs="Times New Roman"/>
          <w:color w:val="FF0000"/>
          <w:sz w:val="24"/>
          <w:szCs w:val="24"/>
        </w:rPr>
        <w:t>2304m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，补充</w:t>
      </w:r>
      <w:r>
        <w:rPr>
          <w:rFonts w:ascii="Times New Roman" w:hAnsi="Times New Roman" w:eastAsia="宋体" w:cs="Times New Roman"/>
          <w:color w:val="FF0000"/>
          <w:sz w:val="24"/>
          <w:szCs w:val="24"/>
        </w:rPr>
        <w:t>水量为69.12m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排污水量为1.04m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；热水</w:t>
      </w:r>
      <w:r>
        <w:rPr>
          <w:rFonts w:ascii="Times New Roman" w:hAnsi="Times New Roman" w:eastAsia="宋体" w:cs="Times New Roman"/>
          <w:color w:val="FF0000"/>
          <w:sz w:val="24"/>
          <w:szCs w:val="24"/>
        </w:rPr>
        <w:t>锅炉</w:t>
      </w:r>
      <w:r>
        <w:rPr>
          <w:rFonts w:hint="eastAsia" w:ascii="Times New Roman" w:hAnsi="Times New Roman" w:eastAsia="宋体" w:cs="Times New Roman"/>
          <w:sz w:val="24"/>
          <w:szCs w:val="24"/>
        </w:rPr>
        <w:t>循环</w:t>
      </w:r>
      <w:r>
        <w:rPr>
          <w:rFonts w:ascii="Times New Roman" w:hAnsi="Times New Roman" w:eastAsia="宋体" w:cs="Times New Roman"/>
          <w:sz w:val="24"/>
          <w:szCs w:val="24"/>
        </w:rPr>
        <w:t>水量为</w:t>
      </w:r>
      <w:r>
        <w:rPr>
          <w:rFonts w:ascii="Times New Roman" w:hAnsi="Times New Roman" w:eastAsia="宋体" w:cs="Times New Roman"/>
          <w:color w:val="FF0000"/>
          <w:sz w:val="24"/>
          <w:szCs w:val="24"/>
        </w:rPr>
        <w:t>432m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，补充</w:t>
      </w:r>
      <w:r>
        <w:rPr>
          <w:rFonts w:ascii="Times New Roman" w:hAnsi="Times New Roman" w:eastAsia="宋体" w:cs="Times New Roman"/>
          <w:color w:val="FF0000"/>
          <w:sz w:val="24"/>
          <w:szCs w:val="24"/>
        </w:rPr>
        <w:t>水量为12.96m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排污水量为0.54m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；因此</w:t>
      </w:r>
      <w:r>
        <w:rPr>
          <w:rFonts w:ascii="Times New Roman" w:hAnsi="Times New Roman" w:eastAsia="宋体" w:cs="Times New Roman"/>
          <w:color w:val="FF0000"/>
          <w:sz w:val="24"/>
          <w:szCs w:val="24"/>
        </w:rPr>
        <w:t>，采暖期锅炉</w:t>
      </w:r>
      <w:r>
        <w:rPr>
          <w:rFonts w:hint="eastAsia" w:ascii="Times New Roman" w:hAnsi="Times New Roman" w:eastAsia="宋体" w:cs="Times New Roman"/>
          <w:color w:val="FF0000"/>
          <w:sz w:val="24"/>
          <w:szCs w:val="24"/>
        </w:rPr>
        <w:t>总</w:t>
      </w:r>
      <w:r>
        <w:rPr>
          <w:rFonts w:ascii="Times New Roman" w:hAnsi="Times New Roman" w:eastAsia="宋体" w:cs="Times New Roman"/>
          <w:color w:val="FF0000"/>
          <w:sz w:val="24"/>
          <w:szCs w:val="24"/>
        </w:rPr>
        <w:t>循环水量为2736m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/d，总的补充水量为82.08m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，锅炉</w:t>
      </w:r>
      <w:r>
        <w:rPr>
          <w:rFonts w:ascii="Times New Roman" w:hAnsi="Times New Roman" w:eastAsia="宋体" w:cs="Times New Roman"/>
          <w:color w:val="FF0000"/>
          <w:sz w:val="24"/>
          <w:szCs w:val="24"/>
        </w:rPr>
        <w:t>排污量为1.58m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锅炉</w:t>
      </w:r>
      <w:r>
        <w:rPr>
          <w:rFonts w:ascii="Times New Roman" w:hAnsi="Times New Roman" w:eastAsia="宋体" w:cs="Times New Roman"/>
          <w:sz w:val="24"/>
          <w:szCs w:val="24"/>
        </w:rPr>
        <w:t>循环水</w:t>
      </w:r>
      <w:r>
        <w:rPr>
          <w:rFonts w:hint="eastAsia" w:ascii="Times New Roman" w:hAnsi="Times New Roman" w:eastAsia="宋体" w:cs="Times New Roman"/>
          <w:sz w:val="24"/>
          <w:szCs w:val="24"/>
        </w:rPr>
        <w:t>及</w:t>
      </w:r>
      <w:r>
        <w:rPr>
          <w:rFonts w:ascii="Times New Roman" w:hAnsi="Times New Roman" w:eastAsia="宋体" w:cs="Times New Roman"/>
          <w:sz w:val="24"/>
          <w:szCs w:val="24"/>
        </w:rPr>
        <w:t>补水量均</w:t>
      </w:r>
      <w:r>
        <w:rPr>
          <w:rFonts w:hint="eastAsia" w:ascii="Times New Roman" w:hAnsi="Times New Roman" w:eastAsia="宋体" w:cs="Times New Roman"/>
          <w:sz w:val="24"/>
          <w:szCs w:val="24"/>
        </w:rPr>
        <w:t>采用全自动软化器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原水</w:t>
      </w:r>
      <w:r>
        <w:rPr>
          <w:rFonts w:ascii="Times New Roman" w:hAnsi="Times New Roman" w:eastAsia="宋体" w:cs="Times New Roman"/>
          <w:sz w:val="24"/>
          <w:szCs w:val="24"/>
        </w:rPr>
        <w:t>进行软化处理</w:t>
      </w:r>
      <w:r>
        <w:rPr>
          <w:rFonts w:hint="eastAsia" w:ascii="Times New Roman" w:hAnsi="Times New Roman" w:eastAsia="宋体" w:cs="Times New Roman"/>
          <w:sz w:val="24"/>
          <w:szCs w:val="24"/>
        </w:rPr>
        <w:t>（软水</w:t>
      </w:r>
      <w:r>
        <w:rPr>
          <w:rFonts w:ascii="Times New Roman" w:hAnsi="Times New Roman" w:eastAsia="宋体" w:cs="Times New Roman"/>
          <w:sz w:val="24"/>
          <w:szCs w:val="24"/>
        </w:rPr>
        <w:t>制备效率为</w:t>
      </w:r>
      <w:r>
        <w:rPr>
          <w:rFonts w:hint="eastAsia" w:ascii="Times New Roman" w:hAnsi="Times New Roman" w:eastAsia="宋体" w:cs="Times New Roman"/>
          <w:sz w:val="24"/>
          <w:szCs w:val="24"/>
        </w:rPr>
        <w:t>90</w:t>
      </w:r>
      <w:r>
        <w:rPr>
          <w:rFonts w:ascii="Times New Roman" w:hAnsi="Times New Roman" w:eastAsia="宋体" w:cs="Times New Roman"/>
          <w:sz w:val="24"/>
          <w:szCs w:val="24"/>
        </w:rPr>
        <w:t>%</w:t>
      </w:r>
      <w:r>
        <w:rPr>
          <w:rFonts w:hint="eastAsia" w:ascii="Times New Roman" w:hAnsi="Times New Roman" w:eastAsia="宋体" w:cs="Times New Roman"/>
          <w:sz w:val="24"/>
          <w:szCs w:val="24"/>
        </w:rPr>
        <w:t>）</w:t>
      </w:r>
      <w:r>
        <w:rPr>
          <w:rFonts w:ascii="Times New Roman" w:hAnsi="Times New Roman" w:eastAsia="宋体" w:cs="Times New Roman"/>
          <w:sz w:val="24"/>
          <w:szCs w:val="24"/>
        </w:rPr>
        <w:t>，</w:t>
      </w:r>
      <w:r>
        <w:rPr>
          <w:rFonts w:hint="eastAsia" w:ascii="Times New Roman" w:hAnsi="Times New Roman" w:eastAsia="宋体" w:cs="Times New Roman"/>
          <w:sz w:val="24"/>
          <w:szCs w:val="24"/>
        </w:rPr>
        <w:t>则</w:t>
      </w:r>
      <w:r>
        <w:rPr>
          <w:rFonts w:ascii="Times New Roman" w:hAnsi="Times New Roman" w:eastAsia="宋体" w:cs="Times New Roman"/>
          <w:sz w:val="24"/>
          <w:szCs w:val="24"/>
        </w:rPr>
        <w:t>采暖期需消耗的</w:t>
      </w:r>
      <w:r>
        <w:rPr>
          <w:rFonts w:hint="eastAsia" w:ascii="Times New Roman" w:hAnsi="Times New Roman" w:eastAsia="宋体" w:cs="Times New Roman"/>
          <w:sz w:val="24"/>
          <w:szCs w:val="24"/>
        </w:rPr>
        <w:t>新鲜</w:t>
      </w:r>
      <w:r>
        <w:rPr>
          <w:rFonts w:ascii="Times New Roman" w:hAnsi="Times New Roman" w:eastAsia="宋体" w:cs="Times New Roman"/>
          <w:sz w:val="24"/>
          <w:szCs w:val="24"/>
        </w:rPr>
        <w:t>水量为</w:t>
      </w:r>
      <w:r>
        <w:rPr>
          <w:rFonts w:ascii="Times New Roman" w:hAnsi="Times New Roman" w:eastAsia="宋体" w:cs="Times New Roman"/>
          <w:color w:val="FF0000"/>
          <w:sz w:val="24"/>
          <w:szCs w:val="24"/>
        </w:rPr>
        <w:t>91.20m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软水制备废水排放水量为9.12m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p>
    <w:p>
      <w:pPr>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②非采暖季</w:t>
      </w:r>
    </w:p>
    <w:p>
      <w:pPr>
        <w:adjustRightInd w:val="0"/>
        <w:snapToGrid w:val="0"/>
        <w:spacing w:line="360" w:lineRule="auto"/>
        <w:ind w:firstLine="480" w:firstLineChars="200"/>
        <w:rPr>
          <w:rFonts w:ascii="Times New Roman" w:hAnsi="Times New Roman" w:eastAsia="宋体" w:cs="Times New Roman"/>
          <w:sz w:val="24"/>
          <w:szCs w:val="24"/>
          <w:highlight w:val="yellow"/>
        </w:rPr>
      </w:pPr>
      <w:r>
        <w:rPr>
          <w:rFonts w:hint="eastAsia" w:ascii="Times New Roman" w:hAnsi="Times New Roman" w:eastAsia="宋体" w:cs="Times New Roman"/>
          <w:sz w:val="24"/>
          <w:szCs w:val="24"/>
        </w:rPr>
        <w:t>非</w:t>
      </w:r>
      <w:r>
        <w:rPr>
          <w:rFonts w:ascii="Times New Roman" w:hAnsi="Times New Roman" w:eastAsia="宋体" w:cs="Times New Roman"/>
          <w:sz w:val="24"/>
          <w:szCs w:val="24"/>
        </w:rPr>
        <w:t>采暖季</w:t>
      </w:r>
      <w:r>
        <w:rPr>
          <w:rFonts w:hint="eastAsia" w:ascii="Times New Roman" w:hAnsi="Times New Roman" w:eastAsia="宋体" w:cs="Times New Roman"/>
          <w:sz w:val="24"/>
          <w:szCs w:val="24"/>
        </w:rPr>
        <w:t>（245</w:t>
      </w:r>
      <w:r>
        <w:rPr>
          <w:rFonts w:ascii="Times New Roman" w:hAnsi="Times New Roman" w:eastAsia="宋体" w:cs="Times New Roman"/>
          <w:sz w:val="24"/>
          <w:szCs w:val="24"/>
        </w:rPr>
        <w:t>d</w:t>
      </w:r>
      <w:r>
        <w:rPr>
          <w:rFonts w:hint="eastAsia" w:ascii="Times New Roman" w:hAnsi="Times New Roman" w:eastAsia="宋体" w:cs="Times New Roman"/>
          <w:sz w:val="24"/>
          <w:szCs w:val="24"/>
        </w:rPr>
        <w:t>）</w:t>
      </w:r>
      <w:r>
        <w:rPr>
          <w:rFonts w:ascii="Times New Roman" w:hAnsi="Times New Roman" w:eastAsia="宋体" w:cs="Times New Roman"/>
          <w:b/>
          <w:sz w:val="24"/>
          <w:szCs w:val="24"/>
        </w:rPr>
        <w:t>，</w:t>
      </w:r>
      <w:r>
        <w:rPr>
          <w:rFonts w:hint="eastAsia" w:ascii="Times New Roman" w:hAnsi="Times New Roman" w:eastAsia="宋体" w:cs="Times New Roman"/>
          <w:sz w:val="24"/>
          <w:szCs w:val="24"/>
        </w:rPr>
        <w:t>项目</w:t>
      </w:r>
      <w:r>
        <w:rPr>
          <w:rFonts w:ascii="Times New Roman" w:hAnsi="Times New Roman" w:eastAsia="宋体" w:cs="Times New Roman"/>
          <w:sz w:val="24"/>
          <w:szCs w:val="24"/>
        </w:rPr>
        <w:t>共采用1</w:t>
      </w:r>
      <w:r>
        <w:rPr>
          <w:rFonts w:hint="eastAsia" w:ascii="Times New Roman" w:hAnsi="Times New Roman" w:eastAsia="宋体" w:cs="Times New Roman"/>
          <w:sz w:val="24"/>
          <w:szCs w:val="24"/>
        </w:rPr>
        <w:t>台</w:t>
      </w:r>
      <w:r>
        <w:rPr>
          <w:rFonts w:ascii="Times New Roman" w:hAnsi="Times New Roman" w:eastAsia="宋体" w:cs="Times New Roman"/>
          <w:sz w:val="24"/>
          <w:szCs w:val="24"/>
        </w:rPr>
        <w:t>1.5t/h</w:t>
      </w:r>
      <w:r>
        <w:rPr>
          <w:rFonts w:hint="eastAsia" w:ascii="Times New Roman" w:hAnsi="Times New Roman" w:eastAsia="宋体" w:cs="Times New Roman"/>
          <w:sz w:val="24"/>
          <w:szCs w:val="24"/>
        </w:rPr>
        <w:t>的</w:t>
      </w:r>
      <w:r>
        <w:rPr>
          <w:rFonts w:ascii="Times New Roman" w:hAnsi="Times New Roman" w:eastAsia="宋体" w:cs="Times New Roman"/>
          <w:sz w:val="24"/>
          <w:szCs w:val="24"/>
        </w:rPr>
        <w:t>燃气热水锅炉</w:t>
      </w:r>
      <w:r>
        <w:rPr>
          <w:rFonts w:hint="eastAsia" w:ascii="Times New Roman" w:hAnsi="Times New Roman" w:eastAsia="宋体" w:cs="Times New Roman"/>
          <w:sz w:val="24"/>
          <w:szCs w:val="24"/>
        </w:rPr>
        <w:t>供</w:t>
      </w:r>
      <w:r>
        <w:rPr>
          <w:rFonts w:ascii="Times New Roman" w:hAnsi="Times New Roman" w:eastAsia="宋体" w:cs="Times New Roman"/>
          <w:sz w:val="24"/>
          <w:szCs w:val="24"/>
        </w:rPr>
        <w:t>热水</w:t>
      </w:r>
      <w:r>
        <w:rPr>
          <w:rFonts w:hint="eastAsia" w:ascii="Times New Roman" w:hAnsi="Times New Roman" w:eastAsia="宋体" w:cs="Times New Roman"/>
          <w:sz w:val="24"/>
          <w:szCs w:val="24"/>
        </w:rPr>
        <w:t>，每天</w:t>
      </w:r>
      <w:r>
        <w:rPr>
          <w:rFonts w:ascii="Times New Roman" w:hAnsi="Times New Roman" w:eastAsia="宋体" w:cs="Times New Roman"/>
          <w:sz w:val="24"/>
          <w:szCs w:val="24"/>
        </w:rPr>
        <w:t>运行12</w:t>
      </w:r>
      <w:r>
        <w:rPr>
          <w:rFonts w:hint="eastAsia" w:ascii="Times New Roman" w:hAnsi="Times New Roman" w:eastAsia="宋体" w:cs="Times New Roman"/>
          <w:sz w:val="24"/>
          <w:szCs w:val="24"/>
        </w:rPr>
        <w:t>h</w:t>
      </w:r>
      <w:r>
        <w:rPr>
          <w:rFonts w:ascii="Times New Roman" w:hAnsi="Times New Roman" w:eastAsia="宋体" w:cs="Times New Roman"/>
          <w:sz w:val="24"/>
          <w:szCs w:val="24"/>
        </w:rPr>
        <w:t>，</w:t>
      </w:r>
      <w:r>
        <w:rPr>
          <w:rFonts w:hint="eastAsia" w:ascii="Times New Roman" w:hAnsi="Times New Roman" w:eastAsia="宋体" w:cs="Times New Roman"/>
          <w:sz w:val="24"/>
          <w:szCs w:val="24"/>
        </w:rPr>
        <w:t>循环</w:t>
      </w:r>
      <w:r>
        <w:rPr>
          <w:rFonts w:ascii="Times New Roman" w:hAnsi="Times New Roman" w:eastAsia="宋体" w:cs="Times New Roman"/>
          <w:sz w:val="24"/>
          <w:szCs w:val="24"/>
        </w:rPr>
        <w:t>水量</w:t>
      </w:r>
      <w:r>
        <w:rPr>
          <w:rFonts w:ascii="Times New Roman" w:hAnsi="Times New Roman" w:eastAsia="宋体" w:cs="Times New Roman"/>
          <w:color w:val="FF0000"/>
          <w:sz w:val="24"/>
          <w:szCs w:val="24"/>
        </w:rPr>
        <w:t>为36m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/h，432m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sz w:val="24"/>
          <w:szCs w:val="24"/>
        </w:rPr>
        <w:t>补充</w:t>
      </w:r>
      <w:r>
        <w:rPr>
          <w:rFonts w:ascii="Times New Roman" w:hAnsi="Times New Roman" w:eastAsia="宋体" w:cs="Times New Roman"/>
          <w:sz w:val="24"/>
          <w:szCs w:val="24"/>
        </w:rPr>
        <w:t>水量为</w:t>
      </w:r>
      <w:r>
        <w:rPr>
          <w:rFonts w:ascii="Times New Roman" w:hAnsi="Times New Roman" w:eastAsia="宋体" w:cs="Times New Roman"/>
          <w:color w:val="FF0000"/>
          <w:sz w:val="24"/>
          <w:szCs w:val="24"/>
        </w:rPr>
        <w:t>1.08m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/h</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12.96m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排污水为0.19m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sz w:val="24"/>
          <w:szCs w:val="24"/>
        </w:rPr>
        <w:t>因此</w:t>
      </w:r>
      <w:r>
        <w:rPr>
          <w:rFonts w:ascii="Times New Roman" w:hAnsi="Times New Roman" w:eastAsia="宋体" w:cs="Times New Roman"/>
          <w:sz w:val="24"/>
          <w:szCs w:val="24"/>
        </w:rPr>
        <w:t>，</w:t>
      </w:r>
      <w:r>
        <w:rPr>
          <w:rFonts w:hint="eastAsia" w:ascii="Times New Roman" w:hAnsi="Times New Roman" w:eastAsia="宋体" w:cs="Times New Roman"/>
          <w:sz w:val="24"/>
          <w:szCs w:val="24"/>
        </w:rPr>
        <w:t>非</w:t>
      </w:r>
      <w:r>
        <w:rPr>
          <w:rFonts w:ascii="Times New Roman" w:hAnsi="Times New Roman" w:eastAsia="宋体" w:cs="Times New Roman"/>
          <w:sz w:val="24"/>
          <w:szCs w:val="24"/>
        </w:rPr>
        <w:t>采暖期锅炉</w:t>
      </w:r>
      <w:r>
        <w:rPr>
          <w:rFonts w:hint="eastAsia" w:ascii="Times New Roman" w:hAnsi="Times New Roman" w:eastAsia="宋体" w:cs="Times New Roman"/>
          <w:sz w:val="24"/>
          <w:szCs w:val="24"/>
        </w:rPr>
        <w:t>总</w:t>
      </w:r>
      <w:r>
        <w:rPr>
          <w:rFonts w:ascii="Times New Roman" w:hAnsi="Times New Roman" w:eastAsia="宋体" w:cs="Times New Roman"/>
          <w:sz w:val="24"/>
          <w:szCs w:val="24"/>
        </w:rPr>
        <w:t>循环水量为</w:t>
      </w:r>
      <w:r>
        <w:rPr>
          <w:rFonts w:ascii="Times New Roman" w:hAnsi="Times New Roman" w:eastAsia="宋体" w:cs="Times New Roman"/>
          <w:color w:val="FF0000"/>
          <w:sz w:val="24"/>
          <w:szCs w:val="24"/>
        </w:rPr>
        <w:t>432m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/d，总的补充水量为12.96m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color w:val="FF0000"/>
          <w:sz w:val="24"/>
          <w:szCs w:val="24"/>
        </w:rPr>
        <w:t>排污水为0.19m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sz w:val="24"/>
          <w:szCs w:val="24"/>
        </w:rPr>
        <w:t>锅炉</w:t>
      </w:r>
      <w:r>
        <w:rPr>
          <w:rFonts w:ascii="Times New Roman" w:hAnsi="Times New Roman" w:eastAsia="宋体" w:cs="Times New Roman"/>
          <w:sz w:val="24"/>
          <w:szCs w:val="24"/>
        </w:rPr>
        <w:t>循环水</w:t>
      </w:r>
      <w:r>
        <w:rPr>
          <w:rFonts w:hint="eastAsia" w:ascii="Times New Roman" w:hAnsi="Times New Roman" w:eastAsia="宋体" w:cs="Times New Roman"/>
          <w:sz w:val="24"/>
          <w:szCs w:val="24"/>
        </w:rPr>
        <w:t>及</w:t>
      </w:r>
      <w:r>
        <w:rPr>
          <w:rFonts w:ascii="Times New Roman" w:hAnsi="Times New Roman" w:eastAsia="宋体" w:cs="Times New Roman"/>
          <w:sz w:val="24"/>
          <w:szCs w:val="24"/>
        </w:rPr>
        <w:t>补水量均</w:t>
      </w:r>
      <w:r>
        <w:rPr>
          <w:rFonts w:hint="eastAsia" w:ascii="Times New Roman" w:hAnsi="Times New Roman" w:eastAsia="宋体" w:cs="Times New Roman"/>
          <w:sz w:val="24"/>
          <w:szCs w:val="24"/>
        </w:rPr>
        <w:t>采用全自动软化器</w:t>
      </w:r>
      <w:r>
        <w:rPr>
          <w:rFonts w:ascii="Times New Roman" w:hAnsi="Times New Roman" w:eastAsia="宋体" w:cs="Times New Roman"/>
          <w:sz w:val="24"/>
          <w:szCs w:val="24"/>
        </w:rPr>
        <w:t>对</w:t>
      </w:r>
      <w:r>
        <w:rPr>
          <w:rFonts w:hint="eastAsia" w:ascii="Times New Roman" w:hAnsi="Times New Roman" w:eastAsia="宋体" w:cs="Times New Roman"/>
          <w:sz w:val="24"/>
          <w:szCs w:val="24"/>
        </w:rPr>
        <w:t>原水</w:t>
      </w:r>
      <w:r>
        <w:rPr>
          <w:rFonts w:ascii="Times New Roman" w:hAnsi="Times New Roman" w:eastAsia="宋体" w:cs="Times New Roman"/>
          <w:sz w:val="24"/>
          <w:szCs w:val="24"/>
        </w:rPr>
        <w:t>进行软化处理，</w:t>
      </w:r>
      <w:r>
        <w:rPr>
          <w:rFonts w:hint="eastAsia" w:ascii="Times New Roman" w:hAnsi="Times New Roman" w:eastAsia="宋体" w:cs="Times New Roman"/>
          <w:sz w:val="24"/>
          <w:szCs w:val="24"/>
        </w:rPr>
        <w:t>则</w:t>
      </w:r>
      <w:r>
        <w:rPr>
          <w:rFonts w:ascii="Times New Roman" w:hAnsi="Times New Roman" w:eastAsia="宋体" w:cs="Times New Roman"/>
          <w:sz w:val="24"/>
          <w:szCs w:val="24"/>
        </w:rPr>
        <w:t>采暖期需消耗的</w:t>
      </w:r>
      <w:r>
        <w:rPr>
          <w:rFonts w:hint="eastAsia" w:ascii="Times New Roman" w:hAnsi="Times New Roman" w:eastAsia="宋体" w:cs="Times New Roman"/>
          <w:sz w:val="24"/>
          <w:szCs w:val="24"/>
        </w:rPr>
        <w:t>新鲜</w:t>
      </w:r>
      <w:r>
        <w:rPr>
          <w:rFonts w:ascii="Times New Roman" w:hAnsi="Times New Roman" w:eastAsia="宋体" w:cs="Times New Roman"/>
          <w:sz w:val="24"/>
          <w:szCs w:val="24"/>
        </w:rPr>
        <w:t>水量为</w:t>
      </w:r>
      <w:r>
        <w:rPr>
          <w:rFonts w:ascii="Times New Roman" w:hAnsi="Times New Roman" w:eastAsia="宋体" w:cs="Times New Roman"/>
          <w:color w:val="FF0000"/>
          <w:sz w:val="24"/>
          <w:szCs w:val="24"/>
        </w:rPr>
        <w:t>14.4m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r>
        <w:rPr>
          <w:rFonts w:ascii="Times New Roman" w:hAnsi="Times New Roman" w:eastAsia="宋体" w:cs="Times New Roman"/>
          <w:sz w:val="24"/>
          <w:szCs w:val="24"/>
        </w:rPr>
        <w:t>软水制备废水排放水量为</w:t>
      </w:r>
      <w:r>
        <w:rPr>
          <w:rFonts w:ascii="Times New Roman" w:hAnsi="Times New Roman" w:eastAsia="宋体" w:cs="Times New Roman"/>
          <w:color w:val="FF0000"/>
          <w:sz w:val="24"/>
          <w:szCs w:val="24"/>
        </w:rPr>
        <w:t>1.44m</w:t>
      </w:r>
      <w:r>
        <w:rPr>
          <w:rFonts w:ascii="Times New Roman" w:hAnsi="Times New Roman" w:eastAsia="宋体" w:cs="Times New Roman"/>
          <w:color w:val="FF0000"/>
          <w:sz w:val="24"/>
          <w:szCs w:val="24"/>
          <w:vertAlign w:val="superscript"/>
        </w:rPr>
        <w:t>3</w:t>
      </w:r>
      <w:r>
        <w:rPr>
          <w:rFonts w:ascii="Times New Roman" w:hAnsi="Times New Roman" w:eastAsia="宋体" w:cs="Times New Roman"/>
          <w:color w:val="FF0000"/>
          <w:sz w:val="24"/>
          <w:szCs w:val="24"/>
        </w:rPr>
        <w:t>/d</w:t>
      </w:r>
      <w:r>
        <w:rPr>
          <w:rFonts w:hint="eastAsia" w:ascii="Times New Roman" w:hAnsi="Times New Roman" w:eastAsia="宋体" w:cs="Times New Roman"/>
          <w:color w:val="FF0000"/>
          <w:sz w:val="24"/>
          <w:szCs w:val="24"/>
        </w:rPr>
        <w:t>。</w:t>
      </w:r>
    </w:p>
    <w:p>
      <w:pPr>
        <w:pStyle w:val="40"/>
        <w:ind w:firstLine="480"/>
        <w:rPr>
          <w:szCs w:val="24"/>
        </w:rPr>
      </w:pPr>
      <w:r>
        <w:rPr>
          <w:rFonts w:cs="Times New Roman"/>
          <w:szCs w:val="24"/>
        </w:rPr>
        <w:t>项目锅炉全年补充水量为</w:t>
      </w:r>
      <w:r>
        <w:rPr>
          <w:rFonts w:cs="Times New Roman"/>
          <w:color w:val="FF0000"/>
          <w:szCs w:val="24"/>
        </w:rPr>
        <w:t>13024.8m</w:t>
      </w:r>
      <w:r>
        <w:rPr>
          <w:rFonts w:cs="Times New Roman"/>
          <w:color w:val="FF0000"/>
          <w:szCs w:val="24"/>
          <w:vertAlign w:val="superscript"/>
        </w:rPr>
        <w:t>3</w:t>
      </w:r>
      <w:r>
        <w:rPr>
          <w:rFonts w:cs="Times New Roman"/>
          <w:color w:val="FF0000"/>
          <w:szCs w:val="24"/>
        </w:rPr>
        <w:t>/a，</w:t>
      </w:r>
      <w:r>
        <w:rPr>
          <w:rFonts w:hint="eastAsia" w:cs="Times New Roman"/>
          <w:szCs w:val="24"/>
        </w:rPr>
        <w:t>所需</w:t>
      </w:r>
      <w:r>
        <w:rPr>
          <w:rFonts w:cs="Times New Roman"/>
          <w:szCs w:val="24"/>
        </w:rPr>
        <w:t>新鲜水用量为</w:t>
      </w:r>
      <w:r>
        <w:rPr>
          <w:rFonts w:cs="Times New Roman"/>
          <w:color w:val="FF0000"/>
          <w:szCs w:val="24"/>
        </w:rPr>
        <w:t>14472m</w:t>
      </w:r>
      <w:r>
        <w:rPr>
          <w:rFonts w:cs="Times New Roman"/>
          <w:color w:val="FF0000"/>
          <w:szCs w:val="24"/>
          <w:vertAlign w:val="superscript"/>
        </w:rPr>
        <w:t>3</w:t>
      </w:r>
      <w:r>
        <w:rPr>
          <w:rFonts w:cs="Times New Roman"/>
          <w:color w:val="FF0000"/>
          <w:szCs w:val="24"/>
        </w:rPr>
        <w:t>/a</w:t>
      </w:r>
      <w:r>
        <w:rPr>
          <w:rFonts w:cs="Times New Roman"/>
          <w:szCs w:val="24"/>
        </w:rPr>
        <w:t>，软水制备废水排放量为</w:t>
      </w:r>
      <w:r>
        <w:rPr>
          <w:rFonts w:cs="Times New Roman"/>
          <w:color w:val="FF0000"/>
          <w:szCs w:val="24"/>
        </w:rPr>
        <w:t>1447.2m</w:t>
      </w:r>
      <w:r>
        <w:rPr>
          <w:rFonts w:cs="Times New Roman"/>
          <w:color w:val="FF0000"/>
          <w:szCs w:val="24"/>
          <w:vertAlign w:val="superscript"/>
        </w:rPr>
        <w:t>3</w:t>
      </w:r>
      <w:r>
        <w:rPr>
          <w:rFonts w:cs="Times New Roman"/>
          <w:color w:val="FF0000"/>
          <w:szCs w:val="24"/>
        </w:rPr>
        <w:t>/a</w:t>
      </w:r>
      <w:r>
        <w:rPr>
          <w:rFonts w:hint="eastAsia" w:cs="Times New Roman"/>
          <w:color w:val="FF0000"/>
          <w:szCs w:val="24"/>
        </w:rPr>
        <w:t>，</w:t>
      </w:r>
      <w:r>
        <w:rPr>
          <w:rFonts w:hint="eastAsia" w:cs="Times New Roman"/>
          <w:szCs w:val="24"/>
        </w:rPr>
        <w:t>锅炉</w:t>
      </w:r>
      <w:r>
        <w:rPr>
          <w:rFonts w:cs="Times New Roman"/>
          <w:szCs w:val="24"/>
        </w:rPr>
        <w:t>排污水为</w:t>
      </w:r>
      <w:r>
        <w:rPr>
          <w:rFonts w:cs="Times New Roman"/>
          <w:color w:val="FF0000"/>
          <w:szCs w:val="24"/>
        </w:rPr>
        <w:t>236.15m</w:t>
      </w:r>
      <w:r>
        <w:rPr>
          <w:rFonts w:cs="Times New Roman"/>
          <w:color w:val="FF0000"/>
          <w:szCs w:val="24"/>
          <w:vertAlign w:val="superscript"/>
        </w:rPr>
        <w:t>3</w:t>
      </w:r>
      <w:r>
        <w:rPr>
          <w:rFonts w:cs="Times New Roman"/>
          <w:color w:val="FF0000"/>
          <w:szCs w:val="24"/>
        </w:rPr>
        <w:t>/a</w:t>
      </w:r>
      <w:r>
        <w:rPr>
          <w:rFonts w:hint="eastAsia" w:cs="Times New Roman"/>
          <w:color w:val="FF0000"/>
          <w:szCs w:val="24"/>
        </w:rPr>
        <w:t>，</w:t>
      </w:r>
      <w:r>
        <w:rPr>
          <w:rFonts w:hint="eastAsia" w:cs="Times New Roman"/>
          <w:szCs w:val="24"/>
        </w:rPr>
        <w:t>软水</w:t>
      </w:r>
      <w:r>
        <w:rPr>
          <w:rFonts w:cs="Times New Roman"/>
          <w:szCs w:val="24"/>
        </w:rPr>
        <w:t>制备废水</w:t>
      </w:r>
      <w:r>
        <w:rPr>
          <w:rFonts w:hint="eastAsia" w:cs="Times New Roman"/>
          <w:szCs w:val="24"/>
        </w:rPr>
        <w:t>、</w:t>
      </w:r>
      <w:r>
        <w:rPr>
          <w:rFonts w:cs="Times New Roman"/>
          <w:szCs w:val="24"/>
        </w:rPr>
        <w:t>锅炉排污水</w:t>
      </w:r>
      <w:r>
        <w:rPr>
          <w:rFonts w:hint="eastAsia" w:cs="Times New Roman"/>
          <w:szCs w:val="24"/>
        </w:rPr>
        <w:t>排入市政</w:t>
      </w:r>
      <w:r>
        <w:rPr>
          <w:rFonts w:cs="Times New Roman"/>
          <w:szCs w:val="24"/>
        </w:rPr>
        <w:t>污水管网</w:t>
      </w:r>
      <w:r>
        <w:rPr>
          <w:rFonts w:hint="eastAsia" w:cs="Times New Roman"/>
          <w:szCs w:val="24"/>
        </w:rPr>
        <w:t>。</w:t>
      </w:r>
    </w:p>
    <w:p>
      <w:pPr>
        <w:pStyle w:val="40"/>
        <w:ind w:firstLine="480"/>
        <w:rPr>
          <w:highlight w:val="yellow"/>
        </w:rPr>
      </w:pPr>
      <w:r>
        <w:rPr>
          <w:rFonts w:hint="eastAsia"/>
        </w:rPr>
        <w:t>综上</w:t>
      </w:r>
      <w:r>
        <w:t>，项目</w:t>
      </w:r>
      <w:r>
        <w:rPr>
          <w:rFonts w:hint="eastAsia"/>
        </w:rPr>
        <w:t>用水</w:t>
      </w:r>
      <w:r>
        <w:t>为</w:t>
      </w:r>
      <w:r>
        <w:rPr>
          <w:rFonts w:hint="eastAsia"/>
        </w:rPr>
        <w:t>采暖季</w:t>
      </w:r>
      <w:r>
        <w:rPr>
          <w:color w:val="FF0000"/>
        </w:rPr>
        <w:t>320.</w:t>
      </w:r>
      <w:r>
        <w:t>98m</w:t>
      </w:r>
      <w:r>
        <w:rPr>
          <w:vertAlign w:val="superscript"/>
        </w:rPr>
        <w:t>3</w:t>
      </w:r>
      <w:r>
        <w:t>/d，非采暖期用水量</w:t>
      </w:r>
      <w:r>
        <w:rPr>
          <w:rFonts w:hint="eastAsia"/>
          <w:color w:val="FF0000"/>
        </w:rPr>
        <w:t>2</w:t>
      </w:r>
      <w:r>
        <w:rPr>
          <w:color w:val="FF0000"/>
        </w:rPr>
        <w:t>44.18</w:t>
      </w:r>
      <w:r>
        <w:t>m</w:t>
      </w:r>
      <w:r>
        <w:rPr>
          <w:vertAlign w:val="superscript"/>
        </w:rPr>
        <w:t>3</w:t>
      </w:r>
      <w:r>
        <w:t>/d，用水总量</w:t>
      </w:r>
      <w:r>
        <w:rPr>
          <w:color w:val="FF0000"/>
        </w:rPr>
        <w:t>98347</w:t>
      </w:r>
      <w:r>
        <w:t>.7m</w:t>
      </w:r>
      <w:r>
        <w:rPr>
          <w:vertAlign w:val="superscript"/>
        </w:rPr>
        <w:t>3</w:t>
      </w:r>
      <w:r>
        <w:t>/a，</w:t>
      </w:r>
      <w:r>
        <w:rPr>
          <w:rFonts w:hint="eastAsia"/>
        </w:rPr>
        <w:t>废水</w:t>
      </w:r>
      <w:r>
        <w:t>排放量</w:t>
      </w:r>
      <w:r>
        <w:rPr>
          <w:rFonts w:hint="eastAsia"/>
        </w:rPr>
        <w:t>为采暖季</w:t>
      </w:r>
      <w:r>
        <w:t>废水排放量</w:t>
      </w:r>
      <w:r>
        <w:rPr>
          <w:color w:val="FF0000"/>
        </w:rPr>
        <w:t>206.02m</w:t>
      </w:r>
      <w:r>
        <w:rPr>
          <w:color w:val="FF0000"/>
          <w:vertAlign w:val="superscript"/>
        </w:rPr>
        <w:t>3</w:t>
      </w:r>
      <w:r>
        <w:rPr>
          <w:color w:val="FF0000"/>
        </w:rPr>
        <w:t>/d</w:t>
      </w:r>
      <w:r>
        <w:t>，</w:t>
      </w:r>
      <w:r>
        <w:rPr>
          <w:rFonts w:hint="eastAsia"/>
        </w:rPr>
        <w:t>非</w:t>
      </w:r>
      <w:r>
        <w:t>采暖季</w:t>
      </w:r>
      <w:r>
        <w:rPr>
          <w:rFonts w:hint="eastAsia"/>
        </w:rPr>
        <w:t>废水</w:t>
      </w:r>
      <w:r>
        <w:t>排放量</w:t>
      </w:r>
      <w:r>
        <w:rPr>
          <w:rFonts w:hint="eastAsia"/>
          <w:color w:val="FF0000"/>
        </w:rPr>
        <w:t>19</w:t>
      </w:r>
      <w:r>
        <w:rPr>
          <w:color w:val="FF0000"/>
        </w:rPr>
        <w:t>6.95m</w:t>
      </w:r>
      <w:r>
        <w:rPr>
          <w:color w:val="FF0000"/>
          <w:vertAlign w:val="superscript"/>
        </w:rPr>
        <w:t>3</w:t>
      </w:r>
      <w:r>
        <w:rPr>
          <w:color w:val="FF0000"/>
        </w:rPr>
        <w:t>/d，</w:t>
      </w:r>
      <w:r>
        <w:t>废水排放总量</w:t>
      </w:r>
      <w:r>
        <w:rPr>
          <w:color w:val="FF0000"/>
        </w:rPr>
        <w:t>72975.15m</w:t>
      </w:r>
      <w:r>
        <w:rPr>
          <w:color w:val="FF0000"/>
          <w:vertAlign w:val="superscript"/>
        </w:rPr>
        <w:t>3</w:t>
      </w:r>
      <w:r>
        <w:rPr>
          <w:color w:val="FF0000"/>
        </w:rPr>
        <w:t>/a</w:t>
      </w:r>
      <w:r>
        <w:t>，</w:t>
      </w:r>
      <w:r>
        <w:rPr>
          <w:rFonts w:hint="eastAsia"/>
        </w:rPr>
        <w:t>其中</w:t>
      </w:r>
      <w:r>
        <w:t>进入</w:t>
      </w:r>
      <w:r>
        <w:rPr>
          <w:rFonts w:hint="eastAsia"/>
        </w:rPr>
        <w:t>自建</w:t>
      </w:r>
      <w:r>
        <w:t>污水处理站处理后</w:t>
      </w:r>
      <w:r>
        <w:rPr>
          <w:rFonts w:hint="eastAsia"/>
        </w:rPr>
        <w:t>排入</w:t>
      </w:r>
      <w:r>
        <w:t>市政管网废水</w:t>
      </w:r>
      <w:r>
        <w:rPr>
          <w:rFonts w:hint="eastAsia"/>
        </w:rPr>
        <w:t>71291.8</w:t>
      </w:r>
      <w:r>
        <w:t>m</w:t>
      </w:r>
      <w:r>
        <w:rPr>
          <w:vertAlign w:val="superscript"/>
        </w:rPr>
        <w:t>3</w:t>
      </w:r>
      <w:r>
        <w:t>/a</w:t>
      </w:r>
      <w:r>
        <w:rPr>
          <w:rFonts w:hint="eastAsia"/>
        </w:rPr>
        <w:t>，</w:t>
      </w:r>
      <w:r>
        <w:t>其余</w:t>
      </w:r>
      <w:r>
        <w:rPr>
          <w:color w:val="FF0000"/>
        </w:rPr>
        <w:t>废水1683.35m</w:t>
      </w:r>
      <w:r>
        <w:rPr>
          <w:color w:val="FF0000"/>
          <w:vertAlign w:val="superscript"/>
        </w:rPr>
        <w:t>3</w:t>
      </w:r>
      <w:r>
        <w:rPr>
          <w:color w:val="FF0000"/>
        </w:rPr>
        <w:t>/a</w:t>
      </w:r>
      <w:r>
        <w:rPr>
          <w:rFonts w:hint="eastAsia"/>
        </w:rPr>
        <w:t>直接</w:t>
      </w:r>
      <w:r>
        <w:t>排入市政管网</w:t>
      </w:r>
      <w:r>
        <w:rPr>
          <w:rFonts w:hint="eastAsia"/>
        </w:rPr>
        <w:t>，</w:t>
      </w:r>
      <w:r>
        <w:t>最终废水排入</w:t>
      </w:r>
      <w:r>
        <w:rPr>
          <w:rFonts w:hint="eastAsia"/>
        </w:rPr>
        <w:t>安康市恒口示范区污水处理厂。</w:t>
      </w:r>
    </w:p>
    <w:p>
      <w:pPr>
        <w:pStyle w:val="40"/>
        <w:ind w:firstLine="480"/>
      </w:pPr>
      <w:r>
        <w:rPr>
          <w:rFonts w:hint="eastAsia"/>
        </w:rPr>
        <w:t>采暖季</w:t>
      </w:r>
      <w:r>
        <w:t>用排水</w:t>
      </w:r>
      <w:r>
        <w:rPr>
          <w:rFonts w:hint="eastAsia"/>
        </w:rPr>
        <w:t>量</w:t>
      </w:r>
      <w:r>
        <w:t>见表</w:t>
      </w:r>
      <w:r>
        <w:rPr>
          <w:rFonts w:hint="eastAsia"/>
        </w:rPr>
        <w:t>4.2-</w:t>
      </w:r>
      <w:r>
        <w:t>9</w:t>
      </w:r>
      <w:r>
        <w:rPr>
          <w:rFonts w:hint="eastAsia"/>
        </w:rPr>
        <w:t>，非</w:t>
      </w:r>
      <w:r>
        <w:t>采暖季用排水</w:t>
      </w:r>
      <w:r>
        <w:rPr>
          <w:rFonts w:hint="eastAsia"/>
        </w:rPr>
        <w:t>见</w:t>
      </w:r>
      <w:r>
        <w:t>表</w:t>
      </w:r>
      <w:r>
        <w:rPr>
          <w:rFonts w:hint="eastAsia"/>
        </w:rPr>
        <w:t>4.2-</w:t>
      </w:r>
      <w:r>
        <w:t>10</w:t>
      </w:r>
      <w:r>
        <w:rPr>
          <w:rFonts w:hint="eastAsia"/>
        </w:rPr>
        <w:t>，</w:t>
      </w:r>
      <w:r>
        <w:t>水平衡图见图</w:t>
      </w:r>
      <w:r>
        <w:rPr>
          <w:rFonts w:hint="eastAsia"/>
        </w:rPr>
        <w:t>4.2-1和</w:t>
      </w:r>
      <w:r>
        <w:t>图</w:t>
      </w:r>
      <w:r>
        <w:rPr>
          <w:rFonts w:hint="eastAsia"/>
        </w:rPr>
        <w:t>4.2-2。</w:t>
      </w:r>
    </w:p>
    <w:p>
      <w:pPr>
        <w:pStyle w:val="22"/>
      </w:pPr>
      <w:r>
        <w:rPr>
          <w:rFonts w:hint="eastAsia"/>
        </w:rPr>
        <w:t>表4.</w:t>
      </w:r>
      <w:r>
        <w:t>2</w:t>
      </w:r>
      <w:r>
        <w:rPr>
          <w:rFonts w:hint="eastAsia"/>
        </w:rPr>
        <w:t>-</w:t>
      </w:r>
      <w:r>
        <w:t>9</w:t>
      </w:r>
      <w:r>
        <w:rPr>
          <w:rFonts w:hint="eastAsia"/>
        </w:rPr>
        <w:t xml:space="preserve">  采暖季项目</w:t>
      </w:r>
      <w:r>
        <w:t>水平衡表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1134"/>
        <w:gridCol w:w="1723"/>
        <w:gridCol w:w="1229"/>
        <w:gridCol w:w="1071"/>
        <w:gridCol w:w="1150"/>
        <w:gridCol w:w="931"/>
        <w:gridCol w:w="12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ind w:firstLine="48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序号</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用水项目</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用水定额</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数量</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新鲜用水量（m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软水</w:t>
            </w:r>
          </w:p>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（m</w:t>
            </w:r>
            <w:r>
              <w:rPr>
                <w:rFonts w:hint="eastAsia" w:ascii="Times New Roman" w:hAnsi="Times New Roman" w:eastAsia="宋体" w:cs="Times New Roman"/>
                <w:szCs w:val="24"/>
                <w:vertAlign w:val="superscript"/>
              </w:rPr>
              <w:t>3</w:t>
            </w:r>
            <w:r>
              <w:rPr>
                <w:rFonts w:hint="eastAsia" w:ascii="Times New Roman" w:hAnsi="Times New Roman" w:eastAsia="宋体" w:cs="Times New Roman"/>
                <w:szCs w:val="24"/>
              </w:rPr>
              <w:t>/d）</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损耗量（m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排水量（m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住院病房</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ascii="Times New Roman" w:hAnsi="Times New Roman" w:eastAsia="宋体" w:cstheme="majorBidi"/>
                <w:bCs/>
                <w:kern w:val="28"/>
                <w:szCs w:val="32"/>
              </w:rPr>
              <w:t>220</w:t>
            </w:r>
            <w:r>
              <w:rPr>
                <w:rFonts w:hint="eastAsia" w:ascii="Times New Roman" w:hAnsi="Times New Roman" w:eastAsia="宋体" w:cstheme="majorBidi"/>
                <w:bCs/>
                <w:kern w:val="28"/>
                <w:szCs w:val="32"/>
              </w:rPr>
              <w:t>L/（床·d）</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500床</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110</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16.50</w:t>
            </w:r>
          </w:p>
        </w:tc>
        <w:tc>
          <w:tcPr>
            <w:tcW w:w="1205" w:type="dxa"/>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93.50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门诊</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L/（人·次）</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15</w:t>
            </w:r>
            <w:r>
              <w:rPr>
                <w:rFonts w:hint="eastAsia" w:ascii="Times New Roman" w:hAnsi="Times New Roman" w:eastAsia="宋体" w:cstheme="majorBidi"/>
                <w:bCs/>
                <w:kern w:val="28"/>
                <w:szCs w:val="32"/>
              </w:rPr>
              <w:t>00人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16.5</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2.47</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3</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医务人员</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120</w:t>
            </w:r>
            <w:r>
              <w:rPr>
                <w:rFonts w:hint="eastAsia" w:ascii="Times New Roman" w:hAnsi="Times New Roman" w:eastAsia="宋体" w:cstheme="majorBidi"/>
                <w:bCs/>
                <w:kern w:val="28"/>
                <w:szCs w:val="32"/>
              </w:rPr>
              <w:t>L/(人·d)</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595</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71.4</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10.71</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4</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办公</w:t>
            </w:r>
            <w:r>
              <w:rPr>
                <w:rFonts w:ascii="Times New Roman" w:hAnsi="Times New Roman" w:eastAsia="宋体" w:cstheme="majorBidi"/>
                <w:bCs/>
                <w:kern w:val="28"/>
                <w:szCs w:val="32"/>
              </w:rPr>
              <w:t>、后勤服务人员</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10m</w:t>
            </w:r>
            <w:r>
              <w:rPr>
                <w:rFonts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/(人·</w:t>
            </w:r>
            <w:r>
              <w:rPr>
                <w:rFonts w:ascii="Times New Roman" w:hAnsi="Times New Roman" w:eastAsia="宋体" w:cstheme="majorBidi"/>
                <w:bCs/>
                <w:kern w:val="28"/>
                <w:szCs w:val="32"/>
              </w:rPr>
              <w:t>a</w:t>
            </w:r>
            <w:r>
              <w:rPr>
                <w:rFonts w:hint="eastAsia"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225</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6.16</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0.92</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5.24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5</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食堂</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20L</w:t>
            </w:r>
            <w:r>
              <w:rPr>
                <w:rFonts w:ascii="Times New Roman" w:hAnsi="Times New Roman" w:eastAsia="宋体" w:cstheme="majorBidi"/>
                <w:bCs/>
                <w:kern w:val="28"/>
                <w:szCs w:val="32"/>
              </w:rPr>
              <w:t>/</w:t>
            </w:r>
            <w:r>
              <w:rPr>
                <w:rFonts w:hint="eastAsia" w:ascii="Times New Roman" w:hAnsi="Times New Roman" w:eastAsia="宋体" w:cstheme="majorBidi"/>
                <w:bCs/>
                <w:kern w:val="28"/>
                <w:szCs w:val="32"/>
              </w:rPr>
              <w:t>（人·次）</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1236</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24.72</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3.71</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放射科</w:t>
            </w:r>
            <w:r>
              <w:rPr>
                <w:rFonts w:ascii="Times New Roman" w:hAnsi="Times New Roman" w:eastAsia="宋体" w:cstheme="majorBidi"/>
                <w:bCs/>
                <w:kern w:val="28"/>
                <w:szCs w:val="32"/>
              </w:rPr>
              <w:t>用水</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150" w:type="dxa"/>
            <w:vAlign w:val="center"/>
          </w:tcPr>
          <w:p>
            <w:pPr>
              <w:adjustRightInd w:val="0"/>
              <w:snapToGrid w:val="0"/>
              <w:jc w:val="center"/>
              <w:rPr>
                <w:rFonts w:ascii="Times New Roman" w:hAnsi="Times New Roman" w:eastAsia="宋体" w:cstheme="majorBidi"/>
                <w:bCs/>
                <w:kern w:val="28"/>
                <w:szCs w:val="32"/>
              </w:rPr>
            </w:pP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0.15</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7</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热水锅炉</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补充水为</w:t>
            </w:r>
            <w:r>
              <w:rPr>
                <w:rFonts w:ascii="Times New Roman" w:hAnsi="Times New Roman" w:eastAsia="宋体" w:cstheme="majorBidi"/>
                <w:bCs/>
                <w:kern w:val="28"/>
                <w:szCs w:val="32"/>
              </w:rPr>
              <w:t>循环水量的</w:t>
            </w:r>
            <w:r>
              <w:rPr>
                <w:rFonts w:hint="eastAsia" w:ascii="Times New Roman" w:hAnsi="Times New Roman" w:eastAsia="宋体" w:cstheme="majorBidi"/>
                <w:bCs/>
                <w:kern w:val="28"/>
                <w:szCs w:val="32"/>
              </w:rPr>
              <w:t>3</w:t>
            </w:r>
            <w:r>
              <w:rPr>
                <w:rFonts w:ascii="Times New Roman" w:hAnsi="Times New Roman" w:eastAsia="宋体" w:cstheme="majorBidi"/>
                <w:bCs/>
                <w:kern w:val="28"/>
                <w:szCs w:val="32"/>
              </w:rPr>
              <w:t>%，排污为补充水的</w:t>
            </w:r>
            <w:r>
              <w:rPr>
                <w:rFonts w:hint="eastAsia" w:ascii="Times New Roman" w:hAnsi="Times New Roman" w:eastAsia="宋体" w:cstheme="majorBidi"/>
                <w:bCs/>
                <w:kern w:val="28"/>
                <w:szCs w:val="32"/>
              </w:rPr>
              <w:t>1.5</w:t>
            </w:r>
            <w:r>
              <w:rPr>
                <w:rFonts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color w:val="FF0000"/>
                <w:kern w:val="28"/>
                <w:szCs w:val="32"/>
              </w:rPr>
              <w:t>2</w:t>
            </w:r>
            <w:r>
              <w:rPr>
                <w:rFonts w:hint="eastAsia" w:ascii="Times New Roman" w:hAnsi="Times New Roman" w:eastAsia="宋体" w:cstheme="majorBidi"/>
                <w:bCs/>
                <w:color w:val="FF0000"/>
                <w:kern w:val="28"/>
                <w:szCs w:val="32"/>
              </w:rPr>
              <w:t>台</w:t>
            </w:r>
            <w:r>
              <w:rPr>
                <w:rFonts w:ascii="Times New Roman" w:hAnsi="Times New Roman" w:eastAsia="宋体" w:cstheme="majorBidi"/>
                <w:bCs/>
                <w:color w:val="FF0000"/>
                <w:kern w:val="28"/>
                <w:szCs w:val="32"/>
              </w:rPr>
              <w:t>4t/h</w:t>
            </w:r>
            <w:r>
              <w:rPr>
                <w:rFonts w:hint="eastAsia" w:ascii="Times New Roman" w:hAnsi="Times New Roman" w:eastAsia="宋体" w:cstheme="majorBidi"/>
                <w:bCs/>
                <w:color w:val="FF0000"/>
                <w:kern w:val="28"/>
                <w:szCs w:val="32"/>
              </w:rPr>
              <w:t>采暖，1台1.5</w:t>
            </w:r>
            <w:r>
              <w:rPr>
                <w:rFonts w:ascii="Times New Roman" w:hAnsi="Times New Roman" w:eastAsia="宋体" w:cstheme="majorBidi"/>
                <w:bCs/>
                <w:color w:val="FF0000"/>
                <w:kern w:val="28"/>
                <w:szCs w:val="32"/>
              </w:rPr>
              <w:t>t/h</w:t>
            </w:r>
            <w:r>
              <w:rPr>
                <w:rFonts w:hint="eastAsia" w:ascii="Times New Roman" w:hAnsi="Times New Roman" w:eastAsia="宋体" w:cstheme="majorBidi"/>
                <w:bCs/>
                <w:color w:val="FF0000"/>
                <w:kern w:val="28"/>
                <w:szCs w:val="32"/>
              </w:rPr>
              <w:t>供</w:t>
            </w:r>
            <w:r>
              <w:rPr>
                <w:rFonts w:ascii="Times New Roman" w:hAnsi="Times New Roman" w:eastAsia="宋体" w:cstheme="majorBidi"/>
                <w:bCs/>
                <w:color w:val="FF0000"/>
                <w:kern w:val="28"/>
                <w:szCs w:val="32"/>
              </w:rPr>
              <w:t>热水</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color w:val="FF0000"/>
                <w:kern w:val="28"/>
                <w:szCs w:val="32"/>
              </w:rPr>
              <w:t>91.</w:t>
            </w:r>
            <w:r>
              <w:rPr>
                <w:rFonts w:ascii="Times New Roman" w:hAnsi="Times New Roman" w:eastAsia="宋体" w:cstheme="majorBidi"/>
                <w:bCs/>
                <w:color w:val="FF0000"/>
                <w:kern w:val="28"/>
                <w:szCs w:val="32"/>
              </w:rPr>
              <w:t>20</w:t>
            </w:r>
          </w:p>
        </w:tc>
        <w:tc>
          <w:tcPr>
            <w:tcW w:w="1150" w:type="dxa"/>
            <w:vAlign w:val="center"/>
          </w:tcPr>
          <w:p>
            <w:pPr>
              <w:adjustRightInd w:val="0"/>
              <w:snapToGrid w:val="0"/>
              <w:jc w:val="center"/>
              <w:rPr>
                <w:rFonts w:ascii="Times New Roman" w:hAnsi="Times New Roman" w:eastAsia="宋体" w:cstheme="majorBidi"/>
                <w:bCs/>
                <w:color w:val="FF0000"/>
                <w:kern w:val="28"/>
                <w:szCs w:val="32"/>
              </w:rPr>
            </w:pPr>
            <w:r>
              <w:rPr>
                <w:rFonts w:ascii="Times New Roman" w:hAnsi="Times New Roman" w:eastAsia="宋体" w:cstheme="majorBidi"/>
                <w:bCs/>
                <w:color w:val="FF0000"/>
                <w:kern w:val="28"/>
                <w:szCs w:val="32"/>
              </w:rPr>
              <w:t>82.08</w:t>
            </w:r>
            <w:r>
              <w:rPr>
                <w:rFonts w:hint="eastAsia" w:ascii="Times New Roman" w:hAnsi="Times New Roman" w:eastAsia="宋体" w:cstheme="majorBidi"/>
                <w:bCs/>
                <w:color w:val="FF0000"/>
                <w:kern w:val="28"/>
                <w:szCs w:val="32"/>
              </w:rPr>
              <w:t>（补充水）；</w:t>
            </w:r>
          </w:p>
          <w:p>
            <w:pPr>
              <w:adjustRightInd w:val="0"/>
              <w:snapToGrid w:val="0"/>
              <w:rPr>
                <w:rFonts w:ascii="Times New Roman" w:hAnsi="Times New Roman" w:eastAsia="宋体" w:cs="Times New Roman"/>
                <w:color w:val="FF0000"/>
                <w:szCs w:val="24"/>
                <w:highlight w:val="yellow"/>
              </w:rPr>
            </w:pPr>
            <w:r>
              <w:rPr>
                <w:rFonts w:ascii="Times New Roman" w:hAnsi="Times New Roman" w:eastAsia="宋体" w:cs="Times New Roman"/>
                <w:color w:val="FF0000"/>
                <w:szCs w:val="24"/>
              </w:rPr>
              <w:t>2736</w:t>
            </w:r>
            <w:r>
              <w:rPr>
                <w:rFonts w:hint="eastAsia" w:ascii="Times New Roman" w:hAnsi="Times New Roman" w:eastAsia="宋体" w:cs="Times New Roman"/>
                <w:color w:val="FF0000"/>
                <w:szCs w:val="24"/>
              </w:rPr>
              <w:t>（循环</w:t>
            </w:r>
            <w:r>
              <w:rPr>
                <w:rFonts w:ascii="Times New Roman" w:hAnsi="Times New Roman" w:eastAsia="宋体" w:cs="Times New Roman"/>
                <w:color w:val="FF0000"/>
                <w:szCs w:val="24"/>
              </w:rPr>
              <w:t>水</w:t>
            </w:r>
            <w:r>
              <w:rPr>
                <w:rFonts w:hint="eastAsia" w:ascii="Times New Roman" w:hAnsi="Times New Roman" w:eastAsia="宋体" w:cs="Times New Roman"/>
                <w:color w:val="FF0000"/>
                <w:szCs w:val="24"/>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80.50</w:t>
            </w:r>
          </w:p>
        </w:tc>
        <w:tc>
          <w:tcPr>
            <w:tcW w:w="1205" w:type="dxa"/>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color w:val="FF0000"/>
                <w:kern w:val="28"/>
                <w:szCs w:val="32"/>
              </w:rPr>
              <w:t>锅炉</w:t>
            </w:r>
            <w:r>
              <w:rPr>
                <w:rFonts w:ascii="Times New Roman" w:hAnsi="Times New Roman" w:eastAsia="宋体" w:cstheme="majorBidi"/>
                <w:bCs/>
                <w:color w:val="FF0000"/>
                <w:kern w:val="28"/>
                <w:szCs w:val="32"/>
              </w:rPr>
              <w:t>排污1.58m</w:t>
            </w:r>
            <w:r>
              <w:rPr>
                <w:rFonts w:ascii="Times New Roman" w:hAnsi="Times New Roman" w:eastAsia="宋体" w:cstheme="majorBidi"/>
                <w:bCs/>
                <w:color w:val="FF0000"/>
                <w:kern w:val="28"/>
                <w:szCs w:val="32"/>
                <w:vertAlign w:val="superscript"/>
              </w:rPr>
              <w:t>3</w:t>
            </w:r>
            <w:r>
              <w:rPr>
                <w:rFonts w:ascii="Times New Roman" w:hAnsi="Times New Roman" w:eastAsia="宋体" w:cstheme="majorBidi"/>
                <w:bCs/>
                <w:color w:val="FF0000"/>
                <w:kern w:val="28"/>
                <w:szCs w:val="32"/>
              </w:rPr>
              <w:t>/d，</w:t>
            </w:r>
            <w:r>
              <w:rPr>
                <w:rFonts w:hint="eastAsia" w:ascii="Times New Roman" w:hAnsi="Times New Roman" w:eastAsia="宋体" w:cstheme="majorBidi"/>
                <w:bCs/>
                <w:color w:val="FF0000"/>
                <w:kern w:val="28"/>
                <w:szCs w:val="32"/>
              </w:rPr>
              <w:t>软水</w:t>
            </w:r>
            <w:r>
              <w:rPr>
                <w:rFonts w:ascii="Times New Roman" w:hAnsi="Times New Roman" w:eastAsia="宋体" w:cstheme="majorBidi"/>
                <w:bCs/>
                <w:color w:val="FF0000"/>
                <w:kern w:val="28"/>
                <w:szCs w:val="32"/>
              </w:rPr>
              <w:t>制备</w:t>
            </w:r>
            <w:r>
              <w:rPr>
                <w:rFonts w:hint="eastAsia" w:ascii="Times New Roman" w:hAnsi="Times New Roman" w:eastAsia="宋体" w:cstheme="majorBidi"/>
                <w:bCs/>
                <w:color w:val="FF0000"/>
                <w:kern w:val="28"/>
                <w:szCs w:val="32"/>
              </w:rPr>
              <w:t>9.12</w:t>
            </w:r>
            <w:r>
              <w:rPr>
                <w:rFonts w:ascii="Times New Roman" w:hAnsi="Times New Roman" w:eastAsia="宋体" w:cstheme="majorBidi"/>
                <w:bCs/>
                <w:color w:val="FF0000"/>
                <w:kern w:val="28"/>
                <w:szCs w:val="32"/>
              </w:rPr>
              <w:t>m</w:t>
            </w:r>
            <w:r>
              <w:rPr>
                <w:rFonts w:ascii="Times New Roman" w:hAnsi="Times New Roman" w:eastAsia="宋体" w:cstheme="majorBidi"/>
                <w:bCs/>
                <w:color w:val="FF0000"/>
                <w:kern w:val="28"/>
                <w:szCs w:val="32"/>
                <w:vertAlign w:val="superscript"/>
              </w:rPr>
              <w:t>3</w:t>
            </w:r>
            <w:r>
              <w:rPr>
                <w:rFonts w:ascii="Times New Roman" w:hAnsi="Times New Roman" w:eastAsia="宋体" w:cstheme="majorBidi"/>
                <w:bCs/>
                <w:color w:val="FF0000"/>
                <w:kern w:val="28"/>
                <w:szCs w:val="32"/>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13" w:type="dxa"/>
            <w:gridSpan w:val="4"/>
            <w:shd w:val="clear" w:color="auto" w:fill="auto"/>
            <w:vAlign w:val="center"/>
          </w:tcPr>
          <w:p>
            <w:pPr>
              <w:adjustRightInd w:val="0"/>
              <w:snapToGrid w:val="0"/>
              <w:jc w:val="center"/>
              <w:rPr>
                <w:rFonts w:ascii="Times New Roman" w:hAnsi="Times New Roman" w:eastAsia="宋体" w:cstheme="majorBidi"/>
                <w:bCs/>
                <w:kern w:val="28"/>
                <w:szCs w:val="21"/>
              </w:rPr>
            </w:pPr>
            <w:r>
              <w:rPr>
                <w:rFonts w:hint="eastAsia" w:ascii="Times New Roman" w:hAnsi="Times New Roman" w:eastAsia="宋体" w:cstheme="majorBidi"/>
                <w:bCs/>
                <w:kern w:val="28"/>
                <w:szCs w:val="32"/>
              </w:rPr>
              <w:t>合计</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320.98</w:t>
            </w:r>
          </w:p>
        </w:tc>
        <w:tc>
          <w:tcPr>
            <w:tcW w:w="1150" w:type="dxa"/>
            <w:vAlign w:val="center"/>
          </w:tcPr>
          <w:p>
            <w:pPr>
              <w:adjustRightInd w:val="0"/>
              <w:snapToGrid w:val="0"/>
              <w:jc w:val="center"/>
              <w:rPr>
                <w:rFonts w:ascii="Times New Roman" w:hAnsi="Times New Roman" w:eastAsia="宋体" w:cstheme="majorBidi"/>
                <w:bCs/>
                <w:color w:val="FF0000"/>
                <w:kern w:val="28"/>
                <w:szCs w:val="21"/>
              </w:rPr>
            </w:pPr>
            <w:r>
              <w:rPr>
                <w:rFonts w:ascii="Times New Roman" w:hAnsi="Times New Roman" w:eastAsia="宋体" w:cstheme="majorBidi"/>
                <w:bCs/>
                <w:color w:val="FF0000"/>
                <w:kern w:val="28"/>
                <w:szCs w:val="21"/>
              </w:rPr>
              <w:t>82.08</w:t>
            </w:r>
            <w:r>
              <w:rPr>
                <w:rFonts w:hint="eastAsia" w:ascii="Times New Roman" w:hAnsi="Times New Roman" w:eastAsia="宋体" w:cstheme="majorBidi"/>
                <w:bCs/>
                <w:color w:val="FF0000"/>
                <w:kern w:val="28"/>
                <w:szCs w:val="21"/>
              </w:rPr>
              <w:t>（补充水）；</w:t>
            </w:r>
            <w:r>
              <w:rPr>
                <w:rFonts w:ascii="Times New Roman" w:hAnsi="Times New Roman" w:eastAsia="宋体" w:cstheme="majorBidi"/>
                <w:bCs/>
                <w:color w:val="FF0000"/>
                <w:kern w:val="28"/>
                <w:szCs w:val="21"/>
              </w:rPr>
              <w:t>2736</w:t>
            </w:r>
            <w:r>
              <w:rPr>
                <w:rFonts w:hint="eastAsia" w:ascii="Times New Roman" w:hAnsi="Times New Roman" w:eastAsia="宋体" w:cstheme="majorBidi"/>
                <w:bCs/>
                <w:color w:val="FF0000"/>
                <w:kern w:val="28"/>
                <w:szCs w:val="21"/>
              </w:rPr>
              <w:t>（循环水）</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21"/>
              </w:rPr>
            </w:pPr>
            <w:r>
              <w:rPr>
                <w:rFonts w:ascii="Times New Roman" w:hAnsi="Times New Roman" w:eastAsia="宋体" w:cstheme="majorBidi"/>
                <w:bCs/>
                <w:kern w:val="28"/>
                <w:szCs w:val="21"/>
              </w:rPr>
              <w:t>114.96</w:t>
            </w:r>
          </w:p>
        </w:tc>
        <w:tc>
          <w:tcPr>
            <w:tcW w:w="1205" w:type="dxa"/>
            <w:vAlign w:val="center"/>
          </w:tcPr>
          <w:p>
            <w:pPr>
              <w:adjustRightInd w:val="0"/>
              <w:snapToGrid w:val="0"/>
              <w:rPr>
                <w:rFonts w:ascii="Times New Roman" w:hAnsi="Times New Roman" w:eastAsia="宋体" w:cstheme="majorBidi"/>
                <w:bCs/>
                <w:kern w:val="28"/>
                <w:szCs w:val="32"/>
              </w:rPr>
            </w:pPr>
            <w:r>
              <w:rPr>
                <w:rFonts w:ascii="Times New Roman" w:hAnsi="Times New Roman" w:eastAsia="宋体" w:cstheme="majorBidi"/>
                <w:bCs/>
                <w:kern w:val="28"/>
                <w:szCs w:val="32"/>
              </w:rPr>
              <w:t>195.32</w:t>
            </w: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w:t>
            </w:r>
            <w:r>
              <w:rPr>
                <w:rFonts w:hint="eastAsia" w:ascii="Times New Roman" w:hAnsi="Times New Roman" w:eastAsia="宋体" w:cstheme="majorBidi"/>
                <w:bCs/>
                <w:kern w:val="28"/>
                <w:szCs w:val="32"/>
              </w:rPr>
              <w:t>）；</w:t>
            </w:r>
            <w:r>
              <w:rPr>
                <w:rFonts w:ascii="Times New Roman" w:hAnsi="Times New Roman" w:eastAsia="宋体" w:cstheme="majorBidi"/>
                <w:bCs/>
                <w:color w:val="FF0000"/>
                <w:kern w:val="28"/>
                <w:szCs w:val="32"/>
              </w:rPr>
              <w:t>10.70</w:t>
            </w:r>
            <w:r>
              <w:rPr>
                <w:rFonts w:hint="eastAsia" w:ascii="Times New Roman" w:hAnsi="Times New Roman" w:eastAsia="宋体" w:cstheme="majorBidi"/>
                <w:bCs/>
                <w:color w:val="FF0000"/>
                <w:kern w:val="28"/>
                <w:szCs w:val="32"/>
              </w:rPr>
              <w:t>（市政</w:t>
            </w:r>
            <w:r>
              <w:rPr>
                <w:rFonts w:ascii="Times New Roman" w:hAnsi="Times New Roman" w:eastAsia="宋体" w:cstheme="majorBidi"/>
                <w:bCs/>
                <w:color w:val="FF0000"/>
                <w:kern w:val="28"/>
                <w:szCs w:val="32"/>
              </w:rPr>
              <w:t>污水管网</w:t>
            </w:r>
            <w:r>
              <w:rPr>
                <w:rFonts w:hint="eastAsia" w:ascii="Times New Roman" w:hAnsi="Times New Roman" w:eastAsia="宋体" w:cstheme="majorBidi"/>
                <w:bCs/>
                <w:color w:val="FF0000"/>
                <w:kern w:val="28"/>
                <w:szCs w:val="32"/>
              </w:rPr>
              <w:t>）</w:t>
            </w:r>
          </w:p>
        </w:tc>
      </w:tr>
    </w:tbl>
    <w:p>
      <w:pPr>
        <w:adjustRightInd w:val="0"/>
        <w:snapToGrid w:val="0"/>
      </w:pPr>
      <w:r>
        <w:object>
          <v:shape id="_x0000_i1027" o:spt="75" type="#_x0000_t75" style="height:361.45pt;width:444.85pt;" o:ole="t" filled="f" o:preferrelative="t" stroked="f" coordsize="21600,21600">
            <v:path/>
            <v:fill on="f" focussize="0,0"/>
            <v:stroke on="f" joinstyle="miter"/>
            <v:imagedata r:id="rId74" o:title=""/>
            <o:lock v:ext="edit" aspectratio="t"/>
            <w10:wrap type="none"/>
            <w10:anchorlock/>
          </v:shape>
          <o:OLEObject Type="Embed" ProgID="Visio.Drawing.11" ShapeID="_x0000_i1027" DrawAspect="Content" ObjectID="_1468075727" r:id="rId73">
            <o:LockedField>false</o:LockedField>
          </o:OLEObject>
        </w:object>
      </w:r>
    </w:p>
    <w:p>
      <w:pPr>
        <w:pStyle w:val="44"/>
      </w:pPr>
      <w:r>
        <w:rPr>
          <w:rFonts w:hint="eastAsia"/>
        </w:rPr>
        <w:t>图4.</w:t>
      </w:r>
      <w:r>
        <w:t>2</w:t>
      </w:r>
      <w:r>
        <w:rPr>
          <w:rFonts w:hint="eastAsia"/>
        </w:rPr>
        <w:t>-1  采暖期项目</w:t>
      </w:r>
      <w:r>
        <w:t>水平衡图</w:t>
      </w:r>
      <w:r>
        <w:rPr>
          <w:rFonts w:hint="eastAsia"/>
        </w:rPr>
        <w:t>（m</w:t>
      </w:r>
      <w:r>
        <w:rPr>
          <w:rFonts w:hint="eastAsia"/>
          <w:vertAlign w:val="superscript"/>
        </w:rPr>
        <w:t>3</w:t>
      </w:r>
      <w:r>
        <w:rPr>
          <w:rFonts w:hint="eastAsia"/>
        </w:rPr>
        <w:t>/d）</w:t>
      </w:r>
    </w:p>
    <w:p>
      <w:pPr>
        <w:pStyle w:val="22"/>
      </w:pPr>
      <w:r>
        <w:rPr>
          <w:rFonts w:hint="eastAsia"/>
        </w:rPr>
        <w:t>表4.</w:t>
      </w:r>
      <w:r>
        <w:t>2</w:t>
      </w:r>
      <w:r>
        <w:rPr>
          <w:rFonts w:hint="eastAsia"/>
        </w:rPr>
        <w:t>-</w:t>
      </w:r>
      <w:r>
        <w:t>10</w:t>
      </w:r>
      <w:r>
        <w:rPr>
          <w:rFonts w:hint="eastAsia"/>
        </w:rPr>
        <w:t xml:space="preserve">  非采暖季项目</w:t>
      </w:r>
      <w:r>
        <w:t>水平衡表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1134"/>
        <w:gridCol w:w="1723"/>
        <w:gridCol w:w="1229"/>
        <w:gridCol w:w="1071"/>
        <w:gridCol w:w="1150"/>
        <w:gridCol w:w="931"/>
        <w:gridCol w:w="12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ind w:firstLine="48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序号</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用水项目</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用水定额</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数量</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新鲜用水量（m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软水</w:t>
            </w:r>
          </w:p>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（m</w:t>
            </w:r>
            <w:r>
              <w:rPr>
                <w:rFonts w:hint="eastAsia" w:ascii="Times New Roman" w:hAnsi="Times New Roman" w:eastAsia="宋体" w:cs="Times New Roman"/>
                <w:szCs w:val="24"/>
                <w:vertAlign w:val="superscript"/>
              </w:rPr>
              <w:t>3</w:t>
            </w:r>
            <w:r>
              <w:rPr>
                <w:rFonts w:hint="eastAsia" w:ascii="Times New Roman" w:hAnsi="Times New Roman" w:eastAsia="宋体" w:cs="Times New Roman"/>
                <w:szCs w:val="24"/>
              </w:rPr>
              <w:t>/d）</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损耗量（m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排水量（m</w:t>
            </w:r>
            <w:r>
              <w:rPr>
                <w:rFonts w:hint="eastAsia"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0" w:hRule="atLeast"/>
        </w:trPr>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住院病房</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ascii="Times New Roman" w:hAnsi="Times New Roman" w:eastAsia="宋体" w:cstheme="majorBidi"/>
                <w:bCs/>
                <w:kern w:val="28"/>
                <w:szCs w:val="32"/>
              </w:rPr>
              <w:t>220</w:t>
            </w:r>
            <w:r>
              <w:rPr>
                <w:rFonts w:hint="eastAsia" w:ascii="Times New Roman" w:hAnsi="Times New Roman" w:eastAsia="宋体" w:cstheme="majorBidi"/>
                <w:bCs/>
                <w:kern w:val="28"/>
                <w:szCs w:val="32"/>
              </w:rPr>
              <w:t>L/（床·d）</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500床</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110</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16.50</w:t>
            </w:r>
          </w:p>
        </w:tc>
        <w:tc>
          <w:tcPr>
            <w:tcW w:w="1205" w:type="dxa"/>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93.50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门诊</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L/（人·次）</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15</w:t>
            </w:r>
            <w:r>
              <w:rPr>
                <w:rFonts w:hint="eastAsia" w:ascii="Times New Roman" w:hAnsi="Times New Roman" w:eastAsia="宋体" w:cstheme="majorBidi"/>
                <w:bCs/>
                <w:kern w:val="28"/>
                <w:szCs w:val="32"/>
              </w:rPr>
              <w:t>00人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16.5</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2.47</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3</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医务人员</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120</w:t>
            </w:r>
            <w:r>
              <w:rPr>
                <w:rFonts w:hint="eastAsia" w:ascii="Times New Roman" w:hAnsi="Times New Roman" w:eastAsia="宋体" w:cstheme="majorBidi"/>
                <w:bCs/>
                <w:kern w:val="28"/>
                <w:szCs w:val="32"/>
              </w:rPr>
              <w:t>L/(人·d)</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595</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71.4</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10.71</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60.69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4</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办公</w:t>
            </w:r>
            <w:r>
              <w:rPr>
                <w:rFonts w:ascii="Times New Roman" w:hAnsi="Times New Roman" w:eastAsia="宋体" w:cstheme="majorBidi"/>
                <w:bCs/>
                <w:kern w:val="28"/>
                <w:szCs w:val="32"/>
              </w:rPr>
              <w:t>、后勤服务人员</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10m</w:t>
            </w:r>
            <w:r>
              <w:rPr>
                <w:rFonts w:ascii="Times New Roman" w:hAnsi="Times New Roman" w:eastAsia="宋体" w:cstheme="majorBidi"/>
                <w:bCs/>
                <w:kern w:val="28"/>
                <w:szCs w:val="32"/>
                <w:vertAlign w:val="superscript"/>
              </w:rPr>
              <w:t>3</w:t>
            </w:r>
            <w:r>
              <w:rPr>
                <w:rFonts w:hint="eastAsia" w:ascii="Times New Roman" w:hAnsi="Times New Roman" w:eastAsia="宋体" w:cstheme="majorBidi"/>
                <w:bCs/>
                <w:kern w:val="28"/>
                <w:szCs w:val="32"/>
              </w:rPr>
              <w:t>/(人·</w:t>
            </w:r>
            <w:r>
              <w:rPr>
                <w:rFonts w:ascii="Times New Roman" w:hAnsi="Times New Roman" w:eastAsia="宋体" w:cstheme="majorBidi"/>
                <w:bCs/>
                <w:kern w:val="28"/>
                <w:szCs w:val="32"/>
              </w:rPr>
              <w:t>a</w:t>
            </w:r>
            <w:r>
              <w:rPr>
                <w:rFonts w:hint="eastAsia"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225</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6.16</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0.92</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5.24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5</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食堂</w:t>
            </w:r>
          </w:p>
        </w:tc>
        <w:tc>
          <w:tcPr>
            <w:tcW w:w="1723" w:type="dxa"/>
            <w:shd w:val="clear" w:color="auto" w:fill="auto"/>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20L</w:t>
            </w:r>
            <w:r>
              <w:rPr>
                <w:rFonts w:ascii="Times New Roman" w:hAnsi="Times New Roman" w:eastAsia="宋体" w:cstheme="majorBidi"/>
                <w:bCs/>
                <w:kern w:val="28"/>
                <w:szCs w:val="32"/>
              </w:rPr>
              <w:t>/</w:t>
            </w:r>
            <w:r>
              <w:rPr>
                <w:rFonts w:hint="eastAsia" w:ascii="Times New Roman" w:hAnsi="Times New Roman" w:eastAsia="宋体" w:cstheme="majorBidi"/>
                <w:bCs/>
                <w:kern w:val="28"/>
                <w:szCs w:val="32"/>
              </w:rPr>
              <w:t>（人·次）</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1236</w:t>
            </w:r>
            <w:r>
              <w:rPr>
                <w:rFonts w:hint="eastAsia" w:ascii="Times New Roman" w:hAnsi="Times New Roman" w:eastAsia="宋体" w:cstheme="majorBidi"/>
                <w:bCs/>
                <w:kern w:val="28"/>
                <w:szCs w:val="32"/>
              </w:rPr>
              <w:t>人</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24.72</w:t>
            </w:r>
          </w:p>
        </w:tc>
        <w:tc>
          <w:tcPr>
            <w:tcW w:w="11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3.71</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6</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放射科</w:t>
            </w:r>
            <w:r>
              <w:rPr>
                <w:rFonts w:ascii="Times New Roman" w:hAnsi="Times New Roman" w:eastAsia="宋体" w:cstheme="majorBidi"/>
                <w:bCs/>
                <w:kern w:val="28"/>
                <w:szCs w:val="32"/>
              </w:rPr>
              <w:t>用水</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150" w:type="dxa"/>
            <w:vAlign w:val="center"/>
          </w:tcPr>
          <w:p>
            <w:pPr>
              <w:adjustRightInd w:val="0"/>
              <w:snapToGrid w:val="0"/>
              <w:jc w:val="center"/>
              <w:rPr>
                <w:rFonts w:ascii="Times New Roman" w:hAnsi="Times New Roman" w:eastAsia="宋体" w:cstheme="majorBidi"/>
                <w:bCs/>
                <w:kern w:val="28"/>
                <w:szCs w:val="32"/>
              </w:rPr>
            </w:pP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0.15</w:t>
            </w:r>
          </w:p>
        </w:tc>
        <w:tc>
          <w:tcPr>
            <w:tcW w:w="120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27" w:type="dxa"/>
            <w:tcBorders>
              <w:righ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7</w:t>
            </w:r>
          </w:p>
        </w:tc>
        <w:tc>
          <w:tcPr>
            <w:tcW w:w="1134" w:type="dxa"/>
            <w:tcBorders>
              <w:left w:val="single" w:color="auto" w:sz="2" w:space="0"/>
            </w:tcBorders>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热水锅炉</w:t>
            </w:r>
          </w:p>
        </w:tc>
        <w:tc>
          <w:tcPr>
            <w:tcW w:w="1723"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补充水为</w:t>
            </w:r>
            <w:r>
              <w:rPr>
                <w:rFonts w:ascii="Times New Roman" w:hAnsi="Times New Roman" w:eastAsia="宋体" w:cstheme="majorBidi"/>
                <w:bCs/>
                <w:kern w:val="28"/>
                <w:szCs w:val="32"/>
              </w:rPr>
              <w:t>循环水量的</w:t>
            </w:r>
            <w:r>
              <w:rPr>
                <w:rFonts w:hint="eastAsia" w:ascii="Times New Roman" w:hAnsi="Times New Roman" w:eastAsia="宋体" w:cstheme="majorBidi"/>
                <w:bCs/>
                <w:kern w:val="28"/>
                <w:szCs w:val="32"/>
              </w:rPr>
              <w:t>3</w:t>
            </w:r>
            <w:r>
              <w:rPr>
                <w:rFonts w:ascii="Times New Roman" w:hAnsi="Times New Roman" w:eastAsia="宋体" w:cstheme="majorBidi"/>
                <w:bCs/>
                <w:kern w:val="28"/>
                <w:szCs w:val="32"/>
              </w:rPr>
              <w:t>%，排污为补充水的</w:t>
            </w:r>
            <w:r>
              <w:rPr>
                <w:rFonts w:hint="eastAsia" w:ascii="Times New Roman" w:hAnsi="Times New Roman" w:eastAsia="宋体" w:cstheme="majorBidi"/>
                <w:bCs/>
                <w:kern w:val="28"/>
                <w:szCs w:val="32"/>
              </w:rPr>
              <w:t>1.5</w:t>
            </w:r>
            <w:r>
              <w:rPr>
                <w:rFonts w:ascii="Times New Roman" w:hAnsi="Times New Roman" w:eastAsia="宋体" w:cstheme="majorBidi"/>
                <w:bCs/>
                <w:kern w:val="28"/>
                <w:szCs w:val="32"/>
              </w:rPr>
              <w:t>%</w:t>
            </w:r>
          </w:p>
        </w:tc>
        <w:tc>
          <w:tcPr>
            <w:tcW w:w="1229"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color w:val="FF0000"/>
                <w:kern w:val="28"/>
                <w:szCs w:val="32"/>
              </w:rPr>
              <w:t>1</w:t>
            </w:r>
            <w:r>
              <w:rPr>
                <w:rFonts w:hint="eastAsia" w:ascii="Times New Roman" w:hAnsi="Times New Roman" w:eastAsia="宋体" w:cstheme="majorBidi"/>
                <w:bCs/>
                <w:color w:val="FF0000"/>
                <w:kern w:val="28"/>
                <w:szCs w:val="32"/>
              </w:rPr>
              <w:t>台</w:t>
            </w:r>
            <w:r>
              <w:rPr>
                <w:rFonts w:ascii="Times New Roman" w:hAnsi="Times New Roman" w:eastAsia="宋体" w:cstheme="majorBidi"/>
                <w:bCs/>
                <w:color w:val="FF0000"/>
                <w:kern w:val="28"/>
                <w:szCs w:val="32"/>
              </w:rPr>
              <w:t>1.5t/h热水锅炉</w:t>
            </w:r>
            <w:r>
              <w:rPr>
                <w:rFonts w:ascii="Times New Roman" w:hAnsi="Times New Roman" w:eastAsia="宋体" w:cstheme="majorBidi"/>
                <w:bCs/>
                <w:kern w:val="28"/>
                <w:szCs w:val="32"/>
              </w:rPr>
              <w:t xml:space="preserve"> </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color w:val="FF0000"/>
                <w:kern w:val="28"/>
                <w:szCs w:val="32"/>
              </w:rPr>
              <w:t>14.4</w:t>
            </w:r>
          </w:p>
        </w:tc>
        <w:tc>
          <w:tcPr>
            <w:tcW w:w="1150" w:type="dxa"/>
            <w:vAlign w:val="center"/>
          </w:tcPr>
          <w:p>
            <w:pPr>
              <w:adjustRightInd w:val="0"/>
              <w:snapToGrid w:val="0"/>
              <w:rPr>
                <w:rFonts w:ascii="Times New Roman" w:hAnsi="Times New Roman" w:eastAsia="宋体" w:cstheme="majorBidi"/>
                <w:bCs/>
                <w:color w:val="FF0000"/>
                <w:kern w:val="28"/>
                <w:szCs w:val="32"/>
              </w:rPr>
            </w:pPr>
            <w:r>
              <w:rPr>
                <w:rFonts w:hint="eastAsia" w:ascii="Times New Roman" w:hAnsi="Times New Roman" w:eastAsia="宋体" w:cstheme="majorBidi"/>
                <w:bCs/>
                <w:color w:val="FF0000"/>
                <w:kern w:val="28"/>
                <w:szCs w:val="32"/>
              </w:rPr>
              <w:t>补充水</w:t>
            </w:r>
            <w:r>
              <w:rPr>
                <w:rFonts w:ascii="Times New Roman" w:hAnsi="Times New Roman" w:eastAsia="宋体" w:cstheme="majorBidi"/>
                <w:bCs/>
                <w:color w:val="FF0000"/>
                <w:kern w:val="28"/>
                <w:szCs w:val="32"/>
              </w:rPr>
              <w:t>12.96</w:t>
            </w:r>
            <w:r>
              <w:rPr>
                <w:rFonts w:hint="eastAsia" w:ascii="Times New Roman" w:hAnsi="Times New Roman" w:eastAsia="宋体" w:cstheme="majorBidi"/>
                <w:bCs/>
                <w:color w:val="FF0000"/>
                <w:kern w:val="28"/>
                <w:szCs w:val="32"/>
              </w:rPr>
              <w:t>，</w:t>
            </w:r>
            <w:r>
              <w:rPr>
                <w:rFonts w:hint="eastAsia" w:ascii="Times New Roman" w:hAnsi="Times New Roman" w:eastAsia="宋体" w:cs="Times New Roman"/>
                <w:color w:val="FF0000"/>
                <w:szCs w:val="24"/>
              </w:rPr>
              <w:t>循环</w:t>
            </w:r>
            <w:r>
              <w:rPr>
                <w:rFonts w:ascii="Times New Roman" w:hAnsi="Times New Roman" w:eastAsia="宋体" w:cs="Times New Roman"/>
                <w:color w:val="FF0000"/>
                <w:szCs w:val="24"/>
              </w:rPr>
              <w:t>水432</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12.77</w:t>
            </w:r>
          </w:p>
        </w:tc>
        <w:tc>
          <w:tcPr>
            <w:tcW w:w="1205" w:type="dxa"/>
            <w:vAlign w:val="center"/>
          </w:tcPr>
          <w:p>
            <w:pPr>
              <w:adjustRightInd w:val="0"/>
              <w:snapToGrid w:val="0"/>
              <w:rPr>
                <w:rFonts w:ascii="Times New Roman" w:hAnsi="Times New Roman" w:eastAsia="宋体" w:cstheme="majorBidi"/>
                <w:bCs/>
                <w:kern w:val="28"/>
                <w:szCs w:val="32"/>
                <w:highlight w:val="yellow"/>
              </w:rPr>
            </w:pPr>
            <w:r>
              <w:rPr>
                <w:rFonts w:hint="eastAsia" w:ascii="Times New Roman" w:hAnsi="Times New Roman" w:eastAsia="宋体" w:cstheme="majorBidi"/>
                <w:bCs/>
                <w:color w:val="FF0000"/>
                <w:kern w:val="28"/>
                <w:szCs w:val="32"/>
              </w:rPr>
              <w:t>锅炉</w:t>
            </w:r>
            <w:r>
              <w:rPr>
                <w:rFonts w:ascii="Times New Roman" w:hAnsi="Times New Roman" w:eastAsia="宋体" w:cstheme="majorBidi"/>
                <w:bCs/>
                <w:color w:val="FF0000"/>
                <w:kern w:val="28"/>
                <w:szCs w:val="32"/>
              </w:rPr>
              <w:t>排污0.19，</w:t>
            </w:r>
            <w:r>
              <w:rPr>
                <w:rFonts w:hint="eastAsia" w:ascii="Times New Roman" w:hAnsi="Times New Roman" w:eastAsia="宋体" w:cstheme="majorBidi"/>
                <w:bCs/>
                <w:color w:val="FF0000"/>
                <w:kern w:val="28"/>
                <w:szCs w:val="32"/>
              </w:rPr>
              <w:t>软水</w:t>
            </w:r>
            <w:r>
              <w:rPr>
                <w:rFonts w:ascii="Times New Roman" w:hAnsi="Times New Roman" w:eastAsia="宋体" w:cstheme="majorBidi"/>
                <w:bCs/>
                <w:color w:val="FF0000"/>
                <w:kern w:val="28"/>
                <w:szCs w:val="32"/>
              </w:rPr>
              <w:t>制备</w:t>
            </w:r>
            <w:r>
              <w:rPr>
                <w:rFonts w:hint="eastAsia" w:ascii="Times New Roman" w:hAnsi="Times New Roman" w:eastAsia="宋体" w:cstheme="majorBidi"/>
                <w:bCs/>
                <w:color w:val="FF0000"/>
                <w:kern w:val="28"/>
                <w:szCs w:val="32"/>
              </w:rPr>
              <w:t>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4513" w:type="dxa"/>
            <w:gridSpan w:val="4"/>
            <w:shd w:val="clear" w:color="auto" w:fill="auto"/>
            <w:vAlign w:val="center"/>
          </w:tcPr>
          <w:p>
            <w:pPr>
              <w:adjustRightInd w:val="0"/>
              <w:snapToGrid w:val="0"/>
              <w:jc w:val="center"/>
              <w:rPr>
                <w:rFonts w:ascii="Times New Roman" w:hAnsi="Times New Roman" w:eastAsia="宋体" w:cstheme="majorBidi"/>
                <w:bCs/>
                <w:kern w:val="28"/>
                <w:szCs w:val="21"/>
              </w:rPr>
            </w:pPr>
            <w:r>
              <w:rPr>
                <w:rFonts w:hint="eastAsia" w:ascii="Times New Roman" w:hAnsi="Times New Roman" w:eastAsia="宋体" w:cstheme="majorBidi"/>
                <w:bCs/>
                <w:kern w:val="28"/>
                <w:szCs w:val="32"/>
              </w:rPr>
              <w:t>合计</w:t>
            </w:r>
          </w:p>
        </w:tc>
        <w:tc>
          <w:tcPr>
            <w:tcW w:w="1071" w:type="dxa"/>
            <w:shd w:val="clear" w:color="auto" w:fill="auto"/>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244.18</w:t>
            </w:r>
          </w:p>
        </w:tc>
        <w:tc>
          <w:tcPr>
            <w:tcW w:w="1150" w:type="dxa"/>
            <w:vAlign w:val="center"/>
          </w:tcPr>
          <w:p>
            <w:pPr>
              <w:adjustRightInd w:val="0"/>
              <w:snapToGrid w:val="0"/>
              <w:rPr>
                <w:rFonts w:ascii="Times New Roman" w:hAnsi="Times New Roman" w:eastAsia="宋体" w:cstheme="majorBidi"/>
                <w:bCs/>
                <w:color w:val="FF0000"/>
                <w:kern w:val="28"/>
                <w:szCs w:val="32"/>
              </w:rPr>
            </w:pPr>
            <w:r>
              <w:rPr>
                <w:rFonts w:hint="eastAsia" w:ascii="Times New Roman" w:hAnsi="Times New Roman" w:eastAsia="宋体" w:cstheme="majorBidi"/>
                <w:bCs/>
                <w:color w:val="FF0000"/>
                <w:kern w:val="28"/>
                <w:szCs w:val="32"/>
              </w:rPr>
              <w:t>补充水</w:t>
            </w:r>
            <w:r>
              <w:rPr>
                <w:rFonts w:ascii="Times New Roman" w:hAnsi="Times New Roman" w:eastAsia="宋体" w:cstheme="majorBidi"/>
                <w:bCs/>
                <w:color w:val="FF0000"/>
                <w:kern w:val="28"/>
                <w:szCs w:val="32"/>
              </w:rPr>
              <w:t>12.96</w:t>
            </w:r>
            <w:r>
              <w:rPr>
                <w:rFonts w:hint="eastAsia" w:ascii="Times New Roman" w:hAnsi="Times New Roman" w:eastAsia="宋体" w:cstheme="majorBidi"/>
                <w:bCs/>
                <w:color w:val="FF0000"/>
                <w:kern w:val="28"/>
                <w:szCs w:val="32"/>
              </w:rPr>
              <w:t>，</w:t>
            </w:r>
            <w:r>
              <w:rPr>
                <w:rFonts w:hint="eastAsia" w:ascii="Times New Roman" w:hAnsi="Times New Roman" w:eastAsia="宋体" w:cs="Times New Roman"/>
                <w:color w:val="FF0000"/>
                <w:szCs w:val="24"/>
              </w:rPr>
              <w:t>循环</w:t>
            </w:r>
            <w:r>
              <w:rPr>
                <w:rFonts w:ascii="Times New Roman" w:hAnsi="Times New Roman" w:eastAsia="宋体" w:cs="Times New Roman"/>
                <w:color w:val="FF0000"/>
                <w:szCs w:val="24"/>
              </w:rPr>
              <w:t>水432</w:t>
            </w:r>
          </w:p>
        </w:tc>
        <w:tc>
          <w:tcPr>
            <w:tcW w:w="931" w:type="dxa"/>
            <w:shd w:val="clear" w:color="auto" w:fill="auto"/>
            <w:vAlign w:val="center"/>
          </w:tcPr>
          <w:p>
            <w:pPr>
              <w:adjustRightInd w:val="0"/>
              <w:snapToGrid w:val="0"/>
              <w:jc w:val="center"/>
              <w:rPr>
                <w:rFonts w:ascii="Times New Roman" w:hAnsi="Times New Roman" w:eastAsia="宋体" w:cstheme="majorBidi"/>
                <w:bCs/>
                <w:kern w:val="28"/>
                <w:szCs w:val="21"/>
              </w:rPr>
            </w:pPr>
            <w:r>
              <w:rPr>
                <w:rFonts w:hint="eastAsia" w:ascii="Times New Roman" w:hAnsi="Times New Roman" w:eastAsia="宋体" w:cstheme="majorBidi"/>
                <w:bCs/>
                <w:color w:val="FF0000"/>
                <w:kern w:val="28"/>
                <w:szCs w:val="21"/>
              </w:rPr>
              <w:t>47.23</w:t>
            </w:r>
          </w:p>
        </w:tc>
        <w:tc>
          <w:tcPr>
            <w:tcW w:w="1205" w:type="dxa"/>
            <w:vAlign w:val="center"/>
          </w:tcPr>
          <w:p>
            <w:pPr>
              <w:adjustRightInd w:val="0"/>
              <w:snapToGrid w:val="0"/>
              <w:rPr>
                <w:rFonts w:ascii="Times New Roman" w:hAnsi="Times New Roman" w:eastAsia="宋体" w:cstheme="majorBidi"/>
                <w:bCs/>
                <w:kern w:val="28"/>
                <w:szCs w:val="32"/>
              </w:rPr>
            </w:pPr>
            <w:r>
              <w:rPr>
                <w:rFonts w:ascii="Times New Roman" w:hAnsi="Times New Roman" w:eastAsia="宋体" w:cstheme="majorBidi"/>
                <w:bCs/>
                <w:kern w:val="28"/>
                <w:szCs w:val="32"/>
              </w:rPr>
              <w:t>195.32</w:t>
            </w: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w:t>
            </w:r>
            <w:r>
              <w:rPr>
                <w:rFonts w:hint="eastAsia" w:ascii="Times New Roman" w:hAnsi="Times New Roman" w:eastAsia="宋体" w:cstheme="majorBidi"/>
                <w:bCs/>
                <w:kern w:val="28"/>
                <w:szCs w:val="32"/>
              </w:rPr>
              <w:t>）；</w:t>
            </w:r>
            <w:r>
              <w:rPr>
                <w:rFonts w:ascii="Times New Roman" w:hAnsi="Times New Roman" w:eastAsia="宋体" w:cstheme="majorBidi"/>
                <w:bCs/>
                <w:color w:val="FF0000"/>
                <w:kern w:val="28"/>
                <w:szCs w:val="32"/>
              </w:rPr>
              <w:t>1.63</w:t>
            </w:r>
            <w:r>
              <w:rPr>
                <w:rFonts w:hint="eastAsia" w:ascii="Times New Roman" w:hAnsi="Times New Roman" w:eastAsia="宋体" w:cstheme="majorBidi"/>
                <w:bCs/>
                <w:color w:val="FF0000"/>
                <w:kern w:val="28"/>
                <w:szCs w:val="32"/>
              </w:rPr>
              <w:t>（</w:t>
            </w:r>
            <w:r>
              <w:rPr>
                <w:rFonts w:hint="eastAsia" w:ascii="Times New Roman" w:hAnsi="Times New Roman" w:eastAsia="宋体" w:cstheme="majorBidi"/>
                <w:bCs/>
                <w:kern w:val="28"/>
                <w:szCs w:val="32"/>
              </w:rPr>
              <w:t>市政</w:t>
            </w:r>
            <w:r>
              <w:rPr>
                <w:rFonts w:ascii="Times New Roman" w:hAnsi="Times New Roman" w:eastAsia="宋体" w:cstheme="majorBidi"/>
                <w:bCs/>
                <w:kern w:val="28"/>
                <w:szCs w:val="32"/>
              </w:rPr>
              <w:t>污水管网</w:t>
            </w:r>
            <w:r>
              <w:rPr>
                <w:rFonts w:hint="eastAsia" w:ascii="Times New Roman" w:hAnsi="Times New Roman" w:eastAsia="宋体" w:cstheme="majorBidi"/>
                <w:bCs/>
                <w:kern w:val="28"/>
                <w:szCs w:val="32"/>
              </w:rPr>
              <w:t>）</w:t>
            </w:r>
          </w:p>
        </w:tc>
      </w:tr>
    </w:tbl>
    <w:p>
      <w:pPr>
        <w:adjustRightInd w:val="0"/>
        <w:snapToGrid w:val="0"/>
      </w:pPr>
      <w:r>
        <w:object>
          <v:shape id="_x0000_i1028" o:spt="75" type="#_x0000_t75" style="height:396.35pt;width:446.25pt;" o:ole="t" filled="f" o:preferrelative="t" stroked="f" coordsize="21600,21600">
            <v:path/>
            <v:fill on="f" focussize="0,0"/>
            <v:stroke on="f" joinstyle="miter"/>
            <v:imagedata r:id="rId76" o:title=""/>
            <o:lock v:ext="edit" aspectratio="t"/>
            <w10:wrap type="none"/>
            <w10:anchorlock/>
          </v:shape>
          <o:OLEObject Type="Embed" ProgID="Visio.Drawing.11" ShapeID="_x0000_i1028" DrawAspect="Content" ObjectID="_1468075728" r:id="rId75">
            <o:LockedField>false</o:LockedField>
          </o:OLEObject>
        </w:object>
      </w:r>
    </w:p>
    <w:p>
      <w:pPr>
        <w:pStyle w:val="44"/>
      </w:pPr>
      <w:r>
        <w:rPr>
          <w:rFonts w:hint="eastAsia"/>
        </w:rPr>
        <w:t>图4.</w:t>
      </w:r>
      <w:r>
        <w:t>2</w:t>
      </w:r>
      <w:r>
        <w:rPr>
          <w:rFonts w:hint="eastAsia"/>
        </w:rPr>
        <w:t>-</w:t>
      </w:r>
      <w:r>
        <w:t>2</w:t>
      </w:r>
      <w:r>
        <w:rPr>
          <w:rFonts w:hint="eastAsia"/>
        </w:rPr>
        <w:t xml:space="preserve">  非采暖期项目</w:t>
      </w:r>
      <w:r>
        <w:t>水平衡图</w:t>
      </w:r>
      <w:r>
        <w:rPr>
          <w:rFonts w:hint="eastAsia"/>
        </w:rPr>
        <w:t>（m</w:t>
      </w:r>
      <w:r>
        <w:rPr>
          <w:rFonts w:hint="eastAsia"/>
          <w:vertAlign w:val="superscript"/>
        </w:rPr>
        <w:t>3</w:t>
      </w:r>
      <w:r>
        <w:rPr>
          <w:rFonts w:hint="eastAsia"/>
        </w:rPr>
        <w:t>/d）</w:t>
      </w:r>
    </w:p>
    <w:p>
      <w:pPr>
        <w:pStyle w:val="44"/>
        <w:rPr>
          <w:highlight w:val="yellow"/>
        </w:rPr>
      </w:pPr>
    </w:p>
    <w:p>
      <w:pPr>
        <w:pStyle w:val="6"/>
      </w:pPr>
      <w:r>
        <w:rPr>
          <w:rFonts w:hint="eastAsia"/>
        </w:rPr>
        <w:t>废水水质及排水</w:t>
      </w:r>
      <w:r>
        <w:t>去向</w:t>
      </w:r>
    </w:p>
    <w:p>
      <w:pPr>
        <w:pStyle w:val="40"/>
        <w:ind w:firstLine="480"/>
        <w:rPr>
          <w:highlight w:val="yellow"/>
        </w:rPr>
      </w:pPr>
      <w:r>
        <w:rPr>
          <w:rFonts w:hint="eastAsia"/>
        </w:rPr>
        <w:t>项目放射性废水经衰变池处理，食堂含油废水经隔油池处理后进入医院自建污水处理站与</w:t>
      </w:r>
      <w:r>
        <w:t>其余门诊废水、住院废水</w:t>
      </w:r>
      <w:r>
        <w:rPr>
          <w:rFonts w:hint="eastAsia"/>
        </w:rPr>
        <w:t>、医务人员废水</w:t>
      </w:r>
      <w:r>
        <w:t>、办公</w:t>
      </w:r>
      <w:r>
        <w:rPr>
          <w:rFonts w:hint="eastAsia"/>
        </w:rPr>
        <w:t>及</w:t>
      </w:r>
      <w:r>
        <w:t>后勤人员废水</w:t>
      </w:r>
      <w:r>
        <w:rPr>
          <w:rFonts w:hint="eastAsia"/>
        </w:rPr>
        <w:t>等混合处理，</w:t>
      </w:r>
      <w:r>
        <w:rPr>
          <w:rFonts w:hint="eastAsia"/>
          <w:color w:val="000000" w:themeColor="text1"/>
          <w14:textFill>
            <w14:solidFill>
              <w14:schemeClr w14:val="tx1"/>
            </w14:solidFill>
          </w14:textFill>
        </w:rPr>
        <w:t>根据《医院污水处理工程技术规范》（HJ 2029-2013）、《医院污水处理技术指南》并</w:t>
      </w:r>
      <w:r>
        <w:rPr>
          <w:color w:val="000000" w:themeColor="text1"/>
          <w14:textFill>
            <w14:solidFill>
              <w14:schemeClr w14:val="tx1"/>
            </w14:solidFill>
          </w14:textFill>
        </w:rPr>
        <w:t>类比</w:t>
      </w:r>
      <w:r>
        <w:rPr>
          <w:rFonts w:hint="eastAsia"/>
          <w:color w:val="000000" w:themeColor="text1"/>
          <w14:textFill>
            <w14:solidFill>
              <w14:schemeClr w14:val="tx1"/>
            </w14:solidFill>
          </w14:textFill>
        </w:rPr>
        <w:t>安康市</w:t>
      </w:r>
      <w:r>
        <w:rPr>
          <w:color w:val="000000" w:themeColor="text1"/>
          <w14:textFill>
            <w14:solidFill>
              <w14:schemeClr w14:val="tx1"/>
            </w14:solidFill>
          </w14:textFill>
        </w:rPr>
        <w:t>同类</w:t>
      </w:r>
      <w:r>
        <w:rPr>
          <w:rFonts w:hint="eastAsia"/>
          <w:color w:val="000000" w:themeColor="text1"/>
          <w14:textFill>
            <w14:solidFill>
              <w14:schemeClr w14:val="tx1"/>
            </w14:solidFill>
          </w14:textFill>
        </w:rPr>
        <w:t>医院</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混合污水</w:t>
      </w:r>
      <w:r>
        <w:rPr>
          <w:color w:val="000000" w:themeColor="text1"/>
          <w14:textFill>
            <w14:solidFill>
              <w14:schemeClr w14:val="tx1"/>
            </w14:solidFill>
          </w14:textFill>
        </w:rPr>
        <w:t>处理前污染物指标浓度取值为</w:t>
      </w:r>
      <w:r>
        <w:rPr>
          <w:rFonts w:hint="eastAsia"/>
          <w:color w:val="000000" w:themeColor="text1"/>
          <w14:textFill>
            <w14:solidFill>
              <w14:schemeClr w14:val="tx1"/>
            </w14:solidFill>
          </w14:textFill>
        </w:rPr>
        <w:t>：COD</w:t>
      </w:r>
      <w:r>
        <w:rPr>
          <w:rFonts w:hint="eastAsia"/>
          <w:color w:val="000000" w:themeColor="text1"/>
          <w:vertAlign w:val="subscript"/>
          <w14:textFill>
            <w14:solidFill>
              <w14:schemeClr w14:val="tx1"/>
            </w14:solidFill>
          </w14:textFill>
        </w:rPr>
        <w:t>Cr</w:t>
      </w:r>
      <w:r>
        <w:rPr>
          <w:color w:val="000000" w:themeColor="text1"/>
          <w14:textFill>
            <w14:solidFill>
              <w14:schemeClr w14:val="tx1"/>
            </w14:solidFill>
          </w14:textFill>
        </w:rPr>
        <w:t>300</w:t>
      </w:r>
      <w:r>
        <w:rPr>
          <w:rFonts w:hint="eastAsia"/>
          <w:color w:val="000000" w:themeColor="text1"/>
          <w14:textFill>
            <w14:solidFill>
              <w14:schemeClr w14:val="tx1"/>
            </w14:solidFill>
          </w14:textFill>
        </w:rPr>
        <w:t>mg/L、BOD</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mg/L、SS</w:t>
      </w:r>
      <w:r>
        <w:rPr>
          <w:color w:val="000000" w:themeColor="text1"/>
          <w14:textFill>
            <w14:solidFill>
              <w14:schemeClr w14:val="tx1"/>
            </w14:solidFill>
          </w14:textFill>
        </w:rPr>
        <w:t>120</w:t>
      </w:r>
      <w:r>
        <w:rPr>
          <w:rFonts w:hint="eastAsia"/>
          <w:color w:val="000000" w:themeColor="text1"/>
          <w14:textFill>
            <w14:solidFill>
              <w14:schemeClr w14:val="tx1"/>
            </w14:solidFill>
          </w14:textFill>
        </w:rPr>
        <w:t>mg/L、</w:t>
      </w:r>
      <w:r>
        <w:rPr>
          <w:color w:val="000000" w:themeColor="text1"/>
          <w14:textFill>
            <w14:solidFill>
              <w14:schemeClr w14:val="tx1"/>
            </w14:solidFill>
          </w14:textFill>
        </w:rPr>
        <w:t>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mg/L、粪大肠菌群1.6×10</w:t>
      </w:r>
      <w:r>
        <w:rPr>
          <w:rFonts w:hint="eastAsia"/>
          <w:color w:val="000000" w:themeColor="text1"/>
          <w:vertAlign w:val="superscript"/>
          <w14:textFill>
            <w14:solidFill>
              <w14:schemeClr w14:val="tx1"/>
            </w14:solidFill>
          </w14:textFill>
        </w:rPr>
        <w:t>8</w:t>
      </w:r>
      <w:r>
        <w:rPr>
          <w:rFonts w:hint="eastAsia"/>
          <w:color w:val="000000" w:themeColor="text1"/>
          <w14:textFill>
            <w14:solidFill>
              <w14:schemeClr w14:val="tx1"/>
            </w14:solidFill>
          </w14:textFill>
        </w:rPr>
        <w:t>个/L 。污水处理站采用《医院污水处理工程技术规范》（HJ2009-2013）中推荐的一级强化处理工艺，具体工艺采用“混凝沉淀+</w:t>
      </w:r>
      <w:r>
        <w:rPr>
          <w:rFonts w:hint="eastAsia"/>
        </w:rPr>
        <w:t>次氯酸钠</w:t>
      </w:r>
      <w:r>
        <w:t>消毒</w:t>
      </w:r>
      <w:r>
        <w:rPr>
          <w:rFonts w:hint="eastAsia"/>
        </w:rPr>
        <w:t>”工艺</w:t>
      </w:r>
      <w:r>
        <w:t>，</w:t>
      </w:r>
      <w:r>
        <w:rPr>
          <w:rFonts w:hint="eastAsia"/>
        </w:rPr>
        <w:t xml:space="preserve">废水处理效率COD </w:t>
      </w:r>
      <w:r>
        <w:t>40</w:t>
      </w:r>
      <w:r>
        <w:rPr>
          <w:rFonts w:hint="eastAsia"/>
        </w:rPr>
        <w:t>%，BOD</w:t>
      </w:r>
      <w:r>
        <w:rPr>
          <w:vertAlign w:val="subscript"/>
        </w:rPr>
        <w:t>5</w:t>
      </w:r>
      <w:r>
        <w:rPr>
          <w:rFonts w:hint="eastAsia"/>
          <w:vertAlign w:val="subscript"/>
        </w:rPr>
        <w:t xml:space="preserve"> </w:t>
      </w:r>
      <w:r>
        <w:rPr>
          <w:rFonts w:hint="eastAsia"/>
        </w:rPr>
        <w:t>40%，氨氮</w:t>
      </w:r>
      <w:r>
        <w:t>0</w:t>
      </w:r>
      <w:r>
        <w:rPr>
          <w:rFonts w:hint="eastAsia"/>
        </w:rPr>
        <w:t xml:space="preserve">%，SS </w:t>
      </w:r>
      <w:r>
        <w:t>80</w:t>
      </w:r>
      <w:r>
        <w:rPr>
          <w:rFonts w:hint="eastAsia"/>
        </w:rPr>
        <w:t>%，</w:t>
      </w:r>
      <w:r>
        <w:t>污水处理达到</w:t>
      </w:r>
      <w:r>
        <w:rPr>
          <w:rFonts w:hint="eastAsia"/>
        </w:rPr>
        <w:t>《医疗机构水污染物排放标准》（GB18466- 2005）表2的预处理标准后，排入安康市恒口示范区污水处理厂。医院污水</w:t>
      </w:r>
      <w:r>
        <w:t>产生和排放情况见表</w:t>
      </w:r>
      <w:r>
        <w:rPr>
          <w:rFonts w:hint="eastAsia"/>
        </w:rPr>
        <w:t>4.</w:t>
      </w:r>
      <w:r>
        <w:t>2</w:t>
      </w:r>
      <w:r>
        <w:rPr>
          <w:rFonts w:hint="eastAsia"/>
        </w:rPr>
        <w:t>-</w:t>
      </w:r>
      <w:r>
        <w:t>11</w:t>
      </w:r>
      <w:r>
        <w:rPr>
          <w:rFonts w:hint="eastAsia"/>
        </w:rPr>
        <w:t>，项目医院废水</w:t>
      </w:r>
      <w:r>
        <w:t>污染物源强核算表见表4.2-12</w:t>
      </w:r>
      <w:r>
        <w:rPr>
          <w:rFonts w:hint="eastAsia"/>
        </w:rPr>
        <w:t>。</w:t>
      </w:r>
    </w:p>
    <w:p>
      <w:pPr>
        <w:pStyle w:val="22"/>
      </w:pPr>
      <w:r>
        <w:rPr>
          <w:rFonts w:hint="eastAsia"/>
        </w:rPr>
        <w:t>表</w:t>
      </w:r>
      <w:r>
        <w:t xml:space="preserve">4.2-11 </w:t>
      </w:r>
      <w:r>
        <w:rPr>
          <w:rFonts w:hint="eastAsia"/>
        </w:rPr>
        <w:t xml:space="preserve"> 项目</w:t>
      </w:r>
      <w:r>
        <w:t>污水产生和排放情况一览表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272"/>
        <w:gridCol w:w="1236"/>
        <w:gridCol w:w="1339"/>
        <w:gridCol w:w="1339"/>
        <w:gridCol w:w="1236"/>
        <w:gridCol w:w="15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Merge w:val="restart"/>
            <w:vAlign w:val="center"/>
          </w:tcPr>
          <w:p>
            <w:pPr>
              <w:adjustRightInd w:val="0"/>
              <w:snapToGrid w:val="0"/>
              <w:jc w:val="center"/>
              <w:textAlignment w:val="baseline"/>
              <w:rPr>
                <w:rFonts w:ascii="Times New Roman" w:eastAsia="宋体"/>
                <w:szCs w:val="21"/>
              </w:rPr>
            </w:pPr>
          </w:p>
        </w:tc>
        <w:tc>
          <w:tcPr>
            <w:tcW w:w="2508" w:type="dxa"/>
            <w:gridSpan w:val="2"/>
            <w:vAlign w:val="center"/>
          </w:tcPr>
          <w:p>
            <w:pPr>
              <w:adjustRightInd w:val="0"/>
              <w:snapToGrid w:val="0"/>
              <w:jc w:val="center"/>
              <w:textAlignment w:val="baseline"/>
              <w:rPr>
                <w:rFonts w:ascii="Times New Roman" w:eastAsia="宋体"/>
                <w:szCs w:val="21"/>
              </w:rPr>
            </w:pPr>
            <w:r>
              <w:rPr>
                <w:rFonts w:ascii="Times New Roman" w:eastAsia="宋体"/>
                <w:szCs w:val="21"/>
              </w:rPr>
              <w:t>产生情况</w:t>
            </w:r>
          </w:p>
        </w:tc>
        <w:tc>
          <w:tcPr>
            <w:tcW w:w="1339" w:type="dxa"/>
            <w:vMerge w:val="restart"/>
            <w:vAlign w:val="center"/>
          </w:tcPr>
          <w:p>
            <w:pPr>
              <w:adjustRightInd w:val="0"/>
              <w:snapToGrid w:val="0"/>
              <w:jc w:val="center"/>
              <w:textAlignment w:val="baseline"/>
              <w:rPr>
                <w:rFonts w:ascii="Times New Roman" w:eastAsia="宋体"/>
                <w:szCs w:val="21"/>
              </w:rPr>
            </w:pPr>
            <w:r>
              <w:rPr>
                <w:rFonts w:hint="eastAsia" w:ascii="Times New Roman" w:eastAsia="宋体"/>
                <w:szCs w:val="21"/>
              </w:rPr>
              <w:t>处理效率(%)</w:t>
            </w:r>
          </w:p>
        </w:tc>
        <w:tc>
          <w:tcPr>
            <w:tcW w:w="2575" w:type="dxa"/>
            <w:gridSpan w:val="2"/>
            <w:vAlign w:val="center"/>
          </w:tcPr>
          <w:p>
            <w:pPr>
              <w:adjustRightInd w:val="0"/>
              <w:snapToGrid w:val="0"/>
              <w:jc w:val="center"/>
              <w:textAlignment w:val="baseline"/>
              <w:rPr>
                <w:rFonts w:ascii="Times New Roman" w:eastAsia="宋体"/>
                <w:szCs w:val="21"/>
              </w:rPr>
            </w:pPr>
            <w:r>
              <w:rPr>
                <w:rFonts w:ascii="Times New Roman" w:eastAsia="宋体"/>
                <w:szCs w:val="21"/>
              </w:rPr>
              <w:t>排放情况</w:t>
            </w:r>
          </w:p>
        </w:tc>
        <w:tc>
          <w:tcPr>
            <w:tcW w:w="1517" w:type="dxa"/>
            <w:vMerge w:val="restart"/>
            <w:vAlign w:val="center"/>
          </w:tcPr>
          <w:p>
            <w:pPr>
              <w:adjustRightInd w:val="0"/>
              <w:snapToGrid w:val="0"/>
              <w:jc w:val="center"/>
              <w:textAlignment w:val="baseline"/>
              <w:rPr>
                <w:rFonts w:ascii="Times New Roman" w:eastAsia="宋体"/>
                <w:szCs w:val="21"/>
              </w:rPr>
            </w:pPr>
            <w:r>
              <w:rPr>
                <w:rFonts w:hint="eastAsia" w:ascii="Times New Roman" w:eastAsia="宋体"/>
                <w:szCs w:val="21"/>
              </w:rPr>
              <w:t>GB18466-2005中表2预处理标准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Merge w:val="continue"/>
            <w:vAlign w:val="center"/>
          </w:tcPr>
          <w:p>
            <w:pPr>
              <w:adjustRightInd w:val="0"/>
              <w:snapToGrid w:val="0"/>
              <w:jc w:val="center"/>
              <w:textAlignment w:val="baseline"/>
              <w:rPr>
                <w:rFonts w:ascii="Times New Roman" w:eastAsia="宋体"/>
                <w:szCs w:val="21"/>
              </w:rPr>
            </w:pPr>
          </w:p>
        </w:tc>
        <w:tc>
          <w:tcPr>
            <w:tcW w:w="1272" w:type="dxa"/>
            <w:vAlign w:val="center"/>
          </w:tcPr>
          <w:p>
            <w:pPr>
              <w:adjustRightInd w:val="0"/>
              <w:snapToGrid w:val="0"/>
              <w:jc w:val="center"/>
              <w:textAlignment w:val="baseline"/>
              <w:rPr>
                <w:rFonts w:ascii="Times New Roman" w:eastAsia="宋体"/>
                <w:szCs w:val="21"/>
              </w:rPr>
            </w:pPr>
            <w:r>
              <w:rPr>
                <w:rFonts w:ascii="Times New Roman" w:eastAsia="宋体"/>
                <w:szCs w:val="21"/>
              </w:rPr>
              <w:t>产生浓度</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产生量</w:t>
            </w:r>
          </w:p>
        </w:tc>
        <w:tc>
          <w:tcPr>
            <w:tcW w:w="1339" w:type="dxa"/>
            <w:vMerge w:val="continue"/>
            <w:vAlign w:val="center"/>
          </w:tcPr>
          <w:p>
            <w:pPr>
              <w:adjustRightInd w:val="0"/>
              <w:snapToGrid w:val="0"/>
              <w:jc w:val="center"/>
              <w:textAlignment w:val="baseline"/>
              <w:rPr>
                <w:rFonts w:ascii="Times New Roman" w:eastAsia="宋体"/>
                <w:szCs w:val="21"/>
              </w:rPr>
            </w:pP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排放浓度</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排放量</w:t>
            </w:r>
          </w:p>
        </w:tc>
        <w:tc>
          <w:tcPr>
            <w:tcW w:w="1517" w:type="dxa"/>
            <w:vMerge w:val="continue"/>
            <w:vAlign w:val="center"/>
          </w:tcPr>
          <w:p>
            <w:pPr>
              <w:adjustRightInd w:val="0"/>
              <w:snapToGrid w:val="0"/>
              <w:jc w:val="center"/>
              <w:textAlignment w:val="baseline"/>
              <w:rPr>
                <w:rFonts w:ascii="Times New Roman"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adjustRightInd w:val="0"/>
              <w:snapToGrid w:val="0"/>
              <w:jc w:val="center"/>
              <w:textAlignment w:val="baseline"/>
              <w:rPr>
                <w:rFonts w:ascii="Times New Roman" w:eastAsia="宋体"/>
                <w:szCs w:val="21"/>
              </w:rPr>
            </w:pPr>
            <w:r>
              <w:rPr>
                <w:rFonts w:ascii="Times New Roman" w:eastAsia="宋体"/>
                <w:szCs w:val="21"/>
              </w:rPr>
              <w:t>废水量</w:t>
            </w:r>
          </w:p>
        </w:tc>
        <w:tc>
          <w:tcPr>
            <w:tcW w:w="6422" w:type="dxa"/>
            <w:gridSpan w:val="5"/>
            <w:vAlign w:val="center"/>
          </w:tcPr>
          <w:p>
            <w:pPr>
              <w:adjustRightInd w:val="0"/>
              <w:snapToGrid w:val="0"/>
              <w:jc w:val="center"/>
              <w:textAlignment w:val="baseline"/>
              <w:rPr>
                <w:rFonts w:ascii="Times New Roman" w:eastAsia="宋体"/>
                <w:szCs w:val="21"/>
              </w:rPr>
            </w:pPr>
            <w:r>
              <w:rPr>
                <w:rFonts w:ascii="Times New Roman" w:eastAsia="宋体"/>
                <w:szCs w:val="21"/>
              </w:rPr>
              <w:t>71291.8m</w:t>
            </w:r>
            <w:r>
              <w:rPr>
                <w:rFonts w:ascii="Times New Roman" w:eastAsia="宋体"/>
                <w:szCs w:val="21"/>
                <w:vertAlign w:val="superscript"/>
              </w:rPr>
              <w:t>3</w:t>
            </w:r>
            <w:r>
              <w:rPr>
                <w:rFonts w:ascii="Times New Roman" w:eastAsia="宋体"/>
                <w:szCs w:val="21"/>
              </w:rPr>
              <w:t>/</w:t>
            </w:r>
            <w:r>
              <w:rPr>
                <w:rFonts w:hint="eastAsia" w:ascii="Times New Roman" w:eastAsia="宋体"/>
                <w:szCs w:val="21"/>
              </w:rPr>
              <w:t>a</w:t>
            </w:r>
          </w:p>
        </w:tc>
        <w:tc>
          <w:tcPr>
            <w:tcW w:w="1517" w:type="dxa"/>
            <w:vMerge w:val="continue"/>
            <w:vAlign w:val="center"/>
          </w:tcPr>
          <w:p>
            <w:pPr>
              <w:adjustRightInd w:val="0"/>
              <w:snapToGrid w:val="0"/>
              <w:jc w:val="center"/>
              <w:textAlignment w:val="baseline"/>
              <w:rPr>
                <w:rFonts w:ascii="Times New Roman" w:eastAsia="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adjustRightInd w:val="0"/>
              <w:snapToGrid w:val="0"/>
              <w:jc w:val="center"/>
              <w:textAlignment w:val="baseline"/>
              <w:rPr>
                <w:rFonts w:ascii="Times New Roman" w:eastAsia="宋体"/>
                <w:szCs w:val="21"/>
              </w:rPr>
            </w:pPr>
            <w:r>
              <w:rPr>
                <w:rFonts w:ascii="Times New Roman" w:eastAsia="宋体"/>
                <w:szCs w:val="21"/>
              </w:rPr>
              <w:t>COD</w:t>
            </w:r>
            <w:r>
              <w:rPr>
                <w:rFonts w:ascii="Times New Roman" w:eastAsia="宋体"/>
                <w:szCs w:val="21"/>
                <w:vertAlign w:val="subscript"/>
              </w:rPr>
              <w:t>Cr</w:t>
            </w:r>
          </w:p>
        </w:tc>
        <w:tc>
          <w:tcPr>
            <w:tcW w:w="1272" w:type="dxa"/>
            <w:vAlign w:val="center"/>
          </w:tcPr>
          <w:p>
            <w:pPr>
              <w:adjustRightInd w:val="0"/>
              <w:snapToGrid w:val="0"/>
              <w:jc w:val="center"/>
              <w:textAlignment w:val="baseline"/>
              <w:rPr>
                <w:rFonts w:ascii="Times New Roman" w:eastAsia="宋体"/>
                <w:szCs w:val="21"/>
              </w:rPr>
            </w:pPr>
            <w:r>
              <w:rPr>
                <w:rFonts w:ascii="Times New Roman" w:eastAsia="宋体"/>
                <w:szCs w:val="21"/>
              </w:rPr>
              <w:t>300mg/L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21.39</w:t>
            </w:r>
            <w:r>
              <w:rPr>
                <w:rFonts w:hint="eastAsia" w:ascii="Times New Roman" w:eastAsia="宋体"/>
                <w:szCs w:val="21"/>
              </w:rPr>
              <w:t>t/a</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40</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180mg/L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12.83</w:t>
            </w:r>
            <w:r>
              <w:rPr>
                <w:rFonts w:hint="eastAsia" w:ascii="Times New Roman" w:eastAsia="宋体"/>
                <w:szCs w:val="21"/>
              </w:rPr>
              <w:t>t/a</w:t>
            </w:r>
          </w:p>
        </w:tc>
        <w:tc>
          <w:tcPr>
            <w:tcW w:w="1517" w:type="dxa"/>
            <w:vAlign w:val="center"/>
          </w:tcPr>
          <w:p>
            <w:pPr>
              <w:adjustRightInd w:val="0"/>
              <w:snapToGrid w:val="0"/>
              <w:jc w:val="center"/>
              <w:textAlignment w:val="baseline"/>
              <w:rPr>
                <w:rFonts w:ascii="Times New Roman" w:eastAsia="宋体"/>
                <w:szCs w:val="21"/>
              </w:rPr>
            </w:pPr>
            <w:r>
              <w:rPr>
                <w:rFonts w:ascii="Times New Roman" w:eastAsia="宋体"/>
                <w:szCs w:val="21"/>
              </w:rPr>
              <w:t>250mg/L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adjustRightInd w:val="0"/>
              <w:snapToGrid w:val="0"/>
              <w:jc w:val="center"/>
              <w:textAlignment w:val="baseline"/>
              <w:rPr>
                <w:rFonts w:ascii="Times New Roman" w:eastAsia="宋体"/>
                <w:szCs w:val="21"/>
              </w:rPr>
            </w:pPr>
            <w:r>
              <w:rPr>
                <w:rFonts w:ascii="Times New Roman" w:eastAsia="宋体"/>
                <w:szCs w:val="21"/>
              </w:rPr>
              <w:t>BOD</w:t>
            </w:r>
            <w:r>
              <w:rPr>
                <w:rFonts w:ascii="Times New Roman" w:eastAsia="宋体"/>
                <w:szCs w:val="21"/>
                <w:vertAlign w:val="subscript"/>
              </w:rPr>
              <w:t>5</w:t>
            </w:r>
          </w:p>
        </w:tc>
        <w:tc>
          <w:tcPr>
            <w:tcW w:w="1272" w:type="dxa"/>
            <w:vAlign w:val="center"/>
          </w:tcPr>
          <w:p>
            <w:pPr>
              <w:adjustRightInd w:val="0"/>
              <w:snapToGrid w:val="0"/>
              <w:jc w:val="center"/>
              <w:textAlignment w:val="baseline"/>
              <w:rPr>
                <w:rFonts w:ascii="Times New Roman" w:eastAsia="宋体"/>
                <w:szCs w:val="21"/>
              </w:rPr>
            </w:pPr>
            <w:r>
              <w:rPr>
                <w:rFonts w:ascii="Times New Roman" w:eastAsia="宋体"/>
                <w:szCs w:val="21"/>
              </w:rPr>
              <w:t>150mg/L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10.69</w:t>
            </w:r>
            <w:r>
              <w:rPr>
                <w:rFonts w:hint="eastAsia" w:ascii="Times New Roman" w:eastAsia="宋体"/>
                <w:szCs w:val="21"/>
              </w:rPr>
              <w:t>t/a</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40</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90mg/L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6.42</w:t>
            </w:r>
            <w:r>
              <w:rPr>
                <w:rFonts w:hint="eastAsia" w:ascii="Times New Roman" w:eastAsia="宋体"/>
                <w:szCs w:val="21"/>
              </w:rPr>
              <w:t>t/a</w:t>
            </w:r>
          </w:p>
        </w:tc>
        <w:tc>
          <w:tcPr>
            <w:tcW w:w="1517" w:type="dxa"/>
            <w:vAlign w:val="center"/>
          </w:tcPr>
          <w:p>
            <w:pPr>
              <w:adjustRightInd w:val="0"/>
              <w:snapToGrid w:val="0"/>
              <w:jc w:val="center"/>
              <w:textAlignment w:val="baseline"/>
              <w:rPr>
                <w:rFonts w:ascii="Times New Roman" w:eastAsia="宋体"/>
                <w:szCs w:val="21"/>
              </w:rPr>
            </w:pPr>
            <w:r>
              <w:rPr>
                <w:rFonts w:ascii="Times New Roman" w:eastAsia="宋体"/>
                <w:szCs w:val="21"/>
              </w:rPr>
              <w:t>100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adjustRightInd w:val="0"/>
              <w:snapToGrid w:val="0"/>
              <w:jc w:val="center"/>
              <w:textAlignment w:val="baseline"/>
              <w:rPr>
                <w:rFonts w:ascii="Times New Roman" w:eastAsia="宋体"/>
                <w:szCs w:val="21"/>
              </w:rPr>
            </w:pPr>
            <w:r>
              <w:rPr>
                <w:rFonts w:ascii="Times New Roman" w:eastAsia="宋体"/>
                <w:szCs w:val="21"/>
              </w:rPr>
              <w:t>SS</w:t>
            </w:r>
          </w:p>
        </w:tc>
        <w:tc>
          <w:tcPr>
            <w:tcW w:w="1272" w:type="dxa"/>
            <w:vAlign w:val="center"/>
          </w:tcPr>
          <w:p>
            <w:pPr>
              <w:adjustRightInd w:val="0"/>
              <w:snapToGrid w:val="0"/>
              <w:jc w:val="center"/>
              <w:textAlignment w:val="baseline"/>
              <w:rPr>
                <w:rFonts w:ascii="Times New Roman" w:eastAsia="宋体"/>
                <w:szCs w:val="21"/>
              </w:rPr>
            </w:pPr>
            <w:r>
              <w:rPr>
                <w:rFonts w:ascii="Times New Roman" w:eastAsia="宋体"/>
                <w:szCs w:val="21"/>
              </w:rPr>
              <w:t>120mg/L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8.56</w:t>
            </w:r>
            <w:r>
              <w:rPr>
                <w:rFonts w:hint="eastAsia" w:ascii="Times New Roman" w:eastAsia="宋体"/>
                <w:szCs w:val="21"/>
              </w:rPr>
              <w:t>t/a</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80</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24mg/L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1.71</w:t>
            </w:r>
            <w:r>
              <w:rPr>
                <w:rFonts w:hint="eastAsia" w:ascii="Times New Roman" w:eastAsia="宋体"/>
                <w:szCs w:val="21"/>
              </w:rPr>
              <w:t>t/a</w:t>
            </w:r>
          </w:p>
        </w:tc>
        <w:tc>
          <w:tcPr>
            <w:tcW w:w="1517" w:type="dxa"/>
            <w:vAlign w:val="center"/>
          </w:tcPr>
          <w:p>
            <w:pPr>
              <w:adjustRightInd w:val="0"/>
              <w:snapToGrid w:val="0"/>
              <w:jc w:val="center"/>
              <w:textAlignment w:val="baseline"/>
              <w:rPr>
                <w:rFonts w:ascii="Times New Roman" w:eastAsia="宋体"/>
                <w:szCs w:val="21"/>
              </w:rPr>
            </w:pPr>
            <w:r>
              <w:rPr>
                <w:rFonts w:ascii="Times New Roman" w:eastAsia="宋体"/>
                <w:szCs w:val="21"/>
              </w:rPr>
              <w:t>60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jc w:val="center"/>
              <w:rPr>
                <w:rFonts w:ascii="Times New Roman" w:hAnsi="Times New Roman" w:eastAsia="宋体" w:cs="Times New Roman"/>
              </w:rPr>
            </w:pPr>
            <w:r>
              <w:rPr>
                <w:rFonts w:ascii="Times New Roman" w:hAnsi="Times New Roman" w:eastAsia="宋体" w:cs="Times New Roman"/>
              </w:rPr>
              <w:t>NH</w:t>
            </w:r>
            <w:r>
              <w:rPr>
                <w:rFonts w:ascii="Times New Roman" w:hAnsi="Times New Roman" w:eastAsia="宋体" w:cs="Times New Roman"/>
                <w:vertAlign w:val="subscript"/>
              </w:rPr>
              <w:t>3</w:t>
            </w:r>
            <w:r>
              <w:rPr>
                <w:rFonts w:ascii="Times New Roman" w:hAnsi="Times New Roman" w:eastAsia="宋体" w:cs="Times New Roman"/>
              </w:rPr>
              <w:t>-N</w:t>
            </w:r>
          </w:p>
        </w:tc>
        <w:tc>
          <w:tcPr>
            <w:tcW w:w="1272" w:type="dxa"/>
            <w:vAlign w:val="center"/>
          </w:tcPr>
          <w:p>
            <w:pPr>
              <w:adjustRightInd w:val="0"/>
              <w:snapToGrid w:val="0"/>
              <w:jc w:val="center"/>
              <w:textAlignment w:val="baseline"/>
              <w:rPr>
                <w:rFonts w:ascii="Times New Roman" w:eastAsia="宋体"/>
                <w:szCs w:val="21"/>
              </w:rPr>
            </w:pPr>
            <w:r>
              <w:rPr>
                <w:rFonts w:ascii="Times New Roman" w:eastAsia="宋体"/>
                <w:szCs w:val="21"/>
              </w:rPr>
              <w:t>30mg/L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2.14</w:t>
            </w:r>
            <w:r>
              <w:rPr>
                <w:rFonts w:hint="eastAsia" w:ascii="Times New Roman" w:eastAsia="宋体"/>
                <w:szCs w:val="21"/>
              </w:rPr>
              <w:t>t/a</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0</w:t>
            </w:r>
          </w:p>
        </w:tc>
        <w:tc>
          <w:tcPr>
            <w:tcW w:w="1339" w:type="dxa"/>
            <w:vAlign w:val="center"/>
          </w:tcPr>
          <w:p>
            <w:pPr>
              <w:adjustRightInd w:val="0"/>
              <w:snapToGrid w:val="0"/>
              <w:jc w:val="center"/>
              <w:textAlignment w:val="baseline"/>
              <w:rPr>
                <w:rFonts w:ascii="Times New Roman" w:eastAsia="宋体"/>
                <w:szCs w:val="21"/>
              </w:rPr>
            </w:pPr>
            <w:r>
              <w:rPr>
                <w:rFonts w:ascii="Times New Roman" w:eastAsia="宋体"/>
                <w:szCs w:val="21"/>
              </w:rPr>
              <w:t>30mg/L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2.14</w:t>
            </w:r>
            <w:r>
              <w:rPr>
                <w:rFonts w:hint="eastAsia" w:ascii="Times New Roman" w:eastAsia="宋体"/>
                <w:szCs w:val="21"/>
              </w:rPr>
              <w:t>t/a</w:t>
            </w:r>
          </w:p>
        </w:tc>
        <w:tc>
          <w:tcPr>
            <w:tcW w:w="1517" w:type="dxa"/>
            <w:vAlign w:val="center"/>
          </w:tcPr>
          <w:p>
            <w:pPr>
              <w:adjustRightInd w:val="0"/>
              <w:snapToGrid w:val="0"/>
              <w:jc w:val="center"/>
              <w:textAlignment w:val="baseline"/>
              <w:rPr>
                <w:rFonts w:ascii="Times New Roman" w:eastAsia="宋体"/>
                <w:szCs w:val="21"/>
              </w:rPr>
            </w:pPr>
            <w:r>
              <w:rPr>
                <w:rFonts w:ascii="Times New Roman" w:eastAsia="宋体"/>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31" w:type="dxa"/>
            <w:vAlign w:val="center"/>
          </w:tcPr>
          <w:p>
            <w:pPr>
              <w:adjustRightInd w:val="0"/>
              <w:snapToGrid w:val="0"/>
              <w:jc w:val="center"/>
              <w:textAlignment w:val="baseline"/>
              <w:rPr>
                <w:rFonts w:ascii="Times New Roman" w:eastAsia="宋体"/>
                <w:szCs w:val="21"/>
              </w:rPr>
            </w:pPr>
            <w:r>
              <w:rPr>
                <w:rFonts w:hint="eastAsia" w:ascii="Times New Roman" w:eastAsia="宋体"/>
                <w:szCs w:val="21"/>
              </w:rPr>
              <w:t>粪</w:t>
            </w:r>
            <w:r>
              <w:rPr>
                <w:rFonts w:ascii="Times New Roman" w:eastAsia="宋体"/>
                <w:szCs w:val="21"/>
              </w:rPr>
              <w:t>大肠菌群</w:t>
            </w:r>
          </w:p>
        </w:tc>
        <w:tc>
          <w:tcPr>
            <w:tcW w:w="1272" w:type="dxa"/>
            <w:vAlign w:val="center"/>
          </w:tcPr>
          <w:p>
            <w:pPr>
              <w:adjustRightInd w:val="0"/>
              <w:snapToGrid w:val="0"/>
              <w:jc w:val="center"/>
              <w:textAlignment w:val="baseline"/>
              <w:rPr>
                <w:rFonts w:ascii="Times New Roman" w:eastAsia="宋体"/>
                <w:color w:val="FF0000"/>
                <w:szCs w:val="21"/>
              </w:rPr>
            </w:pPr>
            <w:r>
              <w:rPr>
                <w:rFonts w:ascii="Times New Roman" w:eastAsia="宋体"/>
                <w:szCs w:val="21"/>
              </w:rPr>
              <w:t>1.6</w:t>
            </w:r>
            <w:r>
              <w:rPr>
                <w:rFonts w:ascii="Times New Roman" w:eastAsia="宋体"/>
                <w:snapToGrid w:val="0"/>
                <w:spacing w:val="4"/>
                <w:w w:val="90"/>
                <w:szCs w:val="21"/>
              </w:rPr>
              <w:t>×10</w:t>
            </w:r>
            <w:r>
              <w:rPr>
                <w:rFonts w:hint="eastAsia" w:ascii="Times New Roman" w:eastAsia="宋体"/>
                <w:snapToGrid w:val="0"/>
                <w:spacing w:val="4"/>
                <w:w w:val="90"/>
                <w:szCs w:val="21"/>
                <w:vertAlign w:val="superscript"/>
              </w:rPr>
              <w:t>8</w:t>
            </w:r>
            <w:r>
              <w:rPr>
                <w:rFonts w:ascii="Times New Roman" w:eastAsia="宋体"/>
                <w:szCs w:val="21"/>
              </w:rPr>
              <w:t>个/L</w:t>
            </w:r>
          </w:p>
        </w:tc>
        <w:tc>
          <w:tcPr>
            <w:tcW w:w="1236" w:type="dxa"/>
            <w:vAlign w:val="center"/>
          </w:tcPr>
          <w:p>
            <w:pPr>
              <w:adjustRightInd w:val="0"/>
              <w:snapToGrid w:val="0"/>
              <w:jc w:val="center"/>
              <w:textAlignment w:val="baseline"/>
              <w:rPr>
                <w:rFonts w:ascii="Times New Roman" w:eastAsia="宋体"/>
                <w:szCs w:val="21"/>
                <w:highlight w:val="yellow"/>
              </w:rPr>
            </w:pPr>
            <w:r>
              <w:rPr>
                <w:rFonts w:ascii="Times New Roman" w:eastAsia="宋体"/>
                <w:szCs w:val="21"/>
              </w:rPr>
              <w:t>1.14</w:t>
            </w:r>
            <w:r>
              <w:rPr>
                <w:rFonts w:ascii="Times New Roman" w:eastAsia="宋体"/>
                <w:snapToGrid w:val="0"/>
                <w:spacing w:val="4"/>
                <w:w w:val="90"/>
                <w:szCs w:val="21"/>
              </w:rPr>
              <w:t>×10</w:t>
            </w:r>
            <w:r>
              <w:rPr>
                <w:rFonts w:hint="eastAsia" w:ascii="Times New Roman" w:eastAsia="宋体"/>
                <w:snapToGrid w:val="0"/>
                <w:spacing w:val="4"/>
                <w:w w:val="90"/>
                <w:szCs w:val="21"/>
                <w:vertAlign w:val="superscript"/>
              </w:rPr>
              <w:t>14</w:t>
            </w:r>
            <w:r>
              <w:rPr>
                <w:rFonts w:ascii="Times New Roman" w:eastAsia="宋体"/>
                <w:szCs w:val="21"/>
              </w:rPr>
              <w:t>个</w:t>
            </w:r>
            <w:r>
              <w:rPr>
                <w:rFonts w:hint="eastAsia" w:ascii="Times New Roman" w:eastAsia="宋体"/>
                <w:szCs w:val="21"/>
              </w:rPr>
              <w:t>/a</w:t>
            </w:r>
          </w:p>
        </w:tc>
        <w:tc>
          <w:tcPr>
            <w:tcW w:w="1339" w:type="dxa"/>
            <w:vAlign w:val="center"/>
          </w:tcPr>
          <w:p>
            <w:pPr>
              <w:adjustRightInd w:val="0"/>
              <w:snapToGrid w:val="0"/>
              <w:jc w:val="center"/>
              <w:textAlignment w:val="baseline"/>
              <w:rPr>
                <w:rFonts w:ascii="Times New Roman" w:eastAsia="宋体"/>
                <w:szCs w:val="21"/>
              </w:rPr>
            </w:pPr>
            <w:r>
              <w:rPr>
                <w:rFonts w:hint="eastAsia" w:ascii="Times New Roman" w:eastAsia="宋体"/>
                <w:szCs w:val="21"/>
              </w:rPr>
              <w:t>9</w:t>
            </w:r>
            <w:r>
              <w:rPr>
                <w:rFonts w:ascii="Times New Roman" w:eastAsia="宋体"/>
                <w:szCs w:val="21"/>
              </w:rPr>
              <w:t>9.9</w:t>
            </w:r>
          </w:p>
        </w:tc>
        <w:tc>
          <w:tcPr>
            <w:tcW w:w="1339" w:type="dxa"/>
            <w:vAlign w:val="center"/>
          </w:tcPr>
          <w:p>
            <w:pPr>
              <w:adjustRightInd w:val="0"/>
              <w:snapToGrid w:val="0"/>
              <w:jc w:val="center"/>
              <w:textAlignment w:val="baseline"/>
              <w:rPr>
                <w:rFonts w:ascii="Times New Roman" w:eastAsia="宋体"/>
                <w:szCs w:val="21"/>
              </w:rPr>
            </w:pPr>
            <w:r>
              <w:rPr>
                <w:rFonts w:hint="eastAsia" w:ascii="Times New Roman" w:eastAsia="宋体"/>
                <w:szCs w:val="21"/>
              </w:rPr>
              <w:t>500</w:t>
            </w:r>
            <w:r>
              <w:rPr>
                <w:rFonts w:ascii="Times New Roman" w:eastAsia="宋体"/>
                <w:szCs w:val="21"/>
              </w:rPr>
              <w:t>个/L</w:t>
            </w:r>
          </w:p>
        </w:tc>
        <w:tc>
          <w:tcPr>
            <w:tcW w:w="1236" w:type="dxa"/>
            <w:vAlign w:val="center"/>
          </w:tcPr>
          <w:p>
            <w:pPr>
              <w:adjustRightInd w:val="0"/>
              <w:snapToGrid w:val="0"/>
              <w:jc w:val="center"/>
              <w:textAlignment w:val="baseline"/>
              <w:rPr>
                <w:rFonts w:ascii="Times New Roman" w:eastAsia="宋体"/>
                <w:szCs w:val="21"/>
              </w:rPr>
            </w:pPr>
            <w:r>
              <w:rPr>
                <w:rFonts w:ascii="Times New Roman" w:eastAsia="宋体"/>
                <w:szCs w:val="21"/>
              </w:rPr>
              <w:t>3.56</w:t>
            </w:r>
            <w:r>
              <w:rPr>
                <w:rFonts w:ascii="Times New Roman" w:eastAsia="宋体"/>
                <w:snapToGrid w:val="0"/>
                <w:spacing w:val="4"/>
                <w:w w:val="90"/>
                <w:szCs w:val="21"/>
              </w:rPr>
              <w:t>×10</w:t>
            </w:r>
            <w:r>
              <w:rPr>
                <w:rFonts w:ascii="Times New Roman" w:eastAsia="宋体"/>
                <w:snapToGrid w:val="0"/>
                <w:spacing w:val="4"/>
                <w:w w:val="90"/>
                <w:szCs w:val="21"/>
                <w:vertAlign w:val="superscript"/>
              </w:rPr>
              <w:t>10</w:t>
            </w:r>
            <w:r>
              <w:rPr>
                <w:rFonts w:ascii="Times New Roman" w:eastAsia="宋体"/>
                <w:szCs w:val="21"/>
              </w:rPr>
              <w:t>个</w:t>
            </w:r>
            <w:r>
              <w:rPr>
                <w:rFonts w:hint="eastAsia" w:ascii="Times New Roman" w:eastAsia="宋体"/>
                <w:szCs w:val="21"/>
              </w:rPr>
              <w:t>/a</w:t>
            </w:r>
          </w:p>
        </w:tc>
        <w:tc>
          <w:tcPr>
            <w:tcW w:w="1517" w:type="dxa"/>
            <w:vAlign w:val="center"/>
          </w:tcPr>
          <w:p>
            <w:pPr>
              <w:adjustRightInd w:val="0"/>
              <w:snapToGrid w:val="0"/>
              <w:jc w:val="center"/>
              <w:textAlignment w:val="baseline"/>
              <w:rPr>
                <w:rFonts w:ascii="Times New Roman" w:eastAsia="宋体"/>
                <w:szCs w:val="21"/>
              </w:rPr>
            </w:pPr>
            <w:r>
              <w:rPr>
                <w:rFonts w:hint="eastAsia" w:ascii="Times New Roman" w:eastAsia="宋体"/>
                <w:szCs w:val="21"/>
              </w:rPr>
              <w:t>500</w:t>
            </w:r>
            <w:r>
              <w:rPr>
                <w:rFonts w:ascii="Times New Roman" w:eastAsia="宋体"/>
                <w:szCs w:val="21"/>
              </w:rPr>
              <w:t>0</w:t>
            </w:r>
            <w:r>
              <w:rPr>
                <w:rFonts w:hint="eastAsia" w:ascii="Times New Roman" w:eastAsia="宋体"/>
                <w:szCs w:val="21"/>
              </w:rPr>
              <w:t>MPN/L</w:t>
            </w:r>
          </w:p>
        </w:tc>
      </w:tr>
    </w:tbl>
    <w:p>
      <w:pPr>
        <w:pStyle w:val="47"/>
        <w:rPr>
          <w:b/>
        </w:rPr>
      </w:pPr>
      <w:r>
        <w:rPr>
          <w:rFonts w:hint="eastAsia"/>
          <w:b/>
        </w:rPr>
        <w:t>注</w:t>
      </w:r>
      <w:r>
        <w:rPr>
          <w:b/>
        </w:rPr>
        <w:t>：NH</w:t>
      </w:r>
      <w:r>
        <w:rPr>
          <w:b/>
          <w:vertAlign w:val="subscript"/>
        </w:rPr>
        <w:t>3</w:t>
      </w:r>
      <w:r>
        <w:rPr>
          <w:b/>
        </w:rPr>
        <w:t>-N</w:t>
      </w:r>
      <w:r>
        <w:rPr>
          <w:rFonts w:hint="eastAsia"/>
          <w:b/>
        </w:rPr>
        <w:t>标准</w:t>
      </w:r>
      <w:r>
        <w:rPr>
          <w:b/>
        </w:rPr>
        <w:t>执行</w:t>
      </w:r>
      <w:r>
        <w:rPr>
          <w:rFonts w:hint="eastAsia"/>
          <w:b/>
        </w:rPr>
        <w:t>《污水排入城镇下水道水质标准》（GB/T31962-2015）</w:t>
      </w:r>
      <w:r>
        <w:rPr>
          <w:b/>
        </w:rPr>
        <w:t>B</w:t>
      </w:r>
      <w:r>
        <w:rPr>
          <w:rFonts w:hint="eastAsia"/>
          <w:b/>
        </w:rPr>
        <w:t>级标准。</w:t>
      </w:r>
    </w:p>
    <w:p>
      <w:pPr>
        <w:pStyle w:val="40"/>
        <w:ind w:firstLine="480"/>
        <w:rPr>
          <w:highlight w:val="yellow"/>
        </w:rPr>
        <w:sectPr>
          <w:headerReference r:id="rId26" w:type="default"/>
          <w:footerReference r:id="rId28" w:type="default"/>
          <w:headerReference r:id="rId27" w:type="even"/>
          <w:pgSz w:w="11906" w:h="16838"/>
          <w:pgMar w:top="1418" w:right="1418" w:bottom="1418" w:left="1588" w:header="851" w:footer="992" w:gutter="0"/>
          <w:pgNumType w:fmt="numberInDash"/>
          <w:cols w:space="425" w:num="1"/>
          <w:docGrid w:type="linesAndChars" w:linePitch="312" w:charSpace="0"/>
        </w:sectPr>
      </w:pPr>
    </w:p>
    <w:p>
      <w:pPr>
        <w:pStyle w:val="22"/>
      </w:pPr>
      <w:r>
        <w:t>表4.2-12  废水污染源源强核算结果及相关参数一览表</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5"/>
        <w:gridCol w:w="497"/>
        <w:gridCol w:w="536"/>
        <w:gridCol w:w="841"/>
        <w:gridCol w:w="665"/>
        <w:gridCol w:w="1265"/>
        <w:gridCol w:w="1091"/>
        <w:gridCol w:w="1274"/>
        <w:gridCol w:w="1265"/>
        <w:gridCol w:w="811"/>
        <w:gridCol w:w="531"/>
        <w:gridCol w:w="1146"/>
        <w:gridCol w:w="1507"/>
        <w:gridCol w:w="1107"/>
        <w:gridCol w:w="7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695"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工序/生产线</w:t>
            </w:r>
          </w:p>
        </w:tc>
        <w:tc>
          <w:tcPr>
            <w:tcW w:w="497"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装置</w:t>
            </w:r>
          </w:p>
        </w:tc>
        <w:tc>
          <w:tcPr>
            <w:tcW w:w="536"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污染源</w:t>
            </w:r>
          </w:p>
        </w:tc>
        <w:tc>
          <w:tcPr>
            <w:tcW w:w="841"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w:t>
            </w:r>
          </w:p>
        </w:tc>
        <w:tc>
          <w:tcPr>
            <w:tcW w:w="4295" w:type="dxa"/>
            <w:gridSpan w:val="4"/>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污染物产生</w:t>
            </w:r>
          </w:p>
        </w:tc>
        <w:tc>
          <w:tcPr>
            <w:tcW w:w="2076" w:type="dxa"/>
            <w:gridSpan w:val="2"/>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治理措施</w:t>
            </w:r>
          </w:p>
        </w:tc>
        <w:tc>
          <w:tcPr>
            <w:tcW w:w="4291" w:type="dxa"/>
            <w:gridSpan w:val="4"/>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污染物排放</w:t>
            </w:r>
          </w:p>
        </w:tc>
        <w:tc>
          <w:tcPr>
            <w:tcW w:w="741"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w:t>
            </w:r>
          </w:p>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时间（h）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695" w:type="dxa"/>
            <w:vMerge w:val="continue"/>
            <w:vAlign w:val="center"/>
          </w:tcPr>
          <w:p>
            <w:pPr>
              <w:adjustRightInd w:val="0"/>
              <w:snapToGrid w:val="0"/>
              <w:jc w:val="center"/>
              <w:rPr>
                <w:rFonts w:ascii="Times New Roman" w:hAnsi="Times New Roman" w:eastAsia="宋体" w:cs="Times New Roman"/>
                <w:kern w:val="0"/>
                <w:szCs w:val="21"/>
              </w:rPr>
            </w:pPr>
          </w:p>
        </w:tc>
        <w:tc>
          <w:tcPr>
            <w:tcW w:w="497" w:type="dxa"/>
            <w:vMerge w:val="continue"/>
            <w:vAlign w:val="center"/>
          </w:tcPr>
          <w:p>
            <w:pPr>
              <w:adjustRightInd w:val="0"/>
              <w:snapToGrid w:val="0"/>
              <w:jc w:val="center"/>
              <w:rPr>
                <w:rFonts w:ascii="Times New Roman" w:hAnsi="Times New Roman" w:eastAsia="宋体" w:cs="Times New Roman"/>
                <w:kern w:val="0"/>
                <w:szCs w:val="21"/>
              </w:rPr>
            </w:pPr>
          </w:p>
        </w:tc>
        <w:tc>
          <w:tcPr>
            <w:tcW w:w="536" w:type="dxa"/>
            <w:vMerge w:val="continue"/>
            <w:vAlign w:val="center"/>
          </w:tcPr>
          <w:p>
            <w:pPr>
              <w:adjustRightInd w:val="0"/>
              <w:snapToGrid w:val="0"/>
              <w:jc w:val="center"/>
              <w:rPr>
                <w:rFonts w:ascii="Times New Roman" w:hAnsi="Times New Roman" w:eastAsia="宋体" w:cs="Times New Roman"/>
                <w:kern w:val="0"/>
                <w:szCs w:val="21"/>
              </w:rPr>
            </w:pPr>
          </w:p>
        </w:tc>
        <w:tc>
          <w:tcPr>
            <w:tcW w:w="841" w:type="dxa"/>
            <w:vMerge w:val="continue"/>
            <w:vAlign w:val="center"/>
          </w:tcPr>
          <w:p>
            <w:pPr>
              <w:adjustRightInd w:val="0"/>
              <w:snapToGrid w:val="0"/>
              <w:jc w:val="center"/>
              <w:rPr>
                <w:rFonts w:ascii="Times New Roman" w:hAnsi="Times New Roman" w:eastAsia="宋体" w:cs="Times New Roman"/>
                <w:kern w:val="0"/>
                <w:szCs w:val="21"/>
              </w:rPr>
            </w:pPr>
          </w:p>
        </w:tc>
        <w:tc>
          <w:tcPr>
            <w:tcW w:w="66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核算方法</w:t>
            </w:r>
          </w:p>
        </w:tc>
        <w:tc>
          <w:tcPr>
            <w:tcW w:w="126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产生废水量（m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/a）</w:t>
            </w:r>
          </w:p>
        </w:tc>
        <w:tc>
          <w:tcPr>
            <w:tcW w:w="109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产生浓度（mg/L）</w:t>
            </w:r>
          </w:p>
        </w:tc>
        <w:tc>
          <w:tcPr>
            <w:tcW w:w="1274"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产生</w:t>
            </w:r>
            <w:r>
              <w:rPr>
                <w:rFonts w:ascii="Times New Roman" w:hAnsi="Times New Roman" w:eastAsia="宋体" w:cs="Times New Roman"/>
                <w:kern w:val="0"/>
                <w:szCs w:val="21"/>
              </w:rPr>
              <w:t>量</w:t>
            </w:r>
          </w:p>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（t/a）</w:t>
            </w:r>
          </w:p>
        </w:tc>
        <w:tc>
          <w:tcPr>
            <w:tcW w:w="1265"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工艺</w:t>
            </w:r>
          </w:p>
        </w:tc>
        <w:tc>
          <w:tcPr>
            <w:tcW w:w="81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效率（%）</w:t>
            </w:r>
          </w:p>
        </w:tc>
        <w:tc>
          <w:tcPr>
            <w:tcW w:w="53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核算方法</w:t>
            </w:r>
          </w:p>
        </w:tc>
        <w:tc>
          <w:tcPr>
            <w:tcW w:w="1146"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排放废水量（m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/a）</w:t>
            </w:r>
          </w:p>
        </w:tc>
        <w:tc>
          <w:tcPr>
            <w:tcW w:w="1507"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排放浓度（mg/L）</w:t>
            </w:r>
          </w:p>
        </w:tc>
        <w:tc>
          <w:tcPr>
            <w:tcW w:w="1107"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排放量</w:t>
            </w:r>
          </w:p>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（t/a）</w:t>
            </w:r>
          </w:p>
        </w:tc>
        <w:tc>
          <w:tcPr>
            <w:tcW w:w="741" w:type="dxa"/>
            <w:vMerge w:val="continue"/>
            <w:vAlign w:val="center"/>
          </w:tcPr>
          <w:p>
            <w:pPr>
              <w:adjustRightInd w:val="0"/>
              <w:snapToGrid w:val="0"/>
              <w:jc w:val="center"/>
              <w:rPr>
                <w:rFonts w:ascii="Times New Roman" w:hAnsi="Times New Roman" w:eastAsia="宋体" w:cs="Times New Roman"/>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5"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办公生活</w:t>
            </w:r>
            <w:r>
              <w:rPr>
                <w:rFonts w:hint="eastAsia" w:ascii="Times New Roman" w:hAnsi="Times New Roman" w:eastAsia="宋体" w:cs="Times New Roman"/>
                <w:kern w:val="0"/>
                <w:szCs w:val="21"/>
              </w:rPr>
              <w:t>、医疗</w:t>
            </w:r>
            <w:r>
              <w:rPr>
                <w:rFonts w:ascii="Times New Roman" w:hAnsi="Times New Roman" w:eastAsia="宋体" w:cs="Times New Roman"/>
                <w:kern w:val="0"/>
                <w:szCs w:val="21"/>
              </w:rPr>
              <w:t>活动</w:t>
            </w:r>
          </w:p>
        </w:tc>
        <w:tc>
          <w:tcPr>
            <w:tcW w:w="497"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污水处理站</w:t>
            </w:r>
          </w:p>
        </w:tc>
        <w:tc>
          <w:tcPr>
            <w:tcW w:w="536"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混合</w:t>
            </w:r>
            <w:r>
              <w:rPr>
                <w:rFonts w:ascii="Times New Roman" w:hAnsi="Times New Roman" w:eastAsia="宋体" w:cs="Times New Roman"/>
                <w:kern w:val="0"/>
                <w:szCs w:val="21"/>
              </w:rPr>
              <w:t>废水</w:t>
            </w:r>
          </w:p>
        </w:tc>
        <w:tc>
          <w:tcPr>
            <w:tcW w:w="84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COD</w:t>
            </w:r>
          </w:p>
        </w:tc>
        <w:tc>
          <w:tcPr>
            <w:tcW w:w="665"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类比法</w:t>
            </w:r>
          </w:p>
        </w:tc>
        <w:tc>
          <w:tcPr>
            <w:tcW w:w="1265"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71291.8</w:t>
            </w:r>
          </w:p>
        </w:tc>
        <w:tc>
          <w:tcPr>
            <w:tcW w:w="1091" w:type="dxa"/>
            <w:vAlign w:val="center"/>
          </w:tcPr>
          <w:p>
            <w:pPr>
              <w:widowControl/>
              <w:jc w:val="center"/>
              <w:rPr>
                <w:rFonts w:ascii="Times New Roman" w:hAnsi="Times New Roman" w:cs="Times New Roman"/>
                <w:szCs w:val="21"/>
              </w:rPr>
            </w:pPr>
            <w:r>
              <w:rPr>
                <w:rFonts w:ascii="Times New Roman" w:hAnsi="Times New Roman" w:cs="Times New Roman"/>
                <w:szCs w:val="21"/>
              </w:rPr>
              <w:t>300</w:t>
            </w:r>
          </w:p>
        </w:tc>
        <w:tc>
          <w:tcPr>
            <w:tcW w:w="1274" w:type="dxa"/>
            <w:vAlign w:val="center"/>
          </w:tcPr>
          <w:p>
            <w:pPr>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1.39</w:t>
            </w:r>
          </w:p>
        </w:tc>
        <w:tc>
          <w:tcPr>
            <w:tcW w:w="1265"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混凝</w:t>
            </w:r>
            <w:r>
              <w:rPr>
                <w:rFonts w:ascii="Times New Roman" w:hAnsi="Times New Roman" w:eastAsia="宋体" w:cs="Times New Roman"/>
                <w:kern w:val="0"/>
                <w:szCs w:val="21"/>
              </w:rPr>
              <w:t>沉淀</w:t>
            </w:r>
            <w:r>
              <w:rPr>
                <w:rFonts w:hint="eastAsia" w:ascii="Times New Roman" w:hAnsi="Times New Roman" w:eastAsia="宋体" w:cs="Times New Roman"/>
                <w:kern w:val="0"/>
                <w:szCs w:val="21"/>
              </w:rPr>
              <w:t>化+次氯酸钠消毒</w:t>
            </w:r>
          </w:p>
        </w:tc>
        <w:tc>
          <w:tcPr>
            <w:tcW w:w="81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531" w:type="dxa"/>
            <w:vMerge w:val="restart"/>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物料</w:t>
            </w:r>
            <w:r>
              <w:rPr>
                <w:rFonts w:ascii="Times New Roman" w:hAnsi="Times New Roman" w:eastAsia="宋体" w:cs="Times New Roman"/>
                <w:kern w:val="0"/>
                <w:szCs w:val="21"/>
              </w:rPr>
              <w:t>衡算法</w:t>
            </w:r>
          </w:p>
        </w:tc>
        <w:tc>
          <w:tcPr>
            <w:tcW w:w="1146" w:type="dxa"/>
            <w:vMerge w:val="restart"/>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71291.8</w:t>
            </w:r>
          </w:p>
        </w:tc>
        <w:tc>
          <w:tcPr>
            <w:tcW w:w="1507" w:type="dxa"/>
            <w:vAlign w:val="center"/>
          </w:tcPr>
          <w:p>
            <w:pPr>
              <w:widowControl/>
              <w:jc w:val="center"/>
              <w:rPr>
                <w:rFonts w:ascii="Times New Roman" w:hAnsi="Times New Roman" w:cs="Times New Roman"/>
                <w:szCs w:val="21"/>
              </w:rPr>
            </w:pPr>
            <w:r>
              <w:rPr>
                <w:rFonts w:ascii="Times New Roman" w:hAnsi="Times New Roman" w:cs="Times New Roman"/>
                <w:szCs w:val="21"/>
              </w:rPr>
              <w:t>180</w:t>
            </w:r>
          </w:p>
        </w:tc>
        <w:tc>
          <w:tcPr>
            <w:tcW w:w="1107" w:type="dxa"/>
            <w:vAlign w:val="center"/>
          </w:tcPr>
          <w:p>
            <w:pPr>
              <w:jc w:val="center"/>
              <w:rPr>
                <w:rFonts w:ascii="Times New Roman" w:hAnsi="Times New Roman" w:cs="Times New Roman"/>
                <w:szCs w:val="21"/>
              </w:rPr>
            </w:pPr>
            <w:r>
              <w:rPr>
                <w:rFonts w:hint="eastAsia" w:ascii="Times New Roman" w:hAnsi="Times New Roman" w:cs="Times New Roman"/>
                <w:szCs w:val="21"/>
              </w:rPr>
              <w:t>12.83</w:t>
            </w:r>
          </w:p>
        </w:tc>
        <w:tc>
          <w:tcPr>
            <w:tcW w:w="741" w:type="dxa"/>
            <w:vMerge w:val="restart"/>
            <w:vAlign w:val="center"/>
          </w:tcPr>
          <w:p>
            <w:pPr>
              <w:widowControl/>
              <w:adjustRightInd w:val="0"/>
              <w:snapToGrid w:val="0"/>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5" w:type="dxa"/>
            <w:vMerge w:val="continue"/>
            <w:vAlign w:val="center"/>
          </w:tcPr>
          <w:p>
            <w:pPr>
              <w:adjustRightInd w:val="0"/>
              <w:snapToGrid w:val="0"/>
              <w:jc w:val="center"/>
              <w:rPr>
                <w:rFonts w:ascii="Times New Roman" w:hAnsi="Times New Roman" w:eastAsia="宋体" w:cs="Times New Roman"/>
                <w:kern w:val="0"/>
                <w:szCs w:val="21"/>
              </w:rPr>
            </w:pPr>
          </w:p>
        </w:tc>
        <w:tc>
          <w:tcPr>
            <w:tcW w:w="497" w:type="dxa"/>
            <w:vMerge w:val="continue"/>
            <w:vAlign w:val="center"/>
          </w:tcPr>
          <w:p>
            <w:pPr>
              <w:adjustRightInd w:val="0"/>
              <w:snapToGrid w:val="0"/>
              <w:jc w:val="center"/>
              <w:rPr>
                <w:rFonts w:ascii="Times New Roman" w:hAnsi="Times New Roman" w:eastAsia="宋体" w:cs="Times New Roman"/>
                <w:kern w:val="0"/>
                <w:szCs w:val="21"/>
              </w:rPr>
            </w:pPr>
          </w:p>
        </w:tc>
        <w:tc>
          <w:tcPr>
            <w:tcW w:w="536" w:type="dxa"/>
            <w:vMerge w:val="continue"/>
            <w:vAlign w:val="center"/>
          </w:tcPr>
          <w:p>
            <w:pPr>
              <w:adjustRightInd w:val="0"/>
              <w:snapToGrid w:val="0"/>
              <w:jc w:val="center"/>
              <w:rPr>
                <w:rFonts w:ascii="Times New Roman" w:hAnsi="Times New Roman" w:eastAsia="宋体" w:cs="Times New Roman"/>
                <w:kern w:val="0"/>
                <w:szCs w:val="21"/>
              </w:rPr>
            </w:pPr>
          </w:p>
        </w:tc>
        <w:tc>
          <w:tcPr>
            <w:tcW w:w="841"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BOD</w:t>
            </w:r>
            <w:r>
              <w:rPr>
                <w:rFonts w:ascii="Times New Roman" w:hAnsi="Times New Roman" w:eastAsia="宋体" w:cs="Times New Roman"/>
                <w:kern w:val="0"/>
                <w:szCs w:val="21"/>
                <w:vertAlign w:val="subscript"/>
              </w:rPr>
              <w:t>5</w:t>
            </w:r>
          </w:p>
        </w:tc>
        <w:tc>
          <w:tcPr>
            <w:tcW w:w="6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2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091" w:type="dxa"/>
            <w:vAlign w:val="center"/>
          </w:tcPr>
          <w:p>
            <w:pPr>
              <w:jc w:val="center"/>
              <w:rPr>
                <w:rFonts w:ascii="Times New Roman" w:hAnsi="Times New Roman" w:cs="Times New Roman"/>
                <w:szCs w:val="21"/>
              </w:rPr>
            </w:pPr>
            <w:r>
              <w:rPr>
                <w:rFonts w:ascii="Times New Roman" w:hAnsi="Times New Roman" w:cs="Times New Roman"/>
                <w:szCs w:val="21"/>
              </w:rPr>
              <w:t>150</w:t>
            </w:r>
          </w:p>
        </w:tc>
        <w:tc>
          <w:tcPr>
            <w:tcW w:w="1274" w:type="dxa"/>
            <w:vAlign w:val="center"/>
          </w:tcPr>
          <w:p>
            <w:pPr>
              <w:jc w:val="center"/>
              <w:rPr>
                <w:rFonts w:ascii="Times New Roman" w:hAnsi="Times New Roman" w:cs="Times New Roman"/>
                <w:szCs w:val="21"/>
              </w:rPr>
            </w:pPr>
            <w:r>
              <w:rPr>
                <w:rFonts w:hint="eastAsia" w:ascii="Times New Roman" w:hAnsi="Times New Roman" w:cs="Times New Roman"/>
                <w:szCs w:val="21"/>
              </w:rPr>
              <w:t>10.69</w:t>
            </w:r>
          </w:p>
        </w:tc>
        <w:tc>
          <w:tcPr>
            <w:tcW w:w="1265" w:type="dxa"/>
            <w:vMerge w:val="continue"/>
            <w:vAlign w:val="center"/>
          </w:tcPr>
          <w:p>
            <w:pPr>
              <w:adjustRightInd w:val="0"/>
              <w:snapToGrid w:val="0"/>
              <w:ind w:firstLine="420" w:firstLineChars="200"/>
              <w:jc w:val="center"/>
              <w:rPr>
                <w:rFonts w:ascii="Times New Roman" w:hAnsi="Times New Roman" w:eastAsia="宋体" w:cs="Times New Roman"/>
                <w:kern w:val="0"/>
                <w:szCs w:val="21"/>
              </w:rPr>
            </w:pPr>
          </w:p>
        </w:tc>
        <w:tc>
          <w:tcPr>
            <w:tcW w:w="81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531"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146"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507" w:type="dxa"/>
            <w:vAlign w:val="center"/>
          </w:tcPr>
          <w:p>
            <w:pPr>
              <w:jc w:val="center"/>
              <w:rPr>
                <w:rFonts w:ascii="Times New Roman" w:hAnsi="Times New Roman" w:cs="Times New Roman"/>
                <w:szCs w:val="21"/>
              </w:rPr>
            </w:pPr>
            <w:r>
              <w:rPr>
                <w:rFonts w:ascii="Times New Roman" w:hAnsi="Times New Roman" w:cs="Times New Roman"/>
                <w:szCs w:val="21"/>
              </w:rPr>
              <w:t>90</w:t>
            </w:r>
          </w:p>
        </w:tc>
        <w:tc>
          <w:tcPr>
            <w:tcW w:w="1107" w:type="dxa"/>
            <w:vAlign w:val="center"/>
          </w:tcPr>
          <w:p>
            <w:pPr>
              <w:jc w:val="center"/>
              <w:rPr>
                <w:rFonts w:ascii="Times New Roman" w:hAnsi="Times New Roman" w:cs="Times New Roman"/>
                <w:szCs w:val="21"/>
              </w:rPr>
            </w:pPr>
            <w:r>
              <w:rPr>
                <w:rFonts w:hint="eastAsia" w:ascii="Times New Roman" w:hAnsi="Times New Roman" w:cs="Times New Roman"/>
                <w:szCs w:val="21"/>
              </w:rPr>
              <w:t>6.42</w:t>
            </w:r>
          </w:p>
        </w:tc>
        <w:tc>
          <w:tcPr>
            <w:tcW w:w="741" w:type="dxa"/>
            <w:vMerge w:val="continue"/>
            <w:vAlign w:val="center"/>
          </w:tcPr>
          <w:p>
            <w:pPr>
              <w:widowControl/>
              <w:adjustRightInd w:val="0"/>
              <w:snapToGrid w:val="0"/>
              <w:ind w:firstLine="420" w:firstLineChars="200"/>
              <w:jc w:val="center"/>
              <w:rPr>
                <w:rFonts w:ascii="Times New Roman" w:hAnsi="Times New Roman" w:eastAsia="宋体" w:cs="Times New Roman"/>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5" w:type="dxa"/>
            <w:vMerge w:val="continue"/>
            <w:vAlign w:val="center"/>
          </w:tcPr>
          <w:p>
            <w:pPr>
              <w:adjustRightInd w:val="0"/>
              <w:snapToGrid w:val="0"/>
              <w:jc w:val="center"/>
              <w:rPr>
                <w:rFonts w:ascii="Times New Roman" w:hAnsi="Times New Roman" w:eastAsia="宋体" w:cs="Times New Roman"/>
                <w:kern w:val="0"/>
                <w:szCs w:val="21"/>
              </w:rPr>
            </w:pPr>
          </w:p>
        </w:tc>
        <w:tc>
          <w:tcPr>
            <w:tcW w:w="497" w:type="dxa"/>
            <w:vMerge w:val="continue"/>
            <w:vAlign w:val="center"/>
          </w:tcPr>
          <w:p>
            <w:pPr>
              <w:adjustRightInd w:val="0"/>
              <w:snapToGrid w:val="0"/>
              <w:jc w:val="center"/>
              <w:rPr>
                <w:rFonts w:ascii="Times New Roman" w:hAnsi="Times New Roman" w:eastAsia="宋体" w:cs="Times New Roman"/>
                <w:kern w:val="0"/>
                <w:szCs w:val="21"/>
              </w:rPr>
            </w:pPr>
          </w:p>
        </w:tc>
        <w:tc>
          <w:tcPr>
            <w:tcW w:w="536" w:type="dxa"/>
            <w:vMerge w:val="continue"/>
            <w:vAlign w:val="center"/>
          </w:tcPr>
          <w:p>
            <w:pPr>
              <w:adjustRightInd w:val="0"/>
              <w:snapToGrid w:val="0"/>
              <w:jc w:val="center"/>
              <w:rPr>
                <w:rFonts w:ascii="Times New Roman" w:hAnsi="Times New Roman" w:eastAsia="宋体" w:cs="Times New Roman"/>
                <w:kern w:val="0"/>
                <w:szCs w:val="21"/>
              </w:rPr>
            </w:pPr>
          </w:p>
        </w:tc>
        <w:tc>
          <w:tcPr>
            <w:tcW w:w="84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SS</w:t>
            </w:r>
          </w:p>
        </w:tc>
        <w:tc>
          <w:tcPr>
            <w:tcW w:w="6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2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091" w:type="dxa"/>
            <w:vAlign w:val="center"/>
          </w:tcPr>
          <w:p>
            <w:pPr>
              <w:jc w:val="center"/>
              <w:rPr>
                <w:rFonts w:ascii="Times New Roman" w:hAnsi="Times New Roman" w:cs="Times New Roman"/>
                <w:szCs w:val="21"/>
              </w:rPr>
            </w:pPr>
            <w:r>
              <w:rPr>
                <w:rFonts w:ascii="Times New Roman" w:hAnsi="Times New Roman" w:cs="Times New Roman"/>
                <w:szCs w:val="21"/>
              </w:rPr>
              <w:t>120</w:t>
            </w:r>
          </w:p>
        </w:tc>
        <w:tc>
          <w:tcPr>
            <w:tcW w:w="1274" w:type="dxa"/>
            <w:vAlign w:val="center"/>
          </w:tcPr>
          <w:p>
            <w:pPr>
              <w:jc w:val="center"/>
              <w:rPr>
                <w:rFonts w:ascii="Times New Roman" w:hAnsi="Times New Roman" w:cs="Times New Roman"/>
                <w:szCs w:val="21"/>
              </w:rPr>
            </w:pPr>
            <w:r>
              <w:rPr>
                <w:rFonts w:hint="eastAsia" w:ascii="Times New Roman" w:hAnsi="Times New Roman" w:cs="Times New Roman"/>
                <w:szCs w:val="21"/>
              </w:rPr>
              <w:t>8.56</w:t>
            </w:r>
          </w:p>
        </w:tc>
        <w:tc>
          <w:tcPr>
            <w:tcW w:w="1265" w:type="dxa"/>
            <w:vMerge w:val="continue"/>
            <w:vAlign w:val="center"/>
          </w:tcPr>
          <w:p>
            <w:pPr>
              <w:adjustRightInd w:val="0"/>
              <w:snapToGrid w:val="0"/>
              <w:ind w:firstLine="420" w:firstLineChars="200"/>
              <w:jc w:val="center"/>
              <w:rPr>
                <w:rFonts w:ascii="Times New Roman" w:hAnsi="Times New Roman" w:eastAsia="宋体" w:cs="Times New Roman"/>
                <w:kern w:val="0"/>
                <w:szCs w:val="21"/>
              </w:rPr>
            </w:pPr>
          </w:p>
        </w:tc>
        <w:tc>
          <w:tcPr>
            <w:tcW w:w="811"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80</w:t>
            </w:r>
          </w:p>
        </w:tc>
        <w:tc>
          <w:tcPr>
            <w:tcW w:w="531"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146"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507" w:type="dxa"/>
            <w:vAlign w:val="center"/>
          </w:tcPr>
          <w:p>
            <w:pPr>
              <w:jc w:val="center"/>
              <w:rPr>
                <w:rFonts w:ascii="Times New Roman" w:hAnsi="Times New Roman" w:cs="Times New Roman"/>
                <w:szCs w:val="21"/>
              </w:rPr>
            </w:pPr>
            <w:r>
              <w:rPr>
                <w:rFonts w:ascii="Times New Roman" w:hAnsi="Times New Roman" w:cs="Times New Roman"/>
                <w:szCs w:val="21"/>
              </w:rPr>
              <w:t>24</w:t>
            </w:r>
          </w:p>
        </w:tc>
        <w:tc>
          <w:tcPr>
            <w:tcW w:w="1107" w:type="dxa"/>
            <w:vAlign w:val="center"/>
          </w:tcPr>
          <w:p>
            <w:pPr>
              <w:jc w:val="center"/>
              <w:rPr>
                <w:rFonts w:ascii="Times New Roman" w:hAnsi="Times New Roman" w:cs="Times New Roman"/>
                <w:szCs w:val="21"/>
              </w:rPr>
            </w:pPr>
            <w:r>
              <w:rPr>
                <w:rFonts w:hint="eastAsia" w:ascii="Times New Roman" w:hAnsi="Times New Roman" w:cs="Times New Roman"/>
                <w:szCs w:val="21"/>
              </w:rPr>
              <w:t>1.71</w:t>
            </w:r>
          </w:p>
        </w:tc>
        <w:tc>
          <w:tcPr>
            <w:tcW w:w="741" w:type="dxa"/>
            <w:vMerge w:val="continue"/>
            <w:vAlign w:val="center"/>
          </w:tcPr>
          <w:p>
            <w:pPr>
              <w:widowControl/>
              <w:adjustRightInd w:val="0"/>
              <w:snapToGrid w:val="0"/>
              <w:ind w:firstLine="420" w:firstLineChars="200"/>
              <w:jc w:val="center"/>
              <w:rPr>
                <w:rFonts w:ascii="Times New Roman" w:hAnsi="Times New Roman" w:eastAsia="宋体" w:cs="Times New Roman"/>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5" w:type="dxa"/>
            <w:vMerge w:val="continue"/>
            <w:vAlign w:val="center"/>
          </w:tcPr>
          <w:p>
            <w:pPr>
              <w:adjustRightInd w:val="0"/>
              <w:snapToGrid w:val="0"/>
              <w:jc w:val="center"/>
              <w:rPr>
                <w:rFonts w:ascii="Times New Roman" w:hAnsi="Times New Roman" w:eastAsia="宋体" w:cs="Times New Roman"/>
                <w:kern w:val="0"/>
                <w:szCs w:val="21"/>
              </w:rPr>
            </w:pPr>
          </w:p>
        </w:tc>
        <w:tc>
          <w:tcPr>
            <w:tcW w:w="497" w:type="dxa"/>
            <w:vMerge w:val="continue"/>
            <w:vAlign w:val="center"/>
          </w:tcPr>
          <w:p>
            <w:pPr>
              <w:adjustRightInd w:val="0"/>
              <w:snapToGrid w:val="0"/>
              <w:jc w:val="center"/>
              <w:rPr>
                <w:rFonts w:ascii="Times New Roman" w:hAnsi="Times New Roman" w:eastAsia="宋体" w:cs="Times New Roman"/>
                <w:kern w:val="0"/>
                <w:szCs w:val="21"/>
              </w:rPr>
            </w:pPr>
          </w:p>
        </w:tc>
        <w:tc>
          <w:tcPr>
            <w:tcW w:w="536" w:type="dxa"/>
            <w:vMerge w:val="continue"/>
            <w:vAlign w:val="center"/>
          </w:tcPr>
          <w:p>
            <w:pPr>
              <w:adjustRightInd w:val="0"/>
              <w:snapToGrid w:val="0"/>
              <w:jc w:val="center"/>
              <w:rPr>
                <w:rFonts w:ascii="Times New Roman" w:hAnsi="Times New Roman" w:eastAsia="宋体" w:cs="Times New Roman"/>
                <w:kern w:val="0"/>
                <w:szCs w:val="21"/>
              </w:rPr>
            </w:pPr>
          </w:p>
        </w:tc>
        <w:tc>
          <w:tcPr>
            <w:tcW w:w="84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NH</w:t>
            </w:r>
            <w:r>
              <w:rPr>
                <w:rFonts w:ascii="Times New Roman" w:hAnsi="Times New Roman" w:eastAsia="宋体" w:cs="Times New Roman"/>
                <w:kern w:val="0"/>
                <w:szCs w:val="21"/>
                <w:vertAlign w:val="subscript"/>
              </w:rPr>
              <w:t>3</w:t>
            </w:r>
            <w:r>
              <w:rPr>
                <w:rFonts w:ascii="Times New Roman" w:hAnsi="Times New Roman" w:eastAsia="宋体" w:cs="Times New Roman"/>
                <w:kern w:val="0"/>
                <w:szCs w:val="21"/>
              </w:rPr>
              <w:t>-N</w:t>
            </w:r>
          </w:p>
        </w:tc>
        <w:tc>
          <w:tcPr>
            <w:tcW w:w="6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2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091" w:type="dxa"/>
            <w:vAlign w:val="center"/>
          </w:tcPr>
          <w:p>
            <w:pPr>
              <w:jc w:val="center"/>
              <w:rPr>
                <w:rFonts w:ascii="Times New Roman" w:hAnsi="Times New Roman" w:cs="Times New Roman"/>
                <w:szCs w:val="21"/>
              </w:rPr>
            </w:pPr>
            <w:r>
              <w:rPr>
                <w:rFonts w:ascii="Times New Roman" w:hAnsi="Times New Roman" w:cs="Times New Roman"/>
                <w:szCs w:val="21"/>
              </w:rPr>
              <w:t>30</w:t>
            </w:r>
          </w:p>
        </w:tc>
        <w:tc>
          <w:tcPr>
            <w:tcW w:w="1274" w:type="dxa"/>
            <w:vAlign w:val="center"/>
          </w:tcPr>
          <w:p>
            <w:pPr>
              <w:jc w:val="center"/>
              <w:rPr>
                <w:rFonts w:ascii="Times New Roman" w:hAnsi="Times New Roman" w:cs="Times New Roman"/>
                <w:szCs w:val="21"/>
              </w:rPr>
            </w:pPr>
            <w:r>
              <w:rPr>
                <w:rFonts w:hint="eastAsia" w:ascii="Times New Roman" w:hAnsi="Times New Roman" w:cs="Times New Roman"/>
                <w:szCs w:val="21"/>
              </w:rPr>
              <w:t>2.14</w:t>
            </w:r>
          </w:p>
        </w:tc>
        <w:tc>
          <w:tcPr>
            <w:tcW w:w="1265" w:type="dxa"/>
            <w:vMerge w:val="continue"/>
            <w:vAlign w:val="center"/>
          </w:tcPr>
          <w:p>
            <w:pPr>
              <w:adjustRightInd w:val="0"/>
              <w:snapToGrid w:val="0"/>
              <w:ind w:firstLine="420" w:firstLineChars="200"/>
              <w:jc w:val="center"/>
              <w:rPr>
                <w:rFonts w:ascii="Times New Roman" w:hAnsi="Times New Roman" w:eastAsia="宋体" w:cs="Times New Roman"/>
                <w:kern w:val="0"/>
                <w:szCs w:val="21"/>
              </w:rPr>
            </w:pPr>
          </w:p>
        </w:tc>
        <w:tc>
          <w:tcPr>
            <w:tcW w:w="811" w:type="dxa"/>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0</w:t>
            </w:r>
          </w:p>
        </w:tc>
        <w:tc>
          <w:tcPr>
            <w:tcW w:w="531"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146"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507" w:type="dxa"/>
            <w:vAlign w:val="center"/>
          </w:tcPr>
          <w:p>
            <w:pPr>
              <w:jc w:val="center"/>
              <w:rPr>
                <w:rFonts w:ascii="Times New Roman" w:hAnsi="Times New Roman" w:cs="Times New Roman"/>
                <w:szCs w:val="21"/>
              </w:rPr>
            </w:pPr>
            <w:r>
              <w:rPr>
                <w:rFonts w:ascii="Times New Roman" w:hAnsi="Times New Roman" w:cs="Times New Roman"/>
                <w:szCs w:val="21"/>
              </w:rPr>
              <w:t>30</w:t>
            </w:r>
          </w:p>
        </w:tc>
        <w:tc>
          <w:tcPr>
            <w:tcW w:w="1107" w:type="dxa"/>
            <w:vAlign w:val="center"/>
          </w:tcPr>
          <w:p>
            <w:pPr>
              <w:jc w:val="center"/>
              <w:rPr>
                <w:rFonts w:ascii="Times New Roman" w:hAnsi="Times New Roman" w:cs="Times New Roman"/>
                <w:szCs w:val="21"/>
              </w:rPr>
            </w:pPr>
            <w:r>
              <w:rPr>
                <w:rFonts w:hint="eastAsia" w:ascii="Times New Roman" w:hAnsi="Times New Roman" w:cs="Times New Roman"/>
                <w:szCs w:val="21"/>
              </w:rPr>
              <w:t>2.14</w:t>
            </w:r>
          </w:p>
        </w:tc>
        <w:tc>
          <w:tcPr>
            <w:tcW w:w="741" w:type="dxa"/>
            <w:vMerge w:val="continue"/>
            <w:vAlign w:val="center"/>
          </w:tcPr>
          <w:p>
            <w:pPr>
              <w:widowControl/>
              <w:adjustRightInd w:val="0"/>
              <w:snapToGrid w:val="0"/>
              <w:ind w:firstLine="420" w:firstLineChars="200"/>
              <w:jc w:val="center"/>
              <w:rPr>
                <w:rFonts w:ascii="Times New Roman" w:hAnsi="Times New Roman" w:eastAsia="宋体" w:cs="Times New Roman"/>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695" w:type="dxa"/>
            <w:vMerge w:val="continue"/>
            <w:vAlign w:val="center"/>
          </w:tcPr>
          <w:p>
            <w:pPr>
              <w:adjustRightInd w:val="0"/>
              <w:snapToGrid w:val="0"/>
              <w:jc w:val="center"/>
              <w:rPr>
                <w:rFonts w:ascii="Times New Roman" w:hAnsi="Times New Roman" w:eastAsia="宋体" w:cs="Times New Roman"/>
                <w:kern w:val="0"/>
                <w:szCs w:val="21"/>
              </w:rPr>
            </w:pPr>
          </w:p>
        </w:tc>
        <w:tc>
          <w:tcPr>
            <w:tcW w:w="497" w:type="dxa"/>
            <w:vMerge w:val="continue"/>
            <w:vAlign w:val="center"/>
          </w:tcPr>
          <w:p>
            <w:pPr>
              <w:adjustRightInd w:val="0"/>
              <w:snapToGrid w:val="0"/>
              <w:jc w:val="center"/>
              <w:rPr>
                <w:rFonts w:ascii="Times New Roman" w:hAnsi="Times New Roman" w:eastAsia="宋体" w:cs="Times New Roman"/>
                <w:kern w:val="0"/>
                <w:szCs w:val="21"/>
              </w:rPr>
            </w:pPr>
          </w:p>
        </w:tc>
        <w:tc>
          <w:tcPr>
            <w:tcW w:w="536" w:type="dxa"/>
            <w:vMerge w:val="continue"/>
            <w:vAlign w:val="center"/>
          </w:tcPr>
          <w:p>
            <w:pPr>
              <w:adjustRightInd w:val="0"/>
              <w:snapToGrid w:val="0"/>
              <w:jc w:val="center"/>
              <w:rPr>
                <w:rFonts w:ascii="Times New Roman" w:hAnsi="Times New Roman" w:eastAsia="宋体" w:cs="Times New Roman"/>
                <w:kern w:val="0"/>
                <w:szCs w:val="21"/>
              </w:rPr>
            </w:pPr>
          </w:p>
        </w:tc>
        <w:tc>
          <w:tcPr>
            <w:tcW w:w="841"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粪大肠</w:t>
            </w:r>
            <w:r>
              <w:rPr>
                <w:rFonts w:ascii="Times New Roman" w:hAnsi="Times New Roman" w:eastAsia="宋体" w:cs="Times New Roman"/>
                <w:kern w:val="0"/>
                <w:szCs w:val="21"/>
              </w:rPr>
              <w:t>菌群</w:t>
            </w:r>
          </w:p>
        </w:tc>
        <w:tc>
          <w:tcPr>
            <w:tcW w:w="6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265" w:type="dxa"/>
            <w:vMerge w:val="continue"/>
            <w:vAlign w:val="center"/>
          </w:tcPr>
          <w:p>
            <w:pPr>
              <w:adjustRightInd w:val="0"/>
              <w:snapToGrid w:val="0"/>
              <w:jc w:val="center"/>
              <w:rPr>
                <w:rFonts w:ascii="Times New Roman" w:hAnsi="Times New Roman" w:eastAsia="宋体" w:cs="Times New Roman"/>
                <w:kern w:val="0"/>
                <w:szCs w:val="21"/>
                <w:highlight w:val="yellow"/>
              </w:rPr>
            </w:pPr>
          </w:p>
        </w:tc>
        <w:tc>
          <w:tcPr>
            <w:tcW w:w="1091" w:type="dxa"/>
            <w:vAlign w:val="center"/>
          </w:tcPr>
          <w:p>
            <w:pPr>
              <w:adjustRightInd w:val="0"/>
              <w:snapToGrid w:val="0"/>
              <w:jc w:val="center"/>
              <w:rPr>
                <w:rFonts w:ascii="Times New Roman" w:hAnsi="Times New Roman" w:eastAsia="宋体" w:cs="Times New Roman"/>
                <w:kern w:val="0"/>
                <w:szCs w:val="21"/>
              </w:rPr>
            </w:pPr>
            <w:r>
              <w:rPr>
                <w:rFonts w:ascii="Times New Roman" w:eastAsia="宋体"/>
                <w:szCs w:val="21"/>
              </w:rPr>
              <w:t>1.6</w:t>
            </w:r>
            <w:r>
              <w:rPr>
                <w:rFonts w:ascii="Times New Roman" w:eastAsia="宋体"/>
                <w:snapToGrid w:val="0"/>
                <w:spacing w:val="4"/>
                <w:w w:val="90"/>
                <w:szCs w:val="21"/>
              </w:rPr>
              <w:t>×10</w:t>
            </w:r>
            <w:r>
              <w:rPr>
                <w:rFonts w:hint="eastAsia" w:ascii="Times New Roman" w:eastAsia="宋体"/>
                <w:snapToGrid w:val="0"/>
                <w:spacing w:val="4"/>
                <w:w w:val="90"/>
                <w:szCs w:val="21"/>
                <w:vertAlign w:val="superscript"/>
              </w:rPr>
              <w:t>8</w:t>
            </w:r>
            <w:r>
              <w:rPr>
                <w:rFonts w:ascii="Times New Roman" w:eastAsia="宋体"/>
                <w:szCs w:val="21"/>
              </w:rPr>
              <w:t>个/L</w:t>
            </w:r>
          </w:p>
        </w:tc>
        <w:tc>
          <w:tcPr>
            <w:tcW w:w="1274" w:type="dxa"/>
          </w:tcPr>
          <w:p>
            <w:pPr>
              <w:pStyle w:val="47"/>
              <w:rPr>
                <w:color w:val="FF0000"/>
                <w:highlight w:val="yellow"/>
              </w:rPr>
            </w:pPr>
            <w:r>
              <w:t>1.14×10</w:t>
            </w:r>
            <w:r>
              <w:rPr>
                <w:rFonts w:hint="eastAsia"/>
                <w:vertAlign w:val="superscript"/>
              </w:rPr>
              <w:t>14</w:t>
            </w:r>
            <w:r>
              <w:t>个</w:t>
            </w:r>
            <w:r>
              <w:rPr>
                <w:rFonts w:hint="eastAsia"/>
              </w:rPr>
              <w:t>/a</w:t>
            </w:r>
          </w:p>
        </w:tc>
        <w:tc>
          <w:tcPr>
            <w:tcW w:w="1265" w:type="dxa"/>
            <w:vMerge w:val="continue"/>
            <w:vAlign w:val="center"/>
          </w:tcPr>
          <w:p>
            <w:pPr>
              <w:adjustRightInd w:val="0"/>
              <w:snapToGrid w:val="0"/>
              <w:ind w:firstLine="420" w:firstLineChars="200"/>
              <w:jc w:val="center"/>
              <w:rPr>
                <w:rFonts w:ascii="Times New Roman" w:hAnsi="Times New Roman" w:eastAsia="宋体" w:cs="Times New Roman"/>
                <w:kern w:val="0"/>
                <w:szCs w:val="21"/>
              </w:rPr>
            </w:pPr>
          </w:p>
        </w:tc>
        <w:tc>
          <w:tcPr>
            <w:tcW w:w="811"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99.9</w:t>
            </w:r>
            <w:r>
              <w:rPr>
                <w:rFonts w:ascii="Times New Roman" w:hAnsi="Times New Roman" w:eastAsia="宋体" w:cs="Times New Roman"/>
                <w:kern w:val="0"/>
                <w:szCs w:val="21"/>
              </w:rPr>
              <w:t>9</w:t>
            </w:r>
          </w:p>
        </w:tc>
        <w:tc>
          <w:tcPr>
            <w:tcW w:w="531"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146" w:type="dxa"/>
            <w:vMerge w:val="continue"/>
            <w:vAlign w:val="center"/>
          </w:tcPr>
          <w:p>
            <w:pPr>
              <w:adjustRightInd w:val="0"/>
              <w:snapToGrid w:val="0"/>
              <w:ind w:firstLine="420" w:firstLineChars="200"/>
              <w:jc w:val="center"/>
              <w:rPr>
                <w:rFonts w:ascii="Times New Roman" w:hAnsi="Times New Roman" w:eastAsia="宋体" w:cs="Times New Roman"/>
                <w:kern w:val="0"/>
                <w:szCs w:val="21"/>
                <w:highlight w:val="yellow"/>
              </w:rPr>
            </w:pPr>
          </w:p>
        </w:tc>
        <w:tc>
          <w:tcPr>
            <w:tcW w:w="1507"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500个/</w:t>
            </w:r>
            <w:r>
              <w:rPr>
                <w:rFonts w:ascii="Times New Roman" w:hAnsi="Times New Roman" w:eastAsia="宋体" w:cs="Times New Roman"/>
                <w:kern w:val="0"/>
                <w:szCs w:val="21"/>
              </w:rPr>
              <w:t>L</w:t>
            </w:r>
          </w:p>
        </w:tc>
        <w:tc>
          <w:tcPr>
            <w:tcW w:w="1107" w:type="dxa"/>
          </w:tcPr>
          <w:p>
            <w:pPr>
              <w:pStyle w:val="47"/>
            </w:pPr>
            <w:r>
              <w:rPr>
                <w:szCs w:val="21"/>
              </w:rPr>
              <w:t>3.56</w:t>
            </w:r>
            <w:r>
              <w:rPr>
                <w:snapToGrid w:val="0"/>
                <w:spacing w:val="4"/>
                <w:w w:val="90"/>
                <w:szCs w:val="21"/>
              </w:rPr>
              <w:t>×10</w:t>
            </w:r>
            <w:r>
              <w:rPr>
                <w:snapToGrid w:val="0"/>
                <w:spacing w:val="4"/>
                <w:w w:val="90"/>
                <w:szCs w:val="21"/>
                <w:vertAlign w:val="superscript"/>
              </w:rPr>
              <w:t>10</w:t>
            </w:r>
            <w:r>
              <w:rPr>
                <w:szCs w:val="21"/>
              </w:rPr>
              <w:t>个</w:t>
            </w:r>
            <w:r>
              <w:rPr>
                <w:rFonts w:hint="eastAsia"/>
                <w:szCs w:val="21"/>
              </w:rPr>
              <w:t>/a</w:t>
            </w:r>
          </w:p>
        </w:tc>
        <w:tc>
          <w:tcPr>
            <w:tcW w:w="741" w:type="dxa"/>
            <w:vMerge w:val="continue"/>
            <w:vAlign w:val="center"/>
          </w:tcPr>
          <w:p>
            <w:pPr>
              <w:widowControl/>
              <w:adjustRightInd w:val="0"/>
              <w:snapToGrid w:val="0"/>
              <w:ind w:firstLine="420" w:firstLineChars="200"/>
              <w:jc w:val="center"/>
              <w:rPr>
                <w:rFonts w:ascii="Times New Roman" w:hAnsi="Times New Roman" w:eastAsia="宋体" w:cs="Times New Roman"/>
                <w:kern w:val="0"/>
                <w:szCs w:val="21"/>
                <w:highlight w:val="yellow"/>
              </w:rPr>
            </w:pPr>
          </w:p>
        </w:tc>
      </w:tr>
    </w:tbl>
    <w:p>
      <w:pPr>
        <w:pStyle w:val="40"/>
        <w:ind w:firstLine="480"/>
        <w:rPr>
          <w:highlight w:val="yellow"/>
        </w:rPr>
      </w:pPr>
    </w:p>
    <w:p>
      <w:pPr>
        <w:pStyle w:val="40"/>
        <w:ind w:firstLine="480"/>
        <w:rPr>
          <w:highlight w:val="yellow"/>
        </w:rPr>
      </w:pPr>
    </w:p>
    <w:p>
      <w:pPr>
        <w:pStyle w:val="40"/>
        <w:ind w:firstLine="480"/>
        <w:rPr>
          <w:highlight w:val="yellow"/>
        </w:rPr>
        <w:sectPr>
          <w:headerReference r:id="rId29" w:type="default"/>
          <w:headerReference r:id="rId30" w:type="even"/>
          <w:pgSz w:w="16838" w:h="11906" w:orient="landscape"/>
          <w:pgMar w:top="1588" w:right="1418" w:bottom="1418" w:left="1418" w:header="851" w:footer="992" w:gutter="0"/>
          <w:pgNumType w:fmt="numberInDash"/>
          <w:cols w:space="425" w:num="1"/>
          <w:docGrid w:type="linesAndChars" w:linePitch="312" w:charSpace="0"/>
        </w:sectPr>
      </w:pPr>
    </w:p>
    <w:p>
      <w:pPr>
        <w:pStyle w:val="5"/>
      </w:pPr>
      <w:r>
        <w:rPr>
          <w:rFonts w:hint="eastAsia"/>
        </w:rPr>
        <w:t>噪声</w:t>
      </w:r>
      <w:r>
        <w:t>污染源</w:t>
      </w:r>
    </w:p>
    <w:p>
      <w:pPr>
        <w:pStyle w:val="40"/>
        <w:ind w:firstLine="480"/>
      </w:pPr>
      <w:r>
        <w:t>本项目营运期产生噪声的主要机械设备有</w:t>
      </w:r>
      <w:r>
        <w:rPr>
          <w:rFonts w:hint="eastAsia"/>
        </w:rPr>
        <w:t>污水</w:t>
      </w:r>
      <w:r>
        <w:t>处理站水泵、风机、备用发电机</w:t>
      </w:r>
      <w:r>
        <w:rPr>
          <w:rFonts w:hint="eastAsia"/>
        </w:rPr>
        <w:t>以及</w:t>
      </w:r>
      <w:r>
        <w:t>锅炉房水泵、风机等，设备运行时产生的噪声声级在80～85dB（A）之间。</w:t>
      </w:r>
      <w:r>
        <w:rPr>
          <w:rFonts w:cs="Times New Roman"/>
        </w:rPr>
        <w:t>在采取了选用低噪声设备，基础减振，</w:t>
      </w:r>
      <w:r>
        <w:rPr>
          <w:rFonts w:hint="eastAsia" w:cs="Times New Roman"/>
        </w:rPr>
        <w:t>布置在</w:t>
      </w:r>
      <w:r>
        <w:rPr>
          <w:rFonts w:cs="Times New Roman"/>
        </w:rPr>
        <w:t>地下隔声，风机风管与设备采用软连接，排风口安装消声器，生产设备进行合理布局的降噪措施后，可降低噪声15~20dB（A）。项目噪声源源强核算结果及相关参数见</w:t>
      </w:r>
      <w:r>
        <w:rPr>
          <w:rFonts w:hint="eastAsia" w:cs="Times New Roman"/>
        </w:rPr>
        <w:t>表4.2-13。</w:t>
      </w:r>
    </w:p>
    <w:p>
      <w:pPr>
        <w:pStyle w:val="22"/>
      </w:pPr>
      <w:bookmarkStart w:id="33" w:name="_Ref26286690"/>
      <w:r>
        <w:t xml:space="preserve">表 </w:t>
      </w:r>
      <w:r>
        <w:fldChar w:fldCharType="begin"/>
      </w:r>
      <w:r>
        <w:instrText xml:space="preserve"> STYLEREF 2 \s </w:instrText>
      </w:r>
      <w:r>
        <w:fldChar w:fldCharType="separate"/>
      </w:r>
      <w:r>
        <w:t>4.2</w:t>
      </w:r>
      <w:r>
        <w:fldChar w:fldCharType="end"/>
      </w:r>
      <w:r>
        <w:noBreakHyphen/>
      </w:r>
      <w:bookmarkEnd w:id="33"/>
      <w:r>
        <w:t xml:space="preserve">13  </w:t>
      </w:r>
      <w:r>
        <w:rPr>
          <w:rFonts w:hint="eastAsia"/>
        </w:rPr>
        <w:t>运营期</w:t>
      </w:r>
      <w:r>
        <w:t>噪声污染源源强核算结果及相关参数一览表</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59"/>
        <w:gridCol w:w="1277"/>
        <w:gridCol w:w="849"/>
        <w:gridCol w:w="1137"/>
        <w:gridCol w:w="1277"/>
        <w:gridCol w:w="1559"/>
        <w:gridCol w:w="1274"/>
        <w:gridCol w:w="1135"/>
        <w:gridCol w:w="1135"/>
        <w:gridCol w:w="1151"/>
        <w:gridCol w:w="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4"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工序</w:t>
            </w:r>
            <w:r>
              <w:rPr>
                <w:rFonts w:hint="eastAsia" w:ascii="Times New Roman" w:hAnsi="Times New Roman" w:eastAsia="宋体" w:cs="Times New Roman"/>
                <w:kern w:val="0"/>
                <w:szCs w:val="20"/>
              </w:rPr>
              <w:t>/生产线</w:t>
            </w:r>
          </w:p>
        </w:tc>
        <w:tc>
          <w:tcPr>
            <w:tcW w:w="1559"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装置</w:t>
            </w:r>
          </w:p>
        </w:tc>
        <w:tc>
          <w:tcPr>
            <w:tcW w:w="1277"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噪声源</w:t>
            </w:r>
          </w:p>
        </w:tc>
        <w:tc>
          <w:tcPr>
            <w:tcW w:w="849"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声源类型</w:t>
            </w:r>
          </w:p>
        </w:tc>
        <w:tc>
          <w:tcPr>
            <w:tcW w:w="1137"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数量</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（台/套）</w:t>
            </w:r>
          </w:p>
        </w:tc>
        <w:tc>
          <w:tcPr>
            <w:tcW w:w="2836" w:type="dxa"/>
            <w:gridSpan w:val="2"/>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噪声产生量</w:t>
            </w:r>
          </w:p>
        </w:tc>
        <w:tc>
          <w:tcPr>
            <w:tcW w:w="2409" w:type="dxa"/>
            <w:gridSpan w:val="2"/>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降噪措施</w:t>
            </w:r>
          </w:p>
        </w:tc>
        <w:tc>
          <w:tcPr>
            <w:tcW w:w="2286" w:type="dxa"/>
            <w:gridSpan w:val="2"/>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噪声排放量</w:t>
            </w:r>
          </w:p>
        </w:tc>
        <w:tc>
          <w:tcPr>
            <w:tcW w:w="925"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持续时间（h）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94"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59"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277"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849"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137"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核算方法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声源表达量（dB（A））</w:t>
            </w:r>
          </w:p>
        </w:tc>
        <w:tc>
          <w:tcPr>
            <w:tcW w:w="1274"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工艺</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降噪效果（dB（A））</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核算方法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声源表达量（dB（A））</w:t>
            </w:r>
          </w:p>
        </w:tc>
        <w:tc>
          <w:tcPr>
            <w:tcW w:w="925"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水泵</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水泵</w:t>
            </w:r>
          </w:p>
        </w:tc>
        <w:tc>
          <w:tcPr>
            <w:tcW w:w="84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选用</w:t>
            </w:r>
            <w:r>
              <w:rPr>
                <w:rFonts w:ascii="Times New Roman" w:hAnsi="Times New Roman" w:eastAsia="宋体" w:cs="Times New Roman"/>
                <w:kern w:val="0"/>
                <w:szCs w:val="20"/>
              </w:rPr>
              <w:t>低噪声设备，布置在地下，加减振基础</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风机</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风机</w:t>
            </w:r>
          </w:p>
        </w:tc>
        <w:tc>
          <w:tcPr>
            <w:tcW w:w="84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cs="Times New Roman"/>
              </w:rPr>
              <w:t>风机风管与设备采用软连接，排风口安装消声器</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8760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锅炉房</w:t>
            </w:r>
          </w:p>
        </w:tc>
        <w:tc>
          <w:tcPr>
            <w:tcW w:w="1559"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采暖</w:t>
            </w:r>
            <w:r>
              <w:rPr>
                <w:rFonts w:ascii="Times New Roman" w:hAnsi="Times New Roman" w:eastAsia="宋体" w:cs="Times New Roman"/>
                <w:kern w:val="0"/>
                <w:szCs w:val="20"/>
              </w:rPr>
              <w:t>锅炉</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风机</w:t>
            </w:r>
          </w:p>
        </w:tc>
        <w:tc>
          <w:tcPr>
            <w:tcW w:w="849" w:type="dxa"/>
            <w:shd w:val="clear" w:color="auto" w:fill="auto"/>
            <w:vAlign w:val="center"/>
          </w:tcPr>
          <w:p>
            <w:pPr>
              <w:jc w:val="cente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2</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vMerge w:val="restart"/>
            <w:shd w:val="clear" w:color="auto" w:fill="auto"/>
            <w:vAlign w:val="center"/>
          </w:tcPr>
          <w:p>
            <w:pPr>
              <w:autoSpaceDE w:val="0"/>
              <w:autoSpaceDN w:val="0"/>
              <w:adjustRightInd w:val="0"/>
              <w:jc w:val="center"/>
              <w:textAlignment w:val="bottom"/>
              <w:rPr>
                <w:rFonts w:cs="Times New Roman"/>
              </w:rPr>
            </w:pPr>
            <w:r>
              <w:rPr>
                <w:rFonts w:hint="eastAsia"/>
                <w:szCs w:val="21"/>
              </w:rPr>
              <w:t>选用低噪声设备，隔声、减振、风机进口</w:t>
            </w:r>
            <w:r>
              <w:rPr>
                <w:szCs w:val="21"/>
              </w:rPr>
              <w:t>安装消声器</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59"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水泵</w:t>
            </w:r>
          </w:p>
        </w:tc>
        <w:tc>
          <w:tcPr>
            <w:tcW w:w="849" w:type="dxa"/>
            <w:shd w:val="clear" w:color="auto" w:fill="auto"/>
            <w:vAlign w:val="center"/>
          </w:tcPr>
          <w:p>
            <w:pPr>
              <w:jc w:val="cente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2</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vMerge w:val="continue"/>
            <w:shd w:val="clear" w:color="auto" w:fill="auto"/>
            <w:vAlign w:val="center"/>
          </w:tcPr>
          <w:p>
            <w:pPr>
              <w:autoSpaceDE w:val="0"/>
              <w:autoSpaceDN w:val="0"/>
              <w:adjustRightInd w:val="0"/>
              <w:jc w:val="center"/>
              <w:textAlignment w:val="bottom"/>
              <w:rPr>
                <w:rFonts w:cs="Times New Roman"/>
              </w:rPr>
            </w:pP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1440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59" w:type="dxa"/>
            <w:vMerge w:val="restart"/>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热水</w:t>
            </w:r>
            <w:r>
              <w:rPr>
                <w:rFonts w:ascii="Times New Roman" w:hAnsi="Times New Roman" w:eastAsia="宋体" w:cs="Times New Roman"/>
                <w:kern w:val="0"/>
                <w:szCs w:val="20"/>
              </w:rPr>
              <w:t>锅炉</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风机</w:t>
            </w:r>
          </w:p>
        </w:tc>
        <w:tc>
          <w:tcPr>
            <w:tcW w:w="849" w:type="dxa"/>
            <w:shd w:val="clear" w:color="auto" w:fill="auto"/>
            <w:vAlign w:val="center"/>
          </w:tcPr>
          <w:p>
            <w:pPr>
              <w:jc w:val="cente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1</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vMerge w:val="continue"/>
            <w:shd w:val="clear" w:color="auto" w:fill="auto"/>
            <w:vAlign w:val="center"/>
          </w:tcPr>
          <w:p>
            <w:pPr>
              <w:autoSpaceDE w:val="0"/>
              <w:autoSpaceDN w:val="0"/>
              <w:adjustRightInd w:val="0"/>
              <w:jc w:val="center"/>
              <w:textAlignment w:val="bottom"/>
              <w:rPr>
                <w:rFonts w:cs="Times New Roman"/>
              </w:rPr>
            </w:pP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4380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59" w:type="dxa"/>
            <w:vMerge w:val="continue"/>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水泵</w:t>
            </w:r>
          </w:p>
        </w:tc>
        <w:tc>
          <w:tcPr>
            <w:tcW w:w="849" w:type="dxa"/>
            <w:shd w:val="clear" w:color="auto" w:fill="auto"/>
            <w:vAlign w:val="center"/>
          </w:tcPr>
          <w:p>
            <w:pPr>
              <w:jc w:val="center"/>
            </w:pPr>
            <w:r>
              <w:rPr>
                <w:rFonts w:hint="eastAsia" w:ascii="Times New Roman" w:hAnsi="Times New Roman" w:eastAsia="宋体" w:cs="Times New Roman"/>
                <w:kern w:val="0"/>
                <w:szCs w:val="20"/>
              </w:rPr>
              <w:t>频发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color w:val="FF0000"/>
                <w:kern w:val="0"/>
                <w:szCs w:val="20"/>
              </w:rPr>
            </w:pPr>
            <w:r>
              <w:rPr>
                <w:rFonts w:ascii="Times New Roman" w:hAnsi="Times New Roman" w:eastAsia="宋体" w:cs="Times New Roman"/>
                <w:color w:val="FF0000"/>
                <w:kern w:val="0"/>
                <w:szCs w:val="20"/>
              </w:rPr>
              <w:t>1</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85</w:t>
            </w:r>
          </w:p>
        </w:tc>
        <w:tc>
          <w:tcPr>
            <w:tcW w:w="1274" w:type="dxa"/>
            <w:vMerge w:val="continue"/>
            <w:shd w:val="clear" w:color="auto" w:fill="auto"/>
            <w:vAlign w:val="center"/>
          </w:tcPr>
          <w:p>
            <w:pPr>
              <w:autoSpaceDE w:val="0"/>
              <w:autoSpaceDN w:val="0"/>
              <w:adjustRightInd w:val="0"/>
              <w:jc w:val="center"/>
              <w:textAlignment w:val="bottom"/>
              <w:rPr>
                <w:rFonts w:cs="Times New Roman"/>
              </w:rPr>
            </w:pP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20</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4380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4"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发电</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柴油</w:t>
            </w:r>
            <w:r>
              <w:rPr>
                <w:rFonts w:ascii="Times New Roman" w:hAnsi="Times New Roman" w:eastAsia="宋体" w:cs="Times New Roman"/>
                <w:kern w:val="0"/>
                <w:szCs w:val="20"/>
              </w:rPr>
              <w:t>发电机</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柴油</w:t>
            </w:r>
            <w:r>
              <w:rPr>
                <w:rFonts w:ascii="Times New Roman" w:hAnsi="Times New Roman" w:eastAsia="宋体" w:cs="Times New Roman"/>
                <w:kern w:val="0"/>
                <w:szCs w:val="20"/>
              </w:rPr>
              <w:t>发电机</w:t>
            </w:r>
          </w:p>
        </w:tc>
        <w:tc>
          <w:tcPr>
            <w:tcW w:w="84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偶发</w:t>
            </w:r>
          </w:p>
        </w:tc>
        <w:tc>
          <w:tcPr>
            <w:tcW w:w="113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w:t>
            </w:r>
          </w:p>
        </w:tc>
        <w:tc>
          <w:tcPr>
            <w:tcW w:w="1277"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559"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80</w:t>
            </w:r>
          </w:p>
        </w:tc>
        <w:tc>
          <w:tcPr>
            <w:tcW w:w="1274"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选用</w:t>
            </w:r>
            <w:r>
              <w:rPr>
                <w:rFonts w:ascii="Times New Roman" w:hAnsi="Times New Roman" w:eastAsia="宋体" w:cs="Times New Roman"/>
                <w:kern w:val="0"/>
                <w:szCs w:val="20"/>
              </w:rPr>
              <w:t>低噪声设备，基础减振</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15</w:t>
            </w:r>
          </w:p>
        </w:tc>
        <w:tc>
          <w:tcPr>
            <w:tcW w:w="1135"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类比法</w:t>
            </w:r>
          </w:p>
        </w:tc>
        <w:tc>
          <w:tcPr>
            <w:tcW w:w="1151" w:type="dxa"/>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65</w:t>
            </w:r>
          </w:p>
        </w:tc>
        <w:tc>
          <w:tcPr>
            <w:tcW w:w="925" w:type="dxa"/>
            <w:shd w:val="clear" w:color="auto" w:fill="auto"/>
            <w:vAlign w:val="center"/>
          </w:tcPr>
          <w:p>
            <w:pPr>
              <w:jc w:val="center"/>
              <w:rPr>
                <w:rFonts w:ascii="Times New Roman" w:hAnsi="Times New Roman" w:eastAsia="宋体" w:cs="Times New Roman"/>
                <w:kern w:val="0"/>
                <w:szCs w:val="20"/>
              </w:rPr>
            </w:pPr>
            <w:r>
              <w:rPr>
                <w:rFonts w:ascii="Times New Roman" w:hAnsi="Times New Roman" w:eastAsia="宋体" w:cs="Times New Roman"/>
                <w:kern w:val="0"/>
                <w:szCs w:val="20"/>
              </w:rPr>
              <w:t>2</w:t>
            </w:r>
          </w:p>
        </w:tc>
      </w:tr>
    </w:tbl>
    <w:p>
      <w:pPr>
        <w:rPr>
          <w:highlight w:val="yellow"/>
        </w:rPr>
        <w:sectPr>
          <w:headerReference r:id="rId31" w:type="default"/>
          <w:pgSz w:w="16838" w:h="11906" w:orient="landscape"/>
          <w:pgMar w:top="1588" w:right="1418" w:bottom="1418" w:left="1418" w:header="851" w:footer="992" w:gutter="0"/>
          <w:pgNumType w:fmt="numberInDash"/>
          <w:cols w:space="425" w:num="1"/>
          <w:docGrid w:type="linesAndChars" w:linePitch="312" w:charSpace="0"/>
        </w:sectPr>
      </w:pPr>
    </w:p>
    <w:p>
      <w:pPr>
        <w:pStyle w:val="5"/>
      </w:pPr>
      <w:r>
        <w:rPr>
          <w:rFonts w:hint="eastAsia"/>
        </w:rPr>
        <w:t>固体</w:t>
      </w:r>
      <w:r>
        <w:t>废物</w:t>
      </w:r>
    </w:p>
    <w:p>
      <w:pPr>
        <w:pStyle w:val="40"/>
        <w:ind w:firstLine="480"/>
      </w:pPr>
      <w:r>
        <w:rPr>
          <w:rFonts w:hint="eastAsia"/>
        </w:rPr>
        <w:t>项目</w:t>
      </w:r>
      <w:r>
        <w:t>运营后</w:t>
      </w:r>
      <w:r>
        <w:rPr>
          <w:rFonts w:hint="eastAsia"/>
        </w:rPr>
        <w:t>产生</w:t>
      </w:r>
      <w:r>
        <w:t>的固体废物主要为</w:t>
      </w:r>
      <w:r>
        <w:rPr>
          <w:rFonts w:hint="eastAsia"/>
        </w:rPr>
        <w:t>生活垃圾、医疗废物、食堂餐厨垃圾及隔油池废油脂、污水处理站污泥及栅渣、废包装物以及</w:t>
      </w:r>
      <w:r>
        <w:t>中药煎药产生的中药渣</w:t>
      </w:r>
      <w:r>
        <w:rPr>
          <w:rFonts w:hint="eastAsia"/>
        </w:rPr>
        <w:t>等。</w:t>
      </w:r>
    </w:p>
    <w:p>
      <w:pPr>
        <w:pStyle w:val="6"/>
      </w:pPr>
      <w:r>
        <w:rPr>
          <w:rFonts w:hint="eastAsia"/>
        </w:rPr>
        <w:t>生活</w:t>
      </w:r>
      <w:r>
        <w:t>垃圾</w:t>
      </w:r>
    </w:p>
    <w:p>
      <w:pPr>
        <w:widowControl/>
        <w:spacing w:line="360" w:lineRule="auto"/>
        <w:ind w:firstLine="480" w:firstLineChars="200"/>
        <w:jc w:val="left"/>
        <w:rPr>
          <w:rFonts w:ascii="Times New Roman" w:hAnsi="Times New Roman" w:eastAsia="宋体" w:cs="Times New Roman"/>
          <w:color w:val="000000"/>
          <w:spacing w:val="-6"/>
          <w:kern w:val="0"/>
          <w:sz w:val="24"/>
          <w:szCs w:val="20"/>
        </w:rPr>
      </w:pPr>
      <w:r>
        <w:rPr>
          <w:rFonts w:ascii="Times New Roman" w:hAnsi="Times New Roman" w:eastAsia="宋体" w:cs="Times New Roman"/>
          <w:kern w:val="0"/>
          <w:sz w:val="24"/>
          <w:szCs w:val="20"/>
        </w:rPr>
        <w:t>生活垃圾主要包括就诊患者、医护人员、</w:t>
      </w:r>
      <w:r>
        <w:rPr>
          <w:rFonts w:hint="eastAsia" w:ascii="Times New Roman" w:hAnsi="Times New Roman" w:eastAsia="宋体" w:cs="Times New Roman"/>
          <w:kern w:val="0"/>
          <w:sz w:val="24"/>
          <w:szCs w:val="20"/>
        </w:rPr>
        <w:t>住院</w:t>
      </w:r>
      <w:r>
        <w:rPr>
          <w:rFonts w:ascii="Times New Roman" w:hAnsi="Times New Roman" w:eastAsia="宋体" w:cs="Times New Roman"/>
          <w:kern w:val="0"/>
          <w:sz w:val="24"/>
          <w:szCs w:val="20"/>
        </w:rPr>
        <w:t>病人、</w:t>
      </w:r>
      <w:r>
        <w:rPr>
          <w:rFonts w:hint="eastAsia" w:ascii="Times New Roman" w:hAnsi="Times New Roman" w:eastAsia="宋体" w:cs="Times New Roman"/>
          <w:kern w:val="0"/>
          <w:sz w:val="24"/>
          <w:szCs w:val="20"/>
        </w:rPr>
        <w:t>办公</w:t>
      </w:r>
      <w:r>
        <w:rPr>
          <w:rFonts w:ascii="Times New Roman" w:hAnsi="Times New Roman" w:eastAsia="宋体" w:cs="Times New Roman"/>
          <w:kern w:val="0"/>
          <w:sz w:val="24"/>
          <w:szCs w:val="20"/>
        </w:rPr>
        <w:t>及后勤人员产生的生活垃圾。</w:t>
      </w:r>
      <w:r>
        <w:rPr>
          <w:rFonts w:hint="eastAsia" w:ascii="Times New Roman" w:hAnsi="Times New Roman" w:eastAsia="宋体" w:cs="Times New Roman"/>
          <w:kern w:val="0"/>
          <w:sz w:val="24"/>
          <w:szCs w:val="20"/>
        </w:rPr>
        <w:t>医院</w:t>
      </w:r>
      <w:r>
        <w:rPr>
          <w:rFonts w:ascii="Times New Roman" w:hAnsi="Times New Roman" w:eastAsia="宋体" w:cs="Times New Roman"/>
          <w:kern w:val="0"/>
          <w:sz w:val="24"/>
          <w:szCs w:val="20"/>
        </w:rPr>
        <w:t>建成</w:t>
      </w:r>
      <w:r>
        <w:rPr>
          <w:rFonts w:hint="eastAsia" w:ascii="Times New Roman" w:hAnsi="Times New Roman" w:eastAsia="宋体" w:cs="Times New Roman"/>
          <w:kern w:val="0"/>
          <w:sz w:val="24"/>
          <w:szCs w:val="20"/>
        </w:rPr>
        <w:t>后</w:t>
      </w:r>
      <w:r>
        <w:rPr>
          <w:rFonts w:ascii="Times New Roman" w:hAnsi="Times New Roman" w:eastAsia="宋体" w:cs="Times New Roman"/>
          <w:kern w:val="0"/>
          <w:sz w:val="24"/>
          <w:szCs w:val="20"/>
        </w:rPr>
        <w:t>门诊人数</w:t>
      </w:r>
      <w:r>
        <w:rPr>
          <w:rFonts w:hint="eastAsia" w:ascii="Times New Roman" w:hAnsi="Times New Roman" w:eastAsia="宋体" w:cs="Times New Roman"/>
          <w:kern w:val="0"/>
          <w:sz w:val="24"/>
          <w:szCs w:val="20"/>
        </w:rPr>
        <w:t>1500人/</w:t>
      </w:r>
      <w:r>
        <w:rPr>
          <w:rFonts w:ascii="Times New Roman" w:hAnsi="Times New Roman" w:eastAsia="宋体" w:cs="Times New Roman"/>
          <w:kern w:val="0"/>
          <w:sz w:val="24"/>
          <w:szCs w:val="20"/>
        </w:rPr>
        <w:t>d，</w:t>
      </w:r>
      <w:r>
        <w:rPr>
          <w:rFonts w:hint="eastAsia" w:ascii="Times New Roman" w:hAnsi="Times New Roman" w:eastAsia="宋体" w:cs="Times New Roman"/>
          <w:kern w:val="0"/>
          <w:sz w:val="24"/>
          <w:szCs w:val="20"/>
        </w:rPr>
        <w:t>病床500张</w:t>
      </w:r>
      <w:r>
        <w:rPr>
          <w:rFonts w:ascii="Times New Roman" w:hAnsi="Times New Roman" w:eastAsia="宋体" w:cs="Times New Roman"/>
          <w:kern w:val="0"/>
          <w:sz w:val="24"/>
          <w:szCs w:val="20"/>
        </w:rPr>
        <w:t>，医护人员</w:t>
      </w:r>
      <w:r>
        <w:rPr>
          <w:rFonts w:hint="eastAsia" w:ascii="Times New Roman" w:hAnsi="Times New Roman" w:eastAsia="宋体" w:cs="Times New Roman"/>
          <w:kern w:val="0"/>
          <w:sz w:val="24"/>
          <w:szCs w:val="20"/>
        </w:rPr>
        <w:t>595人</w:t>
      </w:r>
      <w:r>
        <w:rPr>
          <w:rFonts w:ascii="Times New Roman" w:hAnsi="Times New Roman" w:eastAsia="宋体" w:cs="Times New Roman"/>
          <w:kern w:val="0"/>
          <w:sz w:val="24"/>
          <w:szCs w:val="20"/>
        </w:rPr>
        <w:t>，办公及后勤人员</w:t>
      </w:r>
      <w:r>
        <w:rPr>
          <w:rFonts w:hint="eastAsia" w:ascii="Times New Roman" w:hAnsi="Times New Roman" w:eastAsia="宋体" w:cs="Times New Roman"/>
          <w:kern w:val="0"/>
          <w:sz w:val="24"/>
          <w:szCs w:val="20"/>
        </w:rPr>
        <w:t>225人</w:t>
      </w:r>
      <w:r>
        <w:rPr>
          <w:rFonts w:ascii="Times New Roman" w:hAnsi="Times New Roman" w:eastAsia="宋体" w:cs="Times New Roman"/>
          <w:kern w:val="0"/>
          <w:sz w:val="24"/>
          <w:szCs w:val="20"/>
        </w:rPr>
        <w:t>，</w:t>
      </w:r>
      <w:r>
        <w:rPr>
          <w:rFonts w:hint="eastAsia" w:ascii="Times New Roman" w:hAnsi="Times New Roman" w:eastAsia="宋体" w:cs="Times New Roman"/>
          <w:kern w:val="0"/>
          <w:sz w:val="24"/>
          <w:szCs w:val="20"/>
        </w:rPr>
        <w:t>住院</w:t>
      </w:r>
      <w:r>
        <w:rPr>
          <w:rFonts w:ascii="Times New Roman" w:hAnsi="Times New Roman" w:eastAsia="宋体" w:cs="Times New Roman"/>
          <w:kern w:val="0"/>
          <w:sz w:val="24"/>
          <w:szCs w:val="20"/>
        </w:rPr>
        <w:t>病人</w:t>
      </w:r>
      <w:r>
        <w:rPr>
          <w:rFonts w:hint="eastAsia" w:ascii="Times New Roman" w:hAnsi="Times New Roman" w:eastAsia="宋体" w:cs="Times New Roman"/>
          <w:kern w:val="0"/>
          <w:sz w:val="24"/>
          <w:szCs w:val="20"/>
        </w:rPr>
        <w:t>及</w:t>
      </w:r>
      <w:r>
        <w:rPr>
          <w:rFonts w:ascii="Times New Roman" w:hAnsi="Times New Roman" w:eastAsia="宋体" w:cs="Times New Roman"/>
          <w:kern w:val="0"/>
          <w:sz w:val="24"/>
          <w:szCs w:val="20"/>
        </w:rPr>
        <w:t>陪护人员生活垃圾产生量按</w:t>
      </w:r>
      <w:r>
        <w:rPr>
          <w:rFonts w:hint="eastAsia" w:ascii="Times New Roman" w:hAnsi="Times New Roman" w:eastAsia="宋体" w:cs="Times New Roman"/>
          <w:kern w:val="0"/>
          <w:sz w:val="24"/>
          <w:szCs w:val="20"/>
        </w:rPr>
        <w:t>1.0</w:t>
      </w:r>
      <w:r>
        <w:rPr>
          <w:rFonts w:ascii="Times New Roman" w:hAnsi="Times New Roman" w:eastAsia="宋体" w:cs="Times New Roman"/>
          <w:kern w:val="0"/>
          <w:sz w:val="24"/>
          <w:szCs w:val="20"/>
        </w:rPr>
        <w:t>kg/</w:t>
      </w:r>
      <w:r>
        <w:rPr>
          <w:rFonts w:hint="eastAsia" w:ascii="Times New Roman" w:hAnsi="Times New Roman" w:eastAsia="宋体" w:cs="Times New Roman"/>
          <w:kern w:val="0"/>
          <w:sz w:val="24"/>
          <w:szCs w:val="20"/>
        </w:rPr>
        <w:t>床</w:t>
      </w:r>
      <w:r>
        <w:rPr>
          <w:rFonts w:ascii="Times New Roman" w:hAnsi="Times New Roman" w:eastAsia="宋体" w:cs="Times New Roman"/>
          <w:kern w:val="0"/>
          <w:sz w:val="24"/>
          <w:szCs w:val="20"/>
        </w:rPr>
        <w:t>·d</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医护人员、办公及后勤人员生活垃圾产生量</w:t>
      </w:r>
      <w:r>
        <w:rPr>
          <w:rFonts w:hint="eastAsia" w:ascii="Times New Roman" w:hAnsi="Times New Roman" w:eastAsia="宋体" w:cs="Times New Roman"/>
          <w:color w:val="000000"/>
          <w:spacing w:val="-6"/>
          <w:kern w:val="0"/>
          <w:sz w:val="24"/>
          <w:szCs w:val="20"/>
        </w:rPr>
        <w:t>按0.5kg/人</w:t>
      </w:r>
      <w:r>
        <w:rPr>
          <w:rFonts w:ascii="Times New Roman" w:hAnsi="Times New Roman" w:eastAsia="宋体" w:cs="Times New Roman"/>
          <w:color w:val="000000"/>
          <w:spacing w:val="-6"/>
          <w:kern w:val="0"/>
          <w:sz w:val="24"/>
          <w:szCs w:val="20"/>
        </w:rPr>
        <w:t>•</w:t>
      </w:r>
      <w:r>
        <w:rPr>
          <w:rFonts w:hint="eastAsia" w:ascii="Times New Roman" w:hAnsi="Times New Roman" w:eastAsia="宋体" w:cs="Times New Roman"/>
          <w:color w:val="000000"/>
          <w:spacing w:val="-6"/>
          <w:kern w:val="0"/>
          <w:sz w:val="24"/>
          <w:szCs w:val="20"/>
        </w:rPr>
        <w:t>d计，门诊人员生活垃圾产生量按0.2kg/人</w:t>
      </w:r>
      <w:r>
        <w:rPr>
          <w:rFonts w:ascii="Times New Roman" w:hAnsi="Times New Roman" w:eastAsia="宋体" w:cs="Times New Roman"/>
          <w:color w:val="000000"/>
          <w:spacing w:val="-6"/>
          <w:kern w:val="0"/>
          <w:sz w:val="24"/>
          <w:szCs w:val="20"/>
        </w:rPr>
        <w:t>•</w:t>
      </w:r>
      <w:r>
        <w:rPr>
          <w:rFonts w:hint="eastAsia" w:ascii="Times New Roman" w:hAnsi="Times New Roman" w:eastAsia="宋体" w:cs="Times New Roman"/>
          <w:color w:val="000000"/>
          <w:spacing w:val="-6"/>
          <w:kern w:val="0"/>
          <w:sz w:val="24"/>
          <w:szCs w:val="20"/>
        </w:rPr>
        <w:t>次计，则生活垃圾产生情况见下表：</w:t>
      </w:r>
    </w:p>
    <w:p>
      <w:pPr>
        <w:snapToGrid w:val="0"/>
        <w:spacing w:before="156" w:beforeLines="50"/>
        <w:jc w:val="center"/>
        <w:rPr>
          <w:rFonts w:ascii="Times New Roman" w:hAnsi="Times New Roman" w:eastAsia="宋体" w:cs="Times New Roman"/>
          <w:b/>
          <w:color w:val="000000"/>
          <w:spacing w:val="-6"/>
          <w:sz w:val="24"/>
          <w:szCs w:val="24"/>
          <w:lang w:bidi="ar"/>
        </w:rPr>
      </w:pPr>
      <w:r>
        <w:rPr>
          <w:rFonts w:ascii="Times New Roman" w:hAnsi="Times New Roman" w:eastAsia="宋体" w:cs="Times New Roman"/>
          <w:b/>
          <w:color w:val="000000"/>
          <w:spacing w:val="-6"/>
          <w:sz w:val="24"/>
          <w:szCs w:val="24"/>
          <w:lang w:bidi="ar"/>
        </w:rPr>
        <w:t>表</w:t>
      </w:r>
      <w:r>
        <w:rPr>
          <w:rFonts w:hint="eastAsia" w:ascii="Times New Roman" w:hAnsi="Times New Roman" w:eastAsia="宋体" w:cs="Times New Roman"/>
          <w:b/>
          <w:color w:val="000000"/>
          <w:spacing w:val="-6"/>
          <w:sz w:val="24"/>
          <w:szCs w:val="24"/>
          <w:lang w:bidi="ar"/>
        </w:rPr>
        <w:t>4.2-14</w:t>
      </w:r>
      <w:r>
        <w:rPr>
          <w:rFonts w:ascii="Times New Roman" w:hAnsi="Times New Roman" w:eastAsia="宋体" w:cs="Times New Roman"/>
          <w:b/>
          <w:color w:val="000000"/>
          <w:spacing w:val="-6"/>
          <w:sz w:val="24"/>
          <w:szCs w:val="24"/>
          <w:lang w:bidi="ar"/>
        </w:rPr>
        <w:t xml:space="preserve">   </w:t>
      </w:r>
      <w:r>
        <w:rPr>
          <w:rFonts w:hint="eastAsia" w:ascii="Times New Roman" w:hAnsi="Times New Roman" w:eastAsia="宋体" w:cs="Times New Roman"/>
          <w:b/>
          <w:color w:val="000000"/>
          <w:spacing w:val="-6"/>
          <w:sz w:val="24"/>
          <w:szCs w:val="24"/>
          <w:lang w:bidi="ar"/>
        </w:rPr>
        <w:t>生活垃圾</w:t>
      </w:r>
      <w:r>
        <w:rPr>
          <w:rFonts w:ascii="Times New Roman" w:hAnsi="Times New Roman" w:eastAsia="宋体" w:cs="Times New Roman"/>
          <w:b/>
          <w:color w:val="000000"/>
          <w:spacing w:val="-6"/>
          <w:sz w:val="24"/>
          <w:szCs w:val="24"/>
          <w:lang w:bidi="ar"/>
        </w:rPr>
        <w:t>产</w:t>
      </w:r>
      <w:r>
        <w:rPr>
          <w:rFonts w:hint="eastAsia" w:ascii="Times New Roman" w:hAnsi="Times New Roman" w:eastAsia="宋体" w:cs="Times New Roman"/>
          <w:b/>
          <w:color w:val="000000"/>
          <w:spacing w:val="-6"/>
          <w:sz w:val="24"/>
          <w:szCs w:val="24"/>
          <w:lang w:bidi="ar"/>
        </w:rPr>
        <w:t>生</w:t>
      </w:r>
      <w:r>
        <w:rPr>
          <w:rFonts w:ascii="Times New Roman" w:hAnsi="Times New Roman" w:eastAsia="宋体" w:cs="Times New Roman"/>
          <w:b/>
          <w:color w:val="000000"/>
          <w:spacing w:val="-6"/>
          <w:sz w:val="24"/>
          <w:szCs w:val="24"/>
          <w:lang w:bidi="ar"/>
        </w:rPr>
        <w:t>情况一览表</w:t>
      </w:r>
    </w:p>
    <w:tbl>
      <w:tblPr>
        <w:tblStyle w:val="25"/>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3"/>
        <w:gridCol w:w="1563"/>
        <w:gridCol w:w="2141"/>
        <w:gridCol w:w="1530"/>
        <w:gridCol w:w="1675"/>
        <w:gridCol w:w="15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t>序号</w:t>
            </w:r>
          </w:p>
        </w:tc>
        <w:tc>
          <w:tcPr>
            <w:tcW w:w="1563" w:type="dxa"/>
            <w:tcBorders>
              <w:tl2br w:val="nil"/>
              <w:tr2bl w:val="nil"/>
            </w:tcBorders>
            <w:vAlign w:val="center"/>
          </w:tcPr>
          <w:p>
            <w:pPr>
              <w:pStyle w:val="47"/>
            </w:pPr>
            <w:r>
              <w:rPr>
                <w:rFonts w:hint="eastAsia"/>
              </w:rPr>
              <w:t>产生来源</w:t>
            </w:r>
          </w:p>
        </w:tc>
        <w:tc>
          <w:tcPr>
            <w:tcW w:w="2141" w:type="dxa"/>
            <w:tcBorders>
              <w:tl2br w:val="nil"/>
              <w:tr2bl w:val="nil"/>
            </w:tcBorders>
            <w:vAlign w:val="center"/>
          </w:tcPr>
          <w:p>
            <w:pPr>
              <w:pStyle w:val="47"/>
            </w:pPr>
            <w:r>
              <w:rPr>
                <w:rFonts w:hint="eastAsia"/>
              </w:rPr>
              <w:t>规模</w:t>
            </w:r>
          </w:p>
        </w:tc>
        <w:tc>
          <w:tcPr>
            <w:tcW w:w="1530" w:type="dxa"/>
            <w:tcBorders>
              <w:tl2br w:val="nil"/>
              <w:tr2bl w:val="nil"/>
            </w:tcBorders>
            <w:vAlign w:val="center"/>
          </w:tcPr>
          <w:p>
            <w:pPr>
              <w:pStyle w:val="47"/>
            </w:pPr>
            <w:r>
              <w:rPr>
                <w:rFonts w:hint="eastAsia"/>
              </w:rPr>
              <w:t>产污系数</w:t>
            </w:r>
          </w:p>
        </w:tc>
        <w:tc>
          <w:tcPr>
            <w:tcW w:w="1675" w:type="dxa"/>
            <w:tcBorders>
              <w:tl2br w:val="nil"/>
              <w:tr2bl w:val="nil"/>
            </w:tcBorders>
            <w:vAlign w:val="center"/>
          </w:tcPr>
          <w:p>
            <w:pPr>
              <w:pStyle w:val="47"/>
            </w:pPr>
            <w:r>
              <w:rPr>
                <w:rFonts w:hint="eastAsia"/>
              </w:rPr>
              <w:t>产生量（t/a）</w:t>
            </w:r>
          </w:p>
        </w:tc>
        <w:tc>
          <w:tcPr>
            <w:tcW w:w="1505" w:type="dxa"/>
            <w:tcBorders>
              <w:tl2br w:val="nil"/>
              <w:tr2bl w:val="nil"/>
            </w:tcBorders>
            <w:vAlign w:val="center"/>
          </w:tcPr>
          <w:p>
            <w:pPr>
              <w:pStyle w:val="47"/>
            </w:pPr>
            <w:r>
              <w:rPr>
                <w:rFonts w:hint="eastAsia"/>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t>1</w:t>
            </w:r>
          </w:p>
        </w:tc>
        <w:tc>
          <w:tcPr>
            <w:tcW w:w="1563" w:type="dxa"/>
            <w:tcBorders>
              <w:tl2br w:val="nil"/>
              <w:tr2bl w:val="nil"/>
            </w:tcBorders>
            <w:vAlign w:val="center"/>
          </w:tcPr>
          <w:p>
            <w:pPr>
              <w:pStyle w:val="47"/>
            </w:pPr>
            <w:r>
              <w:rPr>
                <w:rFonts w:hint="eastAsia"/>
              </w:rPr>
              <w:t>住院病人及</w:t>
            </w:r>
            <w:r>
              <w:t>陪护</w:t>
            </w:r>
          </w:p>
        </w:tc>
        <w:tc>
          <w:tcPr>
            <w:tcW w:w="2141" w:type="dxa"/>
            <w:tcBorders>
              <w:tl2br w:val="nil"/>
              <w:tr2bl w:val="nil"/>
            </w:tcBorders>
            <w:vAlign w:val="center"/>
          </w:tcPr>
          <w:p>
            <w:pPr>
              <w:pStyle w:val="47"/>
            </w:pPr>
            <w:r>
              <w:t>500</w:t>
            </w:r>
            <w:r>
              <w:rPr>
                <w:rFonts w:hint="eastAsia"/>
              </w:rPr>
              <w:t>张床位（365d/a）</w:t>
            </w:r>
          </w:p>
        </w:tc>
        <w:tc>
          <w:tcPr>
            <w:tcW w:w="1530" w:type="dxa"/>
            <w:tcBorders>
              <w:tl2br w:val="nil"/>
              <w:tr2bl w:val="nil"/>
            </w:tcBorders>
            <w:vAlign w:val="center"/>
          </w:tcPr>
          <w:p>
            <w:pPr>
              <w:pStyle w:val="47"/>
            </w:pPr>
            <w:r>
              <w:t>1.0</w:t>
            </w:r>
            <w:r>
              <w:rPr>
                <w:rFonts w:hint="eastAsia"/>
              </w:rPr>
              <w:t>kg/床</w:t>
            </w:r>
            <w:r>
              <w:t>•</w:t>
            </w:r>
            <w:r>
              <w:rPr>
                <w:rFonts w:hint="eastAsia"/>
              </w:rPr>
              <w:t>d</w:t>
            </w:r>
          </w:p>
        </w:tc>
        <w:tc>
          <w:tcPr>
            <w:tcW w:w="1675" w:type="dxa"/>
            <w:tcBorders>
              <w:tl2br w:val="nil"/>
              <w:tr2bl w:val="nil"/>
            </w:tcBorders>
            <w:vAlign w:val="center"/>
          </w:tcPr>
          <w:p>
            <w:pPr>
              <w:pStyle w:val="47"/>
            </w:pPr>
            <w:r>
              <w:rPr>
                <w:rFonts w:hint="eastAsia"/>
              </w:rPr>
              <w:t>182.5</w:t>
            </w:r>
            <w:r>
              <w:t>0</w:t>
            </w:r>
          </w:p>
        </w:tc>
        <w:tc>
          <w:tcPr>
            <w:tcW w:w="1505" w:type="dxa"/>
            <w:vMerge w:val="restart"/>
            <w:tcBorders>
              <w:tl2br w:val="nil"/>
              <w:tr2bl w:val="nil"/>
            </w:tcBorders>
            <w:vAlign w:val="center"/>
          </w:tcPr>
          <w:p>
            <w:pPr>
              <w:pStyle w:val="47"/>
            </w:pPr>
            <w:r>
              <w:rPr>
                <w:rFonts w:hint="eastAsia"/>
              </w:rPr>
              <w:t>集中收集后交由环卫部门清运处理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t>2</w:t>
            </w:r>
          </w:p>
        </w:tc>
        <w:tc>
          <w:tcPr>
            <w:tcW w:w="1563" w:type="dxa"/>
            <w:tcBorders>
              <w:tl2br w:val="nil"/>
              <w:tr2bl w:val="nil"/>
            </w:tcBorders>
            <w:vAlign w:val="center"/>
          </w:tcPr>
          <w:p>
            <w:pPr>
              <w:pStyle w:val="47"/>
            </w:pPr>
            <w:r>
              <w:rPr>
                <w:rFonts w:hint="eastAsia"/>
              </w:rPr>
              <w:t>医护人员</w:t>
            </w:r>
          </w:p>
        </w:tc>
        <w:tc>
          <w:tcPr>
            <w:tcW w:w="2141" w:type="dxa"/>
            <w:tcBorders>
              <w:tl2br w:val="nil"/>
              <w:tr2bl w:val="nil"/>
            </w:tcBorders>
            <w:vAlign w:val="center"/>
          </w:tcPr>
          <w:p>
            <w:pPr>
              <w:pStyle w:val="47"/>
            </w:pPr>
            <w:r>
              <w:t>595</w:t>
            </w:r>
            <w:r>
              <w:rPr>
                <w:rFonts w:hint="eastAsia"/>
              </w:rPr>
              <w:t>人（365d/a）</w:t>
            </w:r>
          </w:p>
        </w:tc>
        <w:tc>
          <w:tcPr>
            <w:tcW w:w="1530" w:type="dxa"/>
            <w:tcBorders>
              <w:tl2br w:val="nil"/>
              <w:tr2bl w:val="nil"/>
            </w:tcBorders>
            <w:vAlign w:val="center"/>
          </w:tcPr>
          <w:p>
            <w:pPr>
              <w:pStyle w:val="47"/>
              <w:rPr>
                <w:spacing w:val="-6"/>
              </w:rPr>
            </w:pPr>
            <w:r>
              <w:rPr>
                <w:rFonts w:hint="eastAsia"/>
                <w:spacing w:val="-6"/>
              </w:rPr>
              <w:t>0.5kg/人</w:t>
            </w:r>
            <w:r>
              <w:rPr>
                <w:spacing w:val="-6"/>
              </w:rPr>
              <w:t>•</w:t>
            </w:r>
            <w:r>
              <w:rPr>
                <w:rFonts w:hint="eastAsia"/>
                <w:spacing w:val="-6"/>
              </w:rPr>
              <w:t>d</w:t>
            </w:r>
          </w:p>
        </w:tc>
        <w:tc>
          <w:tcPr>
            <w:tcW w:w="1675" w:type="dxa"/>
            <w:tcBorders>
              <w:tl2br w:val="nil"/>
              <w:tr2bl w:val="nil"/>
            </w:tcBorders>
            <w:vAlign w:val="center"/>
          </w:tcPr>
          <w:p>
            <w:pPr>
              <w:pStyle w:val="47"/>
            </w:pPr>
            <w:r>
              <w:rPr>
                <w:rFonts w:hint="eastAsia"/>
              </w:rPr>
              <w:t>108.50</w:t>
            </w:r>
          </w:p>
        </w:tc>
        <w:tc>
          <w:tcPr>
            <w:tcW w:w="1505" w:type="dxa"/>
            <w:vMerge w:val="continue"/>
            <w:tcBorders>
              <w:tl2br w:val="nil"/>
              <w:tr2bl w:val="nil"/>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t>3</w:t>
            </w:r>
          </w:p>
        </w:tc>
        <w:tc>
          <w:tcPr>
            <w:tcW w:w="1563" w:type="dxa"/>
            <w:tcBorders>
              <w:tl2br w:val="nil"/>
              <w:tr2bl w:val="nil"/>
            </w:tcBorders>
            <w:vAlign w:val="center"/>
          </w:tcPr>
          <w:p>
            <w:pPr>
              <w:pStyle w:val="47"/>
            </w:pPr>
            <w:r>
              <w:rPr>
                <w:rFonts w:hint="eastAsia"/>
              </w:rPr>
              <w:t>办公</w:t>
            </w:r>
            <w:r>
              <w:t>及后勤</w:t>
            </w:r>
            <w:r>
              <w:rPr>
                <w:rFonts w:hint="eastAsia"/>
              </w:rPr>
              <w:t>人员</w:t>
            </w:r>
          </w:p>
        </w:tc>
        <w:tc>
          <w:tcPr>
            <w:tcW w:w="2141" w:type="dxa"/>
            <w:tcBorders>
              <w:tl2br w:val="nil"/>
              <w:tr2bl w:val="nil"/>
            </w:tcBorders>
            <w:vAlign w:val="center"/>
          </w:tcPr>
          <w:p>
            <w:pPr>
              <w:pStyle w:val="47"/>
            </w:pPr>
            <w:r>
              <w:t>225</w:t>
            </w:r>
            <w:r>
              <w:rPr>
                <w:rFonts w:hint="eastAsia"/>
              </w:rPr>
              <w:t>人（</w:t>
            </w:r>
            <w:r>
              <w:t>365</w:t>
            </w:r>
            <w:r>
              <w:rPr>
                <w:rFonts w:hint="eastAsia"/>
              </w:rPr>
              <w:t>d/a）</w:t>
            </w:r>
          </w:p>
        </w:tc>
        <w:tc>
          <w:tcPr>
            <w:tcW w:w="1530" w:type="dxa"/>
            <w:tcBorders>
              <w:tl2br w:val="nil"/>
              <w:tr2bl w:val="nil"/>
            </w:tcBorders>
            <w:vAlign w:val="center"/>
          </w:tcPr>
          <w:p>
            <w:pPr>
              <w:pStyle w:val="47"/>
              <w:rPr>
                <w:spacing w:val="-6"/>
              </w:rPr>
            </w:pPr>
            <w:r>
              <w:rPr>
                <w:rFonts w:hint="eastAsia"/>
                <w:spacing w:val="-6"/>
              </w:rPr>
              <w:t>0.5kg/人</w:t>
            </w:r>
            <w:r>
              <w:rPr>
                <w:spacing w:val="-6"/>
              </w:rPr>
              <w:t>•</w:t>
            </w:r>
            <w:r>
              <w:rPr>
                <w:rFonts w:hint="eastAsia"/>
                <w:spacing w:val="-6"/>
              </w:rPr>
              <w:t>d</w:t>
            </w:r>
          </w:p>
        </w:tc>
        <w:tc>
          <w:tcPr>
            <w:tcW w:w="1675" w:type="dxa"/>
            <w:tcBorders>
              <w:tl2br w:val="nil"/>
              <w:tr2bl w:val="nil"/>
            </w:tcBorders>
            <w:vAlign w:val="center"/>
          </w:tcPr>
          <w:p>
            <w:pPr>
              <w:pStyle w:val="47"/>
            </w:pPr>
            <w:r>
              <w:rPr>
                <w:rFonts w:hint="eastAsia"/>
              </w:rPr>
              <w:t>41.06</w:t>
            </w:r>
          </w:p>
        </w:tc>
        <w:tc>
          <w:tcPr>
            <w:tcW w:w="1505" w:type="dxa"/>
            <w:vMerge w:val="continue"/>
            <w:tcBorders>
              <w:tl2br w:val="nil"/>
              <w:tr2bl w:val="nil"/>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rPr>
                <w:rFonts w:hint="eastAsia"/>
              </w:rPr>
              <w:t>4</w:t>
            </w:r>
          </w:p>
        </w:tc>
        <w:tc>
          <w:tcPr>
            <w:tcW w:w="1563" w:type="dxa"/>
            <w:tcBorders>
              <w:tl2br w:val="nil"/>
              <w:tr2bl w:val="nil"/>
            </w:tcBorders>
            <w:vAlign w:val="center"/>
          </w:tcPr>
          <w:p>
            <w:pPr>
              <w:pStyle w:val="47"/>
            </w:pPr>
            <w:r>
              <w:rPr>
                <w:rFonts w:hint="eastAsia"/>
              </w:rPr>
              <w:t>门诊人员</w:t>
            </w:r>
          </w:p>
        </w:tc>
        <w:tc>
          <w:tcPr>
            <w:tcW w:w="2141" w:type="dxa"/>
            <w:tcBorders>
              <w:tl2br w:val="nil"/>
              <w:tr2bl w:val="nil"/>
            </w:tcBorders>
            <w:vAlign w:val="center"/>
          </w:tcPr>
          <w:p>
            <w:pPr>
              <w:pStyle w:val="47"/>
            </w:pPr>
            <w:r>
              <w:t>1500</w:t>
            </w:r>
            <w:r>
              <w:rPr>
                <w:rFonts w:hint="eastAsia"/>
              </w:rPr>
              <w:t>人次（365d/a）</w:t>
            </w:r>
          </w:p>
        </w:tc>
        <w:tc>
          <w:tcPr>
            <w:tcW w:w="1530" w:type="dxa"/>
            <w:tcBorders>
              <w:tl2br w:val="nil"/>
              <w:tr2bl w:val="nil"/>
            </w:tcBorders>
            <w:vAlign w:val="center"/>
          </w:tcPr>
          <w:p>
            <w:pPr>
              <w:pStyle w:val="47"/>
            </w:pPr>
            <w:r>
              <w:rPr>
                <w:rFonts w:hint="eastAsia"/>
              </w:rPr>
              <w:t>0.2kg/人</w:t>
            </w:r>
            <w:r>
              <w:t>•</w:t>
            </w:r>
            <w:r>
              <w:rPr>
                <w:rFonts w:hint="eastAsia"/>
              </w:rPr>
              <w:t>次</w:t>
            </w:r>
          </w:p>
        </w:tc>
        <w:tc>
          <w:tcPr>
            <w:tcW w:w="1675" w:type="dxa"/>
            <w:tcBorders>
              <w:tl2br w:val="nil"/>
              <w:tr2bl w:val="nil"/>
            </w:tcBorders>
            <w:vAlign w:val="center"/>
          </w:tcPr>
          <w:p>
            <w:pPr>
              <w:pStyle w:val="47"/>
            </w:pPr>
            <w:r>
              <w:rPr>
                <w:rFonts w:hint="eastAsia"/>
              </w:rPr>
              <w:t>109.50</w:t>
            </w:r>
          </w:p>
        </w:tc>
        <w:tc>
          <w:tcPr>
            <w:tcW w:w="1505" w:type="dxa"/>
            <w:vMerge w:val="continue"/>
            <w:tcBorders>
              <w:tl2br w:val="nil"/>
              <w:tr2bl w:val="nil"/>
            </w:tcBorders>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73" w:type="dxa"/>
            <w:tcBorders>
              <w:tl2br w:val="nil"/>
              <w:tr2bl w:val="nil"/>
            </w:tcBorders>
            <w:vAlign w:val="center"/>
          </w:tcPr>
          <w:p>
            <w:pPr>
              <w:pStyle w:val="47"/>
            </w:pPr>
            <w:r>
              <w:rPr>
                <w:rFonts w:hint="eastAsia"/>
              </w:rPr>
              <w:t>5</w:t>
            </w:r>
          </w:p>
        </w:tc>
        <w:tc>
          <w:tcPr>
            <w:tcW w:w="5234" w:type="dxa"/>
            <w:gridSpan w:val="3"/>
            <w:tcBorders>
              <w:tl2br w:val="nil"/>
              <w:tr2bl w:val="nil"/>
            </w:tcBorders>
            <w:vAlign w:val="center"/>
          </w:tcPr>
          <w:p>
            <w:pPr>
              <w:pStyle w:val="47"/>
            </w:pPr>
            <w:r>
              <w:rPr>
                <w:rFonts w:hint="eastAsia"/>
              </w:rPr>
              <w:t>合计</w:t>
            </w:r>
          </w:p>
        </w:tc>
        <w:tc>
          <w:tcPr>
            <w:tcW w:w="1675" w:type="dxa"/>
            <w:tcBorders>
              <w:tl2br w:val="nil"/>
              <w:tr2bl w:val="nil"/>
            </w:tcBorders>
            <w:vAlign w:val="center"/>
          </w:tcPr>
          <w:p>
            <w:pPr>
              <w:pStyle w:val="47"/>
            </w:pPr>
            <w:r>
              <w:rPr>
                <w:rFonts w:hint="eastAsia"/>
              </w:rPr>
              <w:t>441.65</w:t>
            </w:r>
          </w:p>
        </w:tc>
        <w:tc>
          <w:tcPr>
            <w:tcW w:w="1505" w:type="dxa"/>
            <w:tcBorders>
              <w:tl2br w:val="nil"/>
              <w:tr2bl w:val="nil"/>
            </w:tcBorders>
            <w:vAlign w:val="center"/>
          </w:tcPr>
          <w:p>
            <w:pPr>
              <w:pStyle w:val="47"/>
            </w:pPr>
            <w:r>
              <w:rPr>
                <w:rFonts w:hint="eastAsia"/>
              </w:rPr>
              <w:t>/</w:t>
            </w:r>
          </w:p>
        </w:tc>
      </w:tr>
    </w:tbl>
    <w:p>
      <w:pPr>
        <w:widowControl/>
        <w:spacing w:line="360" w:lineRule="auto"/>
        <w:ind w:firstLine="456" w:firstLineChars="200"/>
        <w:jc w:val="left"/>
        <w:rPr>
          <w:rFonts w:ascii="Times New Roman" w:hAnsi="Times New Roman" w:eastAsia="宋体" w:cs="Times New Roman"/>
          <w:color w:val="000000"/>
          <w:spacing w:val="-6"/>
          <w:kern w:val="0"/>
          <w:sz w:val="24"/>
          <w:szCs w:val="20"/>
        </w:rPr>
      </w:pPr>
      <w:r>
        <w:rPr>
          <w:rFonts w:hint="eastAsia" w:ascii="Times New Roman" w:hAnsi="Times New Roman" w:eastAsia="宋体" w:cs="Times New Roman"/>
          <w:color w:val="000000"/>
          <w:spacing w:val="-6"/>
          <w:kern w:val="0"/>
          <w:sz w:val="24"/>
          <w:szCs w:val="20"/>
        </w:rPr>
        <w:t>根据表4.2-14可知，项目生活垃圾产生量为</w:t>
      </w:r>
      <w:r>
        <w:rPr>
          <w:rFonts w:ascii="Times New Roman" w:hAnsi="Times New Roman" w:eastAsia="宋体" w:cs="Times New Roman"/>
          <w:color w:val="000000"/>
          <w:spacing w:val="-6"/>
          <w:kern w:val="0"/>
          <w:sz w:val="24"/>
          <w:szCs w:val="20"/>
        </w:rPr>
        <w:t>441.65</w:t>
      </w:r>
      <w:r>
        <w:rPr>
          <w:rFonts w:hint="eastAsia" w:ascii="Times New Roman" w:hAnsi="Times New Roman" w:eastAsia="宋体" w:cs="Times New Roman"/>
          <w:color w:val="000000"/>
          <w:spacing w:val="-6"/>
          <w:kern w:val="0"/>
          <w:sz w:val="24"/>
          <w:szCs w:val="20"/>
        </w:rPr>
        <w:t>t/a。项目产生的生活垃圾集中收集后，定期由环卫部门清运处理。</w:t>
      </w:r>
    </w:p>
    <w:p>
      <w:pPr>
        <w:pStyle w:val="6"/>
      </w:pPr>
      <w:r>
        <w:rPr>
          <w:rFonts w:hint="eastAsia"/>
        </w:rPr>
        <w:t>医疗</w:t>
      </w:r>
      <w:r>
        <w:t>废物</w:t>
      </w:r>
    </w:p>
    <w:p>
      <w:pPr>
        <w:adjustRightInd w:val="0"/>
        <w:spacing w:line="360" w:lineRule="auto"/>
        <w:ind w:firstLine="480" w:firstLineChars="200"/>
        <w:textAlignment w:val="baseline"/>
        <w:rPr>
          <w:rFonts w:ascii="Times New Roman" w:hAnsi="Times New Roman" w:eastAsia="宋体" w:cs="Times New Roman"/>
          <w:color w:val="000000"/>
          <w:sz w:val="24"/>
          <w:szCs w:val="24"/>
        </w:rPr>
      </w:pPr>
      <w:r>
        <w:rPr>
          <w:rFonts w:hint="eastAsia" w:ascii="Times New Roman" w:hAnsi="Times New Roman" w:eastAsia="宋体" w:cs="Times New Roman"/>
          <w:kern w:val="0"/>
          <w:sz w:val="24"/>
          <w:szCs w:val="20"/>
        </w:rPr>
        <w:t>医疗废物来源广泛、成分复杂，如化学试剂、过期药品、一次性医疗器具、手术产生的病理废弃物等；包括检验后的血、尿、便污染的纱布、棉球；试管、导尿管、注射器等一次性医疗器材等，带有大量病毒、细菌，具有较高的感染性。</w:t>
      </w:r>
      <w:r>
        <w:rPr>
          <w:rFonts w:ascii="Times New Roman" w:hAnsi="Times New Roman" w:eastAsia="宋体" w:cs="Times New Roman"/>
          <w:color w:val="000000"/>
          <w:sz w:val="24"/>
          <w:szCs w:val="24"/>
        </w:rPr>
        <w:t>根据《国家危险废物名录（2021年）》，医疗废物属于“HW01”类危险废物。对照《医疗废物分类目录</w:t>
      </w:r>
      <w:r>
        <w:rPr>
          <w:rFonts w:hint="eastAsia" w:ascii="Times New Roman" w:hAnsi="Times New Roman" w:eastAsia="宋体" w:cs="Times New Roman"/>
          <w:color w:val="000000"/>
          <w:sz w:val="24"/>
          <w:szCs w:val="24"/>
        </w:rPr>
        <w:t>（2021版）</w:t>
      </w:r>
      <w:r>
        <w:rPr>
          <w:rFonts w:ascii="Times New Roman" w:hAnsi="Times New Roman" w:eastAsia="宋体" w:cs="Times New Roman"/>
          <w:color w:val="000000"/>
          <w:sz w:val="24"/>
          <w:szCs w:val="24"/>
        </w:rPr>
        <w:t xml:space="preserve">》，本项目产生医疗废物分类见下表。 </w:t>
      </w:r>
    </w:p>
    <w:p>
      <w:pPr>
        <w:pStyle w:val="22"/>
        <w:ind w:firstLine="480"/>
      </w:pPr>
      <w:r>
        <w:rPr>
          <w:rFonts w:hint="eastAsia"/>
        </w:rPr>
        <w:t>表</w:t>
      </w:r>
      <w:r>
        <w:t>4.2-15</w:t>
      </w:r>
      <w:r>
        <w:rPr>
          <w:rFonts w:hint="eastAsia"/>
        </w:rPr>
        <w:t xml:space="preserve">  项目</w:t>
      </w:r>
      <w:r>
        <w:t>医疗废物</w:t>
      </w:r>
      <w:r>
        <w:rPr>
          <w:rFonts w:hint="eastAsia"/>
        </w:rPr>
        <w:t>种类</w:t>
      </w:r>
      <w:r>
        <w:t>、来源及性质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978"/>
        <w:gridCol w:w="3589"/>
        <w:gridCol w:w="1245"/>
        <w:gridCol w:w="1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shd w:val="clear" w:color="auto" w:fill="auto"/>
            <w:vAlign w:val="center"/>
          </w:tcPr>
          <w:p>
            <w:pPr>
              <w:pStyle w:val="93"/>
              <w:snapToGrid w:val="0"/>
              <w:spacing w:before="0" w:after="0" w:line="300" w:lineRule="exact"/>
              <w:ind w:firstLine="0" w:firstLineChars="0"/>
              <w:jc w:val="center"/>
              <w:rPr>
                <w:rFonts w:ascii="Times New Roman" w:hAnsi="Times New Roman"/>
                <w:sz w:val="21"/>
                <w:szCs w:val="24"/>
                <w:u w:val="none"/>
              </w:rPr>
            </w:pPr>
            <w:r>
              <w:rPr>
                <w:rFonts w:hint="eastAsia" w:ascii="Times New Roman" w:hAnsi="Times New Roman"/>
                <w:sz w:val="21"/>
                <w:szCs w:val="24"/>
                <w:u w:val="none"/>
              </w:rPr>
              <w:t>类别</w:t>
            </w:r>
          </w:p>
        </w:tc>
        <w:tc>
          <w:tcPr>
            <w:tcW w:w="1978" w:type="dxa"/>
            <w:shd w:val="clear" w:color="auto" w:fill="auto"/>
            <w:vAlign w:val="center"/>
          </w:tcPr>
          <w:p>
            <w:pPr>
              <w:pStyle w:val="93"/>
              <w:snapToGrid w:val="0"/>
              <w:spacing w:before="0" w:after="0" w:line="300" w:lineRule="exact"/>
              <w:ind w:firstLine="0" w:firstLineChars="0"/>
              <w:jc w:val="center"/>
              <w:rPr>
                <w:rFonts w:ascii="Times New Roman" w:hAnsi="Times New Roman"/>
                <w:sz w:val="21"/>
                <w:szCs w:val="24"/>
                <w:u w:val="none"/>
              </w:rPr>
            </w:pPr>
            <w:r>
              <w:rPr>
                <w:rFonts w:hint="eastAsia" w:ascii="Times New Roman" w:hAnsi="Times New Roman"/>
                <w:sz w:val="21"/>
                <w:szCs w:val="24"/>
                <w:u w:val="none"/>
              </w:rPr>
              <w:t>特征</w:t>
            </w:r>
          </w:p>
        </w:tc>
        <w:tc>
          <w:tcPr>
            <w:tcW w:w="3589" w:type="dxa"/>
            <w:shd w:val="clear" w:color="auto" w:fill="auto"/>
            <w:vAlign w:val="center"/>
          </w:tcPr>
          <w:p>
            <w:pPr>
              <w:pStyle w:val="93"/>
              <w:snapToGrid w:val="0"/>
              <w:spacing w:before="0" w:after="0" w:line="300" w:lineRule="exact"/>
              <w:ind w:firstLine="0" w:firstLineChars="0"/>
              <w:jc w:val="center"/>
              <w:rPr>
                <w:rFonts w:ascii="Times New Roman" w:hAnsi="Times New Roman"/>
                <w:sz w:val="21"/>
                <w:szCs w:val="24"/>
                <w:u w:val="none"/>
              </w:rPr>
            </w:pPr>
            <w:r>
              <w:rPr>
                <w:rFonts w:hint="eastAsia" w:ascii="Times New Roman" w:hAnsi="Times New Roman"/>
                <w:sz w:val="21"/>
                <w:szCs w:val="24"/>
                <w:u w:val="none"/>
              </w:rPr>
              <w:t>废物名称</w:t>
            </w:r>
          </w:p>
        </w:tc>
        <w:tc>
          <w:tcPr>
            <w:tcW w:w="1245" w:type="dxa"/>
            <w:vAlign w:val="center"/>
          </w:tcPr>
          <w:p>
            <w:pPr>
              <w:spacing w:line="300" w:lineRule="exact"/>
              <w:jc w:val="center"/>
              <w:rPr>
                <w:b/>
                <w:szCs w:val="21"/>
              </w:rPr>
            </w:pPr>
            <w:r>
              <w:rPr>
                <w:b/>
                <w:bCs/>
                <w:szCs w:val="21"/>
              </w:rPr>
              <w:t>来源</w:t>
            </w:r>
          </w:p>
        </w:tc>
        <w:tc>
          <w:tcPr>
            <w:tcW w:w="1412" w:type="dxa"/>
            <w:vAlign w:val="center"/>
          </w:tcPr>
          <w:p>
            <w:pPr>
              <w:spacing w:line="300" w:lineRule="exact"/>
              <w:jc w:val="center"/>
              <w:rPr>
                <w:b/>
                <w:szCs w:val="21"/>
              </w:rPr>
            </w:pPr>
            <w:r>
              <w:rPr>
                <w:b/>
                <w:bCs/>
                <w:szCs w:val="21"/>
              </w:rPr>
              <w:t>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4"/>
                <w:u w:val="none"/>
              </w:rPr>
              <w:t>感染性废物</w:t>
            </w:r>
          </w:p>
        </w:tc>
        <w:tc>
          <w:tcPr>
            <w:tcW w:w="1978"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4"/>
                <w:u w:val="none"/>
              </w:rPr>
              <w:t>携带病原微生物具有引发感染性疾病传播危险的医疗废物。</w:t>
            </w: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1、被病人血液、体液、排泄物污染的物品，包括：</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--棉球、棉签、引流棉条、纱布及其他各种敷料；</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--一次性使用卫生用品、一次性使用医疗用品及一次性医疗器械；</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--废弃的被服；</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--其他被病人血液、体液、排泄物污染的物品。</w:t>
            </w:r>
          </w:p>
        </w:tc>
        <w:tc>
          <w:tcPr>
            <w:tcW w:w="1245" w:type="dxa"/>
            <w:vMerge w:val="restart"/>
            <w:vAlign w:val="center"/>
          </w:tcPr>
          <w:p>
            <w:pPr>
              <w:spacing w:line="300" w:lineRule="exact"/>
              <w:jc w:val="center"/>
              <w:rPr>
                <w:szCs w:val="21"/>
              </w:rPr>
            </w:pPr>
            <w:r>
              <w:rPr>
                <w:szCs w:val="21"/>
              </w:rPr>
              <w:t>治疗科室、病房、检验</w:t>
            </w:r>
          </w:p>
          <w:p>
            <w:pPr>
              <w:pStyle w:val="93"/>
              <w:snapToGrid w:val="0"/>
              <w:spacing w:before="0" w:after="0" w:line="300" w:lineRule="exact"/>
              <w:ind w:firstLine="0" w:firstLineChars="0"/>
              <w:jc w:val="center"/>
              <w:rPr>
                <w:rFonts w:ascii="Times New Roman" w:hAnsi="Times New Roman"/>
                <w:b w:val="0"/>
                <w:sz w:val="21"/>
                <w:szCs w:val="24"/>
                <w:u w:val="none"/>
              </w:rPr>
            </w:pPr>
            <w:r>
              <w:rPr>
                <w:rFonts w:ascii="Times New Roman" w:hAnsi="Times New Roman"/>
                <w:b w:val="0"/>
                <w:sz w:val="21"/>
                <w:szCs w:val="21"/>
                <w:u w:val="none"/>
              </w:rPr>
              <w:t>化验室和实验室等</w:t>
            </w:r>
          </w:p>
        </w:tc>
        <w:tc>
          <w:tcPr>
            <w:tcW w:w="1412" w:type="dxa"/>
            <w:vMerge w:val="restart"/>
            <w:vAlign w:val="center"/>
          </w:tcPr>
          <w:p>
            <w:pPr>
              <w:spacing w:line="300" w:lineRule="exact"/>
              <w:jc w:val="center"/>
              <w:rPr>
                <w:szCs w:val="21"/>
              </w:rPr>
            </w:pPr>
            <w:r>
              <w:rPr>
                <w:szCs w:val="21"/>
              </w:rPr>
              <w:t>带有病毒、病菌传染性和潜在传染性。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2、疑似</w:t>
            </w:r>
            <w:r>
              <w:rPr>
                <w:rFonts w:ascii="Times New Roman" w:hAnsi="Times New Roman"/>
                <w:b w:val="0"/>
                <w:sz w:val="21"/>
                <w:szCs w:val="24"/>
                <w:u w:val="none"/>
              </w:rPr>
              <w:t>传染病病人产生的生活垃圾。</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ascii="Times New Roman" w:hAnsi="Times New Roman"/>
                <w:b w:val="0"/>
                <w:sz w:val="21"/>
                <w:szCs w:val="24"/>
                <w:u w:val="none"/>
              </w:rPr>
              <w:t>3</w:t>
            </w:r>
            <w:r>
              <w:rPr>
                <w:rFonts w:hint="eastAsia" w:ascii="Times New Roman" w:hAnsi="Times New Roman"/>
                <w:b w:val="0"/>
                <w:sz w:val="21"/>
                <w:szCs w:val="24"/>
                <w:u w:val="none"/>
              </w:rPr>
              <w:t>、病原体的培养基、标本和菌种、毒种保存液。</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ascii="Times New Roman" w:hAnsi="Times New Roman"/>
                <w:b w:val="0"/>
                <w:sz w:val="21"/>
                <w:szCs w:val="24"/>
                <w:u w:val="none"/>
              </w:rPr>
              <w:t>4</w:t>
            </w:r>
            <w:r>
              <w:rPr>
                <w:rFonts w:hint="eastAsia" w:ascii="Times New Roman" w:hAnsi="Times New Roman"/>
                <w:b w:val="0"/>
                <w:sz w:val="21"/>
                <w:szCs w:val="24"/>
                <w:u w:val="none"/>
              </w:rPr>
              <w:t>、各种废弃的医学标本。</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ascii="Times New Roman" w:hAnsi="Times New Roman"/>
                <w:b w:val="0"/>
                <w:sz w:val="21"/>
                <w:szCs w:val="24"/>
                <w:u w:val="none"/>
              </w:rPr>
              <w:t>5</w:t>
            </w:r>
            <w:r>
              <w:rPr>
                <w:rFonts w:hint="eastAsia" w:ascii="Times New Roman" w:hAnsi="Times New Roman"/>
                <w:b w:val="0"/>
                <w:sz w:val="21"/>
                <w:szCs w:val="24"/>
                <w:u w:val="none"/>
              </w:rPr>
              <w:t>、废弃的血液、血清。</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ascii="Times New Roman" w:hAnsi="Times New Roman"/>
                <w:b w:val="0"/>
                <w:sz w:val="21"/>
                <w:szCs w:val="24"/>
                <w:u w:val="none"/>
              </w:rPr>
              <w:t>6</w:t>
            </w:r>
            <w:r>
              <w:rPr>
                <w:rFonts w:hint="eastAsia" w:ascii="Times New Roman" w:hAnsi="Times New Roman"/>
                <w:b w:val="0"/>
                <w:sz w:val="21"/>
                <w:szCs w:val="24"/>
                <w:u w:val="none"/>
              </w:rPr>
              <w:t>、使用后的一次性使用医疗用品及一次性医疗器械视为感染性废物。</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restart"/>
            <w:shd w:val="clear" w:color="auto" w:fill="auto"/>
            <w:vAlign w:val="center"/>
          </w:tcPr>
          <w:p>
            <w:pPr>
              <w:pStyle w:val="94"/>
              <w:adjustRightInd w:val="0"/>
              <w:snapToGrid w:val="0"/>
              <w:spacing w:before="0" w:beforeAutospacing="0" w:after="0" w:afterAutospacing="0" w:line="300" w:lineRule="exact"/>
              <w:rPr>
                <w:rFonts w:ascii="Times New Roman" w:hAnsi="Times New Roman" w:cs="Times New Roman"/>
                <w:bCs/>
                <w:sz w:val="21"/>
                <w:szCs w:val="21"/>
              </w:rPr>
            </w:pPr>
            <w:r>
              <w:rPr>
                <w:rFonts w:ascii="Times New Roman" w:hAnsi="Times New Roman" w:cs="Times New Roman"/>
                <w:bCs/>
                <w:sz w:val="21"/>
                <w:szCs w:val="21"/>
              </w:rPr>
              <w:t>病理性废物</w:t>
            </w:r>
          </w:p>
        </w:tc>
        <w:tc>
          <w:tcPr>
            <w:tcW w:w="1978"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1"/>
                <w:u w:val="none"/>
              </w:rPr>
              <w:t>诊疗过程中产生的人体废弃物和医学实验动物尸体等。</w:t>
            </w: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1"/>
                <w:u w:val="none"/>
              </w:rPr>
              <w:t>1、手术及其他诊疗过程中产生的废弃的人体组织、器官等。</w:t>
            </w:r>
          </w:p>
        </w:tc>
        <w:tc>
          <w:tcPr>
            <w:tcW w:w="1245" w:type="dxa"/>
            <w:vMerge w:val="restart"/>
            <w:vAlign w:val="center"/>
          </w:tcPr>
          <w:p>
            <w:pPr>
              <w:spacing w:line="300" w:lineRule="exact"/>
              <w:jc w:val="center"/>
              <w:rPr>
                <w:szCs w:val="21"/>
              </w:rPr>
            </w:pPr>
            <w:r>
              <w:rPr>
                <w:szCs w:val="21"/>
              </w:rPr>
              <w:t>手术与实验</w:t>
            </w:r>
          </w:p>
        </w:tc>
        <w:tc>
          <w:tcPr>
            <w:tcW w:w="1412" w:type="dxa"/>
            <w:vMerge w:val="restart"/>
            <w:vAlign w:val="center"/>
          </w:tcPr>
          <w:p>
            <w:pPr>
              <w:spacing w:line="300" w:lineRule="exact"/>
              <w:jc w:val="center"/>
              <w:rPr>
                <w:szCs w:val="21"/>
              </w:rPr>
            </w:pPr>
            <w:r>
              <w:rPr>
                <w:szCs w:val="21"/>
              </w:rPr>
              <w:t>有腐烂变质的可能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4"/>
              <w:adjustRightInd w:val="0"/>
              <w:snapToGrid w:val="0"/>
              <w:spacing w:before="0" w:beforeAutospacing="0" w:after="0" w:afterAutospacing="0" w:line="300" w:lineRule="exact"/>
              <w:rPr>
                <w:rFonts w:ascii="Times New Roman" w:hAnsi="Times New Roman"/>
                <w:sz w:val="21"/>
                <w:szCs w:val="21"/>
              </w:rPr>
            </w:pPr>
            <w:r>
              <w:rPr>
                <w:rFonts w:hint="eastAsia" w:ascii="Times New Roman" w:hAnsi="Times New Roman"/>
                <w:sz w:val="21"/>
                <w:szCs w:val="21"/>
              </w:rPr>
              <w:t>2、医学实验动物的组织、尸体。</w:t>
            </w:r>
          </w:p>
        </w:tc>
        <w:tc>
          <w:tcPr>
            <w:tcW w:w="1245" w:type="dxa"/>
            <w:vMerge w:val="continue"/>
            <w:vAlign w:val="center"/>
          </w:tcPr>
          <w:p>
            <w:pPr>
              <w:pStyle w:val="94"/>
              <w:adjustRightInd w:val="0"/>
              <w:snapToGrid w:val="0"/>
              <w:spacing w:before="0" w:beforeAutospacing="0" w:after="0" w:afterAutospacing="0" w:line="300" w:lineRule="exact"/>
              <w:jc w:val="center"/>
              <w:rPr>
                <w:rFonts w:ascii="Times New Roman" w:hAnsi="Times New Roman"/>
                <w:sz w:val="21"/>
                <w:szCs w:val="21"/>
              </w:rPr>
            </w:pPr>
          </w:p>
        </w:tc>
        <w:tc>
          <w:tcPr>
            <w:tcW w:w="1412" w:type="dxa"/>
            <w:vMerge w:val="continue"/>
            <w:vAlign w:val="center"/>
          </w:tcPr>
          <w:p>
            <w:pPr>
              <w:pStyle w:val="94"/>
              <w:adjustRightInd w:val="0"/>
              <w:snapToGrid w:val="0"/>
              <w:spacing w:before="0" w:beforeAutospacing="0" w:after="0" w:afterAutospacing="0" w:line="300" w:lineRule="exact"/>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4"/>
              <w:adjustRightInd w:val="0"/>
              <w:snapToGrid w:val="0"/>
              <w:spacing w:before="0" w:beforeAutospacing="0" w:after="0" w:afterAutospacing="0" w:line="300" w:lineRule="exact"/>
              <w:rPr>
                <w:rFonts w:ascii="Times New Roman" w:hAnsi="Times New Roman"/>
                <w:sz w:val="21"/>
              </w:rPr>
            </w:pPr>
            <w:r>
              <w:rPr>
                <w:rFonts w:hint="eastAsia" w:ascii="Times New Roman" w:hAnsi="Times New Roman"/>
                <w:sz w:val="21"/>
                <w:szCs w:val="21"/>
              </w:rPr>
              <w:t>3、病理切片后废弃的人体组织、病理腊块等</w:t>
            </w:r>
          </w:p>
        </w:tc>
        <w:tc>
          <w:tcPr>
            <w:tcW w:w="1245" w:type="dxa"/>
            <w:vMerge w:val="continue"/>
            <w:vAlign w:val="center"/>
          </w:tcPr>
          <w:p>
            <w:pPr>
              <w:pStyle w:val="94"/>
              <w:adjustRightInd w:val="0"/>
              <w:snapToGrid w:val="0"/>
              <w:spacing w:before="0" w:beforeAutospacing="0" w:after="0" w:afterAutospacing="0" w:line="300" w:lineRule="exact"/>
              <w:jc w:val="center"/>
              <w:rPr>
                <w:rFonts w:ascii="Times New Roman" w:hAnsi="Times New Roman"/>
                <w:sz w:val="21"/>
                <w:szCs w:val="21"/>
              </w:rPr>
            </w:pPr>
          </w:p>
        </w:tc>
        <w:tc>
          <w:tcPr>
            <w:tcW w:w="1412" w:type="dxa"/>
            <w:vMerge w:val="continue"/>
            <w:vAlign w:val="center"/>
          </w:tcPr>
          <w:p>
            <w:pPr>
              <w:pStyle w:val="94"/>
              <w:adjustRightInd w:val="0"/>
              <w:snapToGrid w:val="0"/>
              <w:spacing w:before="0" w:beforeAutospacing="0" w:after="0" w:afterAutospacing="0" w:line="300" w:lineRule="exact"/>
              <w:jc w:val="center"/>
              <w:rPr>
                <w:rFonts w:ascii="Times New Roman" w:hAns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4"/>
                <w:u w:val="none"/>
              </w:rPr>
              <w:t>损伤性废物</w:t>
            </w:r>
          </w:p>
        </w:tc>
        <w:tc>
          <w:tcPr>
            <w:tcW w:w="1978"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4"/>
                <w:u w:val="none"/>
              </w:rPr>
              <w:t>能够刺伤或者割伤人体的废弃的医用锐器。</w:t>
            </w: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1、医用针头、缝合针。</w:t>
            </w:r>
          </w:p>
        </w:tc>
        <w:tc>
          <w:tcPr>
            <w:tcW w:w="1245" w:type="dxa"/>
            <w:vMerge w:val="restart"/>
            <w:vAlign w:val="center"/>
          </w:tcPr>
          <w:p>
            <w:pPr>
              <w:spacing w:line="300" w:lineRule="exact"/>
              <w:jc w:val="center"/>
              <w:rPr>
                <w:szCs w:val="21"/>
              </w:rPr>
            </w:pPr>
            <w:r>
              <w:rPr>
                <w:szCs w:val="21"/>
              </w:rPr>
              <w:t>治疗科室、病房、检验</w:t>
            </w:r>
          </w:p>
          <w:p>
            <w:pPr>
              <w:pStyle w:val="93"/>
              <w:snapToGrid w:val="0"/>
              <w:spacing w:before="0" w:after="0" w:line="300" w:lineRule="exact"/>
              <w:ind w:firstLine="0" w:firstLineChars="0"/>
              <w:jc w:val="center"/>
              <w:rPr>
                <w:rFonts w:ascii="Times New Roman" w:hAnsi="Times New Roman"/>
                <w:b w:val="0"/>
                <w:sz w:val="21"/>
                <w:szCs w:val="24"/>
                <w:u w:val="none"/>
              </w:rPr>
            </w:pPr>
            <w:r>
              <w:rPr>
                <w:rFonts w:ascii="Times New Roman" w:hAnsi="Times New Roman"/>
                <w:b w:val="0"/>
                <w:sz w:val="21"/>
                <w:szCs w:val="21"/>
                <w:u w:val="none"/>
              </w:rPr>
              <w:t>化验室和实验室等</w:t>
            </w:r>
          </w:p>
        </w:tc>
        <w:tc>
          <w:tcPr>
            <w:tcW w:w="1412" w:type="dxa"/>
            <w:vMerge w:val="restart"/>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ascii="Times New Roman" w:hAnsi="Times New Roman"/>
                <w:b w:val="0"/>
                <w:sz w:val="21"/>
                <w:szCs w:val="21"/>
                <w:u w:val="none"/>
              </w:rPr>
              <w:t>能引起切伤刺伤的可能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1"/>
                <w:u w:val="none"/>
              </w:rPr>
              <w:t>2、各类医用锐器，包括：解剖刀、手术刀、备皮刀、手术锯等。</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1"/>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3、载玻片、玻璃试管、玻璃安瓿等。</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restart"/>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药物性废物</w:t>
            </w:r>
          </w:p>
        </w:tc>
        <w:tc>
          <w:tcPr>
            <w:tcW w:w="1978"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4"/>
                <w:u w:val="none"/>
              </w:rPr>
              <w:t>过期、淘汰、变质或者被污染的废弃的药品。</w:t>
            </w: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1、废弃的一般性药品，如：抗生素、非处方类药品等。</w:t>
            </w:r>
          </w:p>
        </w:tc>
        <w:tc>
          <w:tcPr>
            <w:tcW w:w="1245" w:type="dxa"/>
            <w:vMerge w:val="restart"/>
            <w:vAlign w:val="center"/>
          </w:tcPr>
          <w:p>
            <w:pPr>
              <w:spacing w:line="300" w:lineRule="exact"/>
              <w:jc w:val="center"/>
              <w:rPr>
                <w:szCs w:val="21"/>
              </w:rPr>
            </w:pPr>
            <w:r>
              <w:rPr>
                <w:szCs w:val="21"/>
              </w:rPr>
              <w:t>药物库房</w:t>
            </w:r>
          </w:p>
        </w:tc>
        <w:tc>
          <w:tcPr>
            <w:tcW w:w="1412" w:type="dxa"/>
            <w:vMerge w:val="restart"/>
            <w:vAlign w:val="center"/>
          </w:tcPr>
          <w:p>
            <w:pPr>
              <w:spacing w:line="300" w:lineRule="exact"/>
              <w:jc w:val="center"/>
              <w:rPr>
                <w:szCs w:val="21"/>
              </w:rPr>
            </w:pPr>
            <w:r>
              <w:rPr>
                <w:szCs w:val="21"/>
              </w:rPr>
              <w:t>有使用安全隐患。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2、废弃的细胞毒性药物和遗传毒性药物，包括：</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--致癌性药物，如硫唑嘌呤、苯丁酸氮芥、萘氮芥、环孢霉素、环磷酰胺、苯丙胺酸氮芥、司莫司汀、三苯氧氨、硫替派等；</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--可疑致癌性药物，如：顺铂、丝裂霉素、阿霉素、苯巴比妥等；</w:t>
            </w:r>
          </w:p>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--免疫抑制剂。</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pStyle w:val="93"/>
              <w:snapToGrid w:val="0"/>
              <w:spacing w:before="0" w:after="0" w:line="300" w:lineRule="exact"/>
              <w:ind w:firstLine="0" w:firstLineChars="0"/>
              <w:rPr>
                <w:rFonts w:ascii="Times New Roman" w:hAnsi="Times New Roman"/>
                <w:b w:val="0"/>
                <w:sz w:val="21"/>
                <w:szCs w:val="24"/>
                <w:u w:val="none"/>
              </w:rPr>
            </w:pPr>
            <w:r>
              <w:rPr>
                <w:rFonts w:hint="eastAsia" w:ascii="Times New Roman" w:hAnsi="Times New Roman"/>
                <w:b w:val="0"/>
                <w:sz w:val="21"/>
                <w:szCs w:val="24"/>
                <w:u w:val="none"/>
              </w:rPr>
              <w:t>3、废弃的疫苗、血液制品等。</w:t>
            </w:r>
          </w:p>
        </w:tc>
        <w:tc>
          <w:tcPr>
            <w:tcW w:w="1245"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412" w:type="dxa"/>
            <w:vMerge w:val="continue"/>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restart"/>
            <w:shd w:val="clear" w:color="auto" w:fill="auto"/>
            <w:vAlign w:val="center"/>
          </w:tcPr>
          <w:p>
            <w:pPr>
              <w:pStyle w:val="94"/>
              <w:adjustRightInd w:val="0"/>
              <w:snapToGrid w:val="0"/>
              <w:spacing w:before="0" w:beforeAutospacing="0" w:after="0" w:afterAutospacing="0" w:line="300" w:lineRule="exact"/>
              <w:jc w:val="center"/>
              <w:rPr>
                <w:rFonts w:ascii="Times New Roman" w:hAnsi="Times New Roman"/>
                <w:sz w:val="21"/>
              </w:rPr>
            </w:pPr>
            <w:r>
              <w:rPr>
                <w:rFonts w:ascii="Times New Roman" w:hAnsi="Times New Roman"/>
                <w:bCs/>
                <w:sz w:val="21"/>
              </w:rPr>
              <w:t>化学性废物</w:t>
            </w:r>
          </w:p>
        </w:tc>
        <w:tc>
          <w:tcPr>
            <w:tcW w:w="1978" w:type="dxa"/>
            <w:vMerge w:val="restart"/>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r>
              <w:rPr>
                <w:rFonts w:hint="eastAsia" w:ascii="Times New Roman" w:hAnsi="Times New Roman"/>
                <w:b w:val="0"/>
                <w:sz w:val="21"/>
                <w:szCs w:val="21"/>
                <w:u w:val="none"/>
              </w:rPr>
              <w:t>具有毒性、腐蚀性、易燃易爆性的废弃的化学物品。</w:t>
            </w:r>
          </w:p>
        </w:tc>
        <w:tc>
          <w:tcPr>
            <w:tcW w:w="3589" w:type="dxa"/>
            <w:shd w:val="clear" w:color="auto" w:fill="auto"/>
            <w:vAlign w:val="center"/>
          </w:tcPr>
          <w:p>
            <w:pPr>
              <w:spacing w:line="300" w:lineRule="exact"/>
            </w:pPr>
            <w:r>
              <w:rPr>
                <w:rFonts w:hint="eastAsia"/>
              </w:rPr>
              <w:t>1、医学影像室、实验室废弃的化学试剂。</w:t>
            </w:r>
          </w:p>
        </w:tc>
        <w:tc>
          <w:tcPr>
            <w:tcW w:w="1245" w:type="dxa"/>
            <w:vMerge w:val="restart"/>
            <w:vAlign w:val="center"/>
          </w:tcPr>
          <w:p>
            <w:pPr>
              <w:spacing w:line="300" w:lineRule="exact"/>
              <w:jc w:val="center"/>
              <w:rPr>
                <w:szCs w:val="21"/>
              </w:rPr>
            </w:pPr>
            <w:r>
              <w:rPr>
                <w:szCs w:val="21"/>
              </w:rPr>
              <w:t>临床诊断与实验、清洁与消毒</w:t>
            </w:r>
          </w:p>
        </w:tc>
        <w:tc>
          <w:tcPr>
            <w:tcW w:w="1412" w:type="dxa"/>
            <w:vMerge w:val="restart"/>
            <w:vAlign w:val="center"/>
          </w:tcPr>
          <w:p>
            <w:pPr>
              <w:spacing w:line="300" w:lineRule="exact"/>
              <w:jc w:val="center"/>
              <w:rPr>
                <w:szCs w:val="21"/>
              </w:rPr>
            </w:pPr>
            <w:r>
              <w:rPr>
                <w:szCs w:val="21"/>
              </w:rPr>
              <w:t>多数具有毒性、腐蚀性、易燃易爆等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spacing w:line="300" w:lineRule="exact"/>
            </w:pPr>
            <w:r>
              <w:rPr>
                <w:rFonts w:hint="eastAsia"/>
              </w:rPr>
              <w:t>2、废弃的过氧乙酸、戊二醛等化学消毒剂。</w:t>
            </w:r>
          </w:p>
        </w:tc>
        <w:tc>
          <w:tcPr>
            <w:tcW w:w="1245" w:type="dxa"/>
            <w:vMerge w:val="continue"/>
            <w:vAlign w:val="center"/>
          </w:tcPr>
          <w:p>
            <w:pPr>
              <w:spacing w:line="300" w:lineRule="exact"/>
              <w:jc w:val="center"/>
            </w:pPr>
          </w:p>
        </w:tc>
        <w:tc>
          <w:tcPr>
            <w:tcW w:w="1412" w:type="dxa"/>
            <w:vMerge w:val="continue"/>
            <w:vAlign w:val="center"/>
          </w:tcPr>
          <w:p>
            <w:pPr>
              <w:spacing w:line="300" w:lineRule="exact"/>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spacing w:line="300" w:lineRule="exact"/>
            </w:pPr>
            <w:r>
              <w:rPr>
                <w:szCs w:val="21"/>
              </w:rPr>
              <w:t>3</w:t>
            </w:r>
            <w:r>
              <w:rPr>
                <w:rFonts w:hint="eastAsia"/>
                <w:szCs w:val="21"/>
              </w:rPr>
              <w:t>、废弃的汞血压计、汞温度计。</w:t>
            </w:r>
          </w:p>
        </w:tc>
        <w:tc>
          <w:tcPr>
            <w:tcW w:w="1245" w:type="dxa"/>
            <w:vMerge w:val="continue"/>
            <w:vAlign w:val="center"/>
          </w:tcPr>
          <w:p>
            <w:pPr>
              <w:spacing w:line="300" w:lineRule="exact"/>
              <w:jc w:val="center"/>
              <w:rPr>
                <w:szCs w:val="21"/>
              </w:rPr>
            </w:pPr>
          </w:p>
        </w:tc>
        <w:tc>
          <w:tcPr>
            <w:tcW w:w="1412" w:type="dxa"/>
            <w:vMerge w:val="continue"/>
            <w:vAlign w:val="center"/>
          </w:tcPr>
          <w:p>
            <w:pPr>
              <w:spacing w:line="300" w:lineRule="exact"/>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46"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1978" w:type="dxa"/>
            <w:vMerge w:val="continue"/>
            <w:shd w:val="clear" w:color="auto" w:fill="auto"/>
            <w:vAlign w:val="center"/>
          </w:tcPr>
          <w:p>
            <w:pPr>
              <w:pStyle w:val="93"/>
              <w:snapToGrid w:val="0"/>
              <w:spacing w:before="0" w:after="0" w:line="300" w:lineRule="exact"/>
              <w:ind w:firstLine="0" w:firstLineChars="0"/>
              <w:jc w:val="center"/>
              <w:rPr>
                <w:rFonts w:ascii="Times New Roman" w:hAnsi="Times New Roman"/>
                <w:b w:val="0"/>
                <w:sz w:val="21"/>
                <w:szCs w:val="24"/>
                <w:u w:val="none"/>
              </w:rPr>
            </w:pPr>
          </w:p>
        </w:tc>
        <w:tc>
          <w:tcPr>
            <w:tcW w:w="3589" w:type="dxa"/>
            <w:shd w:val="clear" w:color="auto" w:fill="auto"/>
            <w:vAlign w:val="center"/>
          </w:tcPr>
          <w:p>
            <w:pPr>
              <w:spacing w:line="300" w:lineRule="exact"/>
              <w:rPr>
                <w:szCs w:val="21"/>
              </w:rPr>
            </w:pPr>
            <w:r>
              <w:rPr>
                <w:rFonts w:hint="eastAsia"/>
                <w:szCs w:val="21"/>
              </w:rPr>
              <w:t>4、</w:t>
            </w:r>
            <w:r>
              <w:rPr>
                <w:szCs w:val="21"/>
              </w:rPr>
              <w:t>酸碱类</w:t>
            </w:r>
            <w:r>
              <w:rPr>
                <w:rFonts w:hint="eastAsia"/>
                <w:szCs w:val="21"/>
              </w:rPr>
              <w:t>废液、</w:t>
            </w:r>
            <w:r>
              <w:rPr>
                <w:szCs w:val="21"/>
              </w:rPr>
              <w:t>有机溶剂废液</w:t>
            </w:r>
          </w:p>
        </w:tc>
        <w:tc>
          <w:tcPr>
            <w:tcW w:w="1245" w:type="dxa"/>
            <w:vAlign w:val="center"/>
          </w:tcPr>
          <w:p>
            <w:pPr>
              <w:spacing w:line="300" w:lineRule="exact"/>
              <w:jc w:val="center"/>
              <w:rPr>
                <w:szCs w:val="21"/>
              </w:rPr>
            </w:pPr>
          </w:p>
        </w:tc>
        <w:tc>
          <w:tcPr>
            <w:tcW w:w="1412" w:type="dxa"/>
            <w:vAlign w:val="center"/>
          </w:tcPr>
          <w:p>
            <w:pPr>
              <w:spacing w:line="300" w:lineRule="exact"/>
              <w:jc w:val="center"/>
              <w:rPr>
                <w:szCs w:val="21"/>
              </w:rPr>
            </w:pPr>
          </w:p>
        </w:tc>
      </w:tr>
    </w:tbl>
    <w:p>
      <w:pPr>
        <w:pStyle w:val="93"/>
        <w:snapToGrid w:val="0"/>
        <w:spacing w:before="0" w:after="0" w:line="240" w:lineRule="auto"/>
        <w:ind w:firstLine="0" w:firstLineChars="0"/>
        <w:jc w:val="left"/>
        <w:rPr>
          <w:rFonts w:ascii="Times New Roman"/>
          <w:sz w:val="21"/>
          <w:szCs w:val="24"/>
          <w:u w:val="none"/>
        </w:rPr>
      </w:pPr>
      <w:r>
        <w:rPr>
          <w:rFonts w:hint="eastAsia" w:ascii="Times New Roman"/>
          <w:sz w:val="21"/>
          <w:szCs w:val="24"/>
          <w:u w:val="none"/>
        </w:rPr>
        <w:t>注明：①一次性使用卫生用品是指使用一次后即丢弃的，与人体直接或者间接接触的，并为达到人体生理卫生或者卫生保健目的而使用的各种日常生活用品；</w:t>
      </w:r>
    </w:p>
    <w:p>
      <w:pPr>
        <w:pStyle w:val="93"/>
        <w:snapToGrid w:val="0"/>
        <w:spacing w:before="0" w:after="0" w:line="240" w:lineRule="auto"/>
        <w:ind w:firstLine="0" w:firstLineChars="0"/>
        <w:jc w:val="left"/>
        <w:rPr>
          <w:rFonts w:ascii="Times New Roman"/>
          <w:sz w:val="21"/>
          <w:szCs w:val="24"/>
          <w:u w:val="none"/>
        </w:rPr>
      </w:pPr>
      <w:r>
        <w:rPr>
          <w:rFonts w:hint="eastAsia" w:ascii="Times New Roman"/>
          <w:sz w:val="21"/>
          <w:szCs w:val="24"/>
          <w:u w:val="none"/>
        </w:rPr>
        <w:t>②一次性使用医疗用品是指临床用于病人检查、诊断、治疗、护理的指套、手套、吸痰管、皮肤清洁巾、擦手巾、压舌板、臀垫等接触完整黏膜、皮肤的各类一次性使用医疗、护理用品；</w:t>
      </w:r>
    </w:p>
    <w:p>
      <w:pPr>
        <w:pStyle w:val="93"/>
        <w:snapToGrid w:val="0"/>
        <w:spacing w:before="0" w:after="0" w:line="240" w:lineRule="auto"/>
        <w:ind w:firstLine="0" w:firstLineChars="0"/>
        <w:jc w:val="left"/>
        <w:rPr>
          <w:rFonts w:ascii="Times New Roman"/>
          <w:sz w:val="21"/>
          <w:szCs w:val="24"/>
          <w:u w:val="none"/>
        </w:rPr>
      </w:pPr>
      <w:r>
        <w:rPr>
          <w:rFonts w:hint="eastAsia" w:ascii="Times New Roman"/>
          <w:sz w:val="21"/>
          <w:szCs w:val="24"/>
          <w:u w:val="none"/>
        </w:rPr>
        <w:t>③一次性医疗器械指《医疗器械管理条例》及相关配套文件所规定的用于人体的一次性仪器、设备、器具、材料等物品。</w:t>
      </w:r>
    </w:p>
    <w:p>
      <w:pPr>
        <w:adjustRightInd w:val="0"/>
        <w:spacing w:line="360" w:lineRule="auto"/>
        <w:ind w:firstLine="480" w:firstLineChars="200"/>
        <w:textAlignment w:val="baseline"/>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根据《第一次全国污染源普查 城镇生活源产排污系数手册》、《社会区域类环境影响评价》（中国环境科学出版社），门诊医疗废物按0.05kg/人·次计、病房医疗废物按0.5kg/床· d计，则门诊医疗废物产生量为</w:t>
      </w:r>
      <w:r>
        <w:rPr>
          <w:rFonts w:ascii="Times New Roman" w:hAnsi="Times New Roman" w:eastAsia="宋体" w:cs="Times New Roman"/>
          <w:kern w:val="0"/>
          <w:sz w:val="24"/>
          <w:szCs w:val="20"/>
        </w:rPr>
        <w:t>75</w:t>
      </w:r>
      <w:r>
        <w:rPr>
          <w:rFonts w:hint="eastAsia" w:ascii="Times New Roman" w:hAnsi="Times New Roman" w:eastAsia="宋体" w:cs="Times New Roman"/>
          <w:kern w:val="0"/>
          <w:sz w:val="24"/>
          <w:szCs w:val="20"/>
        </w:rPr>
        <w:t>kg/d，病房医疗废物产生量为</w:t>
      </w:r>
      <w:r>
        <w:rPr>
          <w:rFonts w:ascii="Times New Roman" w:hAnsi="Times New Roman" w:eastAsia="宋体" w:cs="Times New Roman"/>
          <w:kern w:val="0"/>
          <w:sz w:val="24"/>
          <w:szCs w:val="20"/>
        </w:rPr>
        <w:t>250</w:t>
      </w:r>
      <w:r>
        <w:rPr>
          <w:rFonts w:hint="eastAsia" w:ascii="Times New Roman" w:hAnsi="Times New Roman" w:eastAsia="宋体" w:cs="Times New Roman"/>
          <w:kern w:val="0"/>
          <w:sz w:val="24"/>
          <w:szCs w:val="20"/>
        </w:rPr>
        <w:t>kg/d，医疗废物产生量为</w:t>
      </w:r>
      <w:r>
        <w:rPr>
          <w:rFonts w:ascii="Times New Roman" w:hAnsi="Times New Roman" w:eastAsia="宋体" w:cs="Times New Roman"/>
          <w:kern w:val="0"/>
          <w:sz w:val="24"/>
          <w:szCs w:val="20"/>
        </w:rPr>
        <w:t>325</w:t>
      </w:r>
      <w:r>
        <w:rPr>
          <w:rFonts w:hint="eastAsia" w:ascii="Times New Roman" w:hAnsi="Times New Roman" w:eastAsia="宋体" w:cs="Times New Roman"/>
          <w:kern w:val="0"/>
          <w:sz w:val="24"/>
          <w:szCs w:val="20"/>
        </w:rPr>
        <w:t>kg/d（</w:t>
      </w:r>
      <w:r>
        <w:rPr>
          <w:rFonts w:ascii="Times New Roman" w:hAnsi="Times New Roman" w:eastAsia="宋体" w:cs="Times New Roman"/>
          <w:kern w:val="0"/>
          <w:sz w:val="24"/>
          <w:szCs w:val="20"/>
        </w:rPr>
        <w:t>118.63</w:t>
      </w:r>
      <w:r>
        <w:rPr>
          <w:rFonts w:hint="eastAsia" w:ascii="Times New Roman" w:hAnsi="Times New Roman" w:eastAsia="宋体" w:cs="Times New Roman"/>
          <w:kern w:val="0"/>
          <w:sz w:val="24"/>
          <w:szCs w:val="20"/>
        </w:rPr>
        <w:t>t/a）。</w:t>
      </w:r>
    </w:p>
    <w:p>
      <w:pPr>
        <w:adjustRightInd w:val="0"/>
        <w:spacing w:line="360"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医疗废物由每层各科室分类收集本单元产生的医疗废物后，并按照类别分置于防渗漏、防锐器穿透的专用包装物或者密闭的容器内。分类收集暂存在医疗废物暂存间，</w:t>
      </w:r>
      <w:r>
        <w:rPr>
          <w:rFonts w:hint="eastAsia" w:ascii="Times New Roman" w:hAnsi="Times New Roman" w:eastAsia="宋体" w:cs="Times New Roman"/>
          <w:kern w:val="0"/>
          <w:sz w:val="24"/>
          <w:szCs w:val="20"/>
        </w:rPr>
        <w:t>暂存间</w:t>
      </w:r>
      <w:r>
        <w:rPr>
          <w:rFonts w:ascii="Times New Roman" w:hAnsi="Times New Roman" w:eastAsia="宋体" w:cs="Times New Roman"/>
          <w:kern w:val="0"/>
          <w:sz w:val="24"/>
          <w:szCs w:val="20"/>
        </w:rPr>
        <w:t>位于</w:t>
      </w:r>
      <w:r>
        <w:rPr>
          <w:rFonts w:hint="eastAsia" w:ascii="Times New Roman" w:hAnsi="Times New Roman" w:eastAsia="宋体" w:cs="Times New Roman"/>
          <w:kern w:val="0"/>
          <w:sz w:val="24"/>
          <w:szCs w:val="20"/>
        </w:rPr>
        <w:t>住院楼医技楼地下</w:t>
      </w:r>
      <w:r>
        <w:rPr>
          <w:rFonts w:ascii="Times New Roman" w:hAnsi="Times New Roman" w:eastAsia="宋体" w:cs="Times New Roman"/>
          <w:kern w:val="0"/>
          <w:sz w:val="24"/>
          <w:szCs w:val="20"/>
        </w:rPr>
        <w:t>一层</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面积约40.66m</w:t>
      </w:r>
      <w:r>
        <w:rPr>
          <w:rFonts w:ascii="Times New Roman" w:hAnsi="Times New Roman" w:eastAsia="宋体" w:cs="Times New Roman"/>
          <w:kern w:val="0"/>
          <w:sz w:val="24"/>
          <w:szCs w:val="20"/>
          <w:vertAlign w:val="superscript"/>
        </w:rPr>
        <w:t>2</w:t>
      </w:r>
      <w:r>
        <w:rPr>
          <w:rFonts w:hint="eastAsia" w:ascii="Times New Roman" w:hAnsi="Times New Roman" w:eastAsia="宋体" w:cs="Times New Roman"/>
          <w:kern w:val="0"/>
          <w:sz w:val="24"/>
          <w:szCs w:val="20"/>
        </w:rPr>
        <w:t>，医疗废物日产日清，</w:t>
      </w:r>
      <w:r>
        <w:rPr>
          <w:rFonts w:ascii="Times New Roman" w:hAnsi="Times New Roman" w:eastAsia="宋体" w:cs="Times New Roman"/>
          <w:kern w:val="0"/>
          <w:sz w:val="24"/>
          <w:szCs w:val="20"/>
        </w:rPr>
        <w:t>交由</w:t>
      </w:r>
      <w:r>
        <w:rPr>
          <w:rFonts w:hint="eastAsia" w:ascii="Times New Roman" w:hAnsi="Times New Roman" w:eastAsia="宋体" w:cs="Times New Roman"/>
          <w:kern w:val="0"/>
          <w:sz w:val="24"/>
          <w:szCs w:val="20"/>
        </w:rPr>
        <w:t>有资质</w:t>
      </w:r>
      <w:r>
        <w:rPr>
          <w:rFonts w:ascii="Times New Roman" w:hAnsi="Times New Roman" w:eastAsia="宋体" w:cs="Times New Roman"/>
          <w:kern w:val="0"/>
          <w:sz w:val="24"/>
          <w:szCs w:val="20"/>
        </w:rPr>
        <w:t>单位处置。</w:t>
      </w:r>
    </w:p>
    <w:p>
      <w:pPr>
        <w:pStyle w:val="6"/>
      </w:pPr>
      <w:r>
        <w:rPr>
          <w:rFonts w:hint="eastAsia"/>
        </w:rPr>
        <w:t>食堂餐厨</w:t>
      </w:r>
      <w:r>
        <w:t>垃圾及废油脂</w:t>
      </w:r>
    </w:p>
    <w:p>
      <w:pPr>
        <w:adjustRightInd w:val="0"/>
        <w:spacing w:line="360" w:lineRule="auto"/>
        <w:ind w:firstLine="480" w:firstLineChars="200"/>
        <w:textAlignment w:val="baseline"/>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本项目食堂就餐人数为1</w:t>
      </w:r>
      <w:r>
        <w:rPr>
          <w:rFonts w:ascii="Times New Roman" w:hAnsi="Times New Roman" w:eastAsia="宋体" w:cs="Times New Roman"/>
          <w:kern w:val="0"/>
          <w:sz w:val="24"/>
          <w:szCs w:val="20"/>
        </w:rPr>
        <w:t>236</w:t>
      </w:r>
      <w:r>
        <w:rPr>
          <w:rFonts w:hint="eastAsia" w:ascii="Times New Roman" w:hAnsi="Times New Roman" w:eastAsia="宋体" w:cs="Times New Roman"/>
          <w:kern w:val="0"/>
          <w:sz w:val="24"/>
          <w:szCs w:val="20"/>
        </w:rPr>
        <w:t>人/d，餐厨垃圾产生量0.</w:t>
      </w:r>
      <w:r>
        <w:rPr>
          <w:rFonts w:ascii="Times New Roman" w:hAnsi="Times New Roman" w:eastAsia="宋体" w:cs="Times New Roman"/>
          <w:kern w:val="0"/>
          <w:sz w:val="24"/>
          <w:szCs w:val="20"/>
        </w:rPr>
        <w:t>2</w:t>
      </w:r>
      <w:r>
        <w:rPr>
          <w:rFonts w:hint="eastAsia" w:ascii="Times New Roman" w:hAnsi="Times New Roman" w:eastAsia="宋体" w:cs="Times New Roman"/>
          <w:kern w:val="0"/>
          <w:sz w:val="24"/>
          <w:szCs w:val="20"/>
        </w:rPr>
        <w:t>kg/人•d，则项目餐厨垃圾产生量为</w:t>
      </w:r>
      <w:r>
        <w:rPr>
          <w:rFonts w:ascii="Times New Roman" w:hAnsi="Times New Roman" w:eastAsia="宋体" w:cs="Times New Roman"/>
          <w:kern w:val="0"/>
          <w:sz w:val="24"/>
          <w:szCs w:val="20"/>
        </w:rPr>
        <w:t>247.2</w:t>
      </w:r>
      <w:r>
        <w:rPr>
          <w:rFonts w:hint="eastAsia" w:ascii="Times New Roman" w:hAnsi="Times New Roman" w:eastAsia="宋体" w:cs="Times New Roman"/>
          <w:kern w:val="0"/>
          <w:sz w:val="24"/>
          <w:szCs w:val="20"/>
        </w:rPr>
        <w:t>kg/d，</w:t>
      </w:r>
      <w:r>
        <w:rPr>
          <w:rFonts w:ascii="Times New Roman" w:hAnsi="Times New Roman" w:eastAsia="宋体" w:cs="Times New Roman"/>
          <w:kern w:val="0"/>
          <w:sz w:val="24"/>
          <w:szCs w:val="20"/>
        </w:rPr>
        <w:t>90.23</w:t>
      </w:r>
      <w:r>
        <w:rPr>
          <w:rFonts w:hint="eastAsia" w:ascii="Times New Roman" w:hAnsi="Times New Roman" w:eastAsia="宋体" w:cs="Times New Roman"/>
          <w:kern w:val="0"/>
          <w:sz w:val="24"/>
          <w:szCs w:val="20"/>
        </w:rPr>
        <w:t>t/a，食堂废油脂按照1.58g/人•d计算，则项目废油脂产生量为</w:t>
      </w:r>
      <w:r>
        <w:rPr>
          <w:rFonts w:ascii="Times New Roman" w:hAnsi="Times New Roman" w:eastAsia="宋体" w:cs="Times New Roman"/>
          <w:kern w:val="0"/>
          <w:sz w:val="24"/>
          <w:szCs w:val="20"/>
        </w:rPr>
        <w:t>1.95</w:t>
      </w:r>
      <w:r>
        <w:rPr>
          <w:rFonts w:hint="eastAsia" w:ascii="Times New Roman" w:hAnsi="Times New Roman" w:eastAsia="宋体" w:cs="Times New Roman"/>
          <w:kern w:val="0"/>
          <w:sz w:val="24"/>
          <w:szCs w:val="20"/>
        </w:rPr>
        <w:t>kg/d，</w:t>
      </w:r>
      <w:r>
        <w:rPr>
          <w:rFonts w:ascii="Times New Roman" w:hAnsi="Times New Roman" w:eastAsia="宋体" w:cs="Times New Roman"/>
          <w:kern w:val="0"/>
          <w:sz w:val="24"/>
          <w:szCs w:val="20"/>
        </w:rPr>
        <w:t>0.71</w:t>
      </w:r>
      <w:r>
        <w:rPr>
          <w:rFonts w:hint="eastAsia" w:ascii="Times New Roman" w:hAnsi="Times New Roman" w:eastAsia="宋体" w:cs="Times New Roman"/>
          <w:kern w:val="0"/>
          <w:sz w:val="24"/>
          <w:szCs w:val="20"/>
        </w:rPr>
        <w:t>t/a。餐厨垃圾及废油脂经统一收集后交由专人回收。</w:t>
      </w:r>
    </w:p>
    <w:p>
      <w:pPr>
        <w:pStyle w:val="6"/>
      </w:pPr>
      <w:r>
        <w:rPr>
          <w:rFonts w:hint="eastAsia"/>
        </w:rPr>
        <w:t>污水</w:t>
      </w:r>
      <w:r>
        <w:t>处理站污泥</w:t>
      </w:r>
    </w:p>
    <w:p>
      <w:pPr>
        <w:pStyle w:val="40"/>
        <w:ind w:firstLine="480"/>
        <w:rPr>
          <w:highlight w:val="yellow"/>
        </w:rPr>
      </w:pPr>
      <w:r>
        <w:rPr>
          <w:rFonts w:hint="eastAsia"/>
        </w:rPr>
        <w:t>本项目纳入废水处理站的废水量为</w:t>
      </w:r>
      <w:r>
        <w:t>195.32m</w:t>
      </w:r>
      <w:r>
        <w:rPr>
          <w:vertAlign w:val="superscript"/>
        </w:rPr>
        <w:t>3</w:t>
      </w:r>
      <w:r>
        <w:rPr>
          <w:rFonts w:hint="eastAsia"/>
        </w:rPr>
        <w:t>/d，</w:t>
      </w:r>
      <w:r>
        <w:t>71291.8</w:t>
      </w:r>
      <w:r>
        <w:rPr>
          <w:rFonts w:hint="eastAsia"/>
        </w:rPr>
        <w:t>t/a，根据《第一次全国污染源普查集中式污染治理设施产排污系数手册》，在不采用污泥消化工艺的情况下，进水悬浮物浓度为中（200~300mg/L）时，含水污泥产生系数为6.63t/万t污水量，则自建污水处理站产生的含水污泥量约为</w:t>
      </w:r>
      <w:r>
        <w:t>47.27</w:t>
      </w:r>
      <w:r>
        <w:rPr>
          <w:rFonts w:hint="eastAsia"/>
        </w:rPr>
        <w:t>t/a。</w:t>
      </w:r>
    </w:p>
    <w:p>
      <w:pPr>
        <w:pStyle w:val="64"/>
        <w:ind w:firstLine="480"/>
        <w:rPr>
          <w:rFonts w:ascii="Times New Roman" w:cs="宋体"/>
          <w:color w:val="auto"/>
          <w:w w:val="100"/>
        </w:rPr>
      </w:pPr>
      <w:r>
        <w:rPr>
          <w:rFonts w:hint="eastAsia"/>
          <w:color w:val="auto"/>
          <w:w w:val="100"/>
        </w:rPr>
        <w:t>根据《医疗机构水污染物排放标准》</w:t>
      </w:r>
      <w:r>
        <w:rPr>
          <w:rStyle w:val="41"/>
          <w:rFonts w:hint="eastAsia"/>
          <w:color w:val="auto"/>
          <w:w w:val="100"/>
        </w:rPr>
        <w:t>（GB18466-2005），项目自建污水处理站污泥属于危险废物，根据</w:t>
      </w:r>
      <w:r>
        <w:rPr>
          <w:rStyle w:val="41"/>
          <w:color w:val="auto"/>
          <w:w w:val="100"/>
        </w:rPr>
        <w:t>《</w:t>
      </w:r>
      <w:r>
        <w:rPr>
          <w:rStyle w:val="41"/>
          <w:rFonts w:hint="eastAsia"/>
          <w:color w:val="auto"/>
          <w:w w:val="100"/>
        </w:rPr>
        <w:t>国家</w:t>
      </w:r>
      <w:r>
        <w:rPr>
          <w:rStyle w:val="41"/>
          <w:color w:val="auto"/>
          <w:w w:val="100"/>
        </w:rPr>
        <w:t>危险废物名录》</w:t>
      </w:r>
      <w:r>
        <w:rPr>
          <w:rStyle w:val="41"/>
          <w:rFonts w:hint="eastAsia"/>
          <w:color w:val="auto"/>
          <w:w w:val="100"/>
        </w:rPr>
        <w:t>（202</w:t>
      </w:r>
      <w:r>
        <w:rPr>
          <w:rStyle w:val="41"/>
          <w:color w:val="auto"/>
          <w:w w:val="100"/>
        </w:rPr>
        <w:t>1</w:t>
      </w:r>
      <w:r>
        <w:rPr>
          <w:rStyle w:val="41"/>
          <w:rFonts w:hint="eastAsia"/>
          <w:color w:val="auto"/>
          <w:w w:val="100"/>
        </w:rPr>
        <w:t>年</w:t>
      </w:r>
      <w:r>
        <w:rPr>
          <w:rStyle w:val="41"/>
          <w:color w:val="auto"/>
          <w:w w:val="100"/>
        </w:rPr>
        <w:t>版</w:t>
      </w:r>
      <w:r>
        <w:rPr>
          <w:rStyle w:val="41"/>
          <w:rFonts w:hint="eastAsia"/>
          <w:color w:val="auto"/>
          <w:w w:val="100"/>
        </w:rPr>
        <w:t>）（部</w:t>
      </w:r>
      <w:r>
        <w:rPr>
          <w:rStyle w:val="41"/>
          <w:color w:val="auto"/>
          <w:w w:val="100"/>
        </w:rPr>
        <w:t>令第</w:t>
      </w:r>
      <w:r>
        <w:rPr>
          <w:rStyle w:val="41"/>
          <w:rFonts w:hint="eastAsia"/>
          <w:color w:val="auto"/>
          <w:w w:val="100"/>
        </w:rPr>
        <w:t>15号），属于</w:t>
      </w:r>
      <w:r>
        <w:rPr>
          <w:rStyle w:val="41"/>
          <w:color w:val="auto"/>
          <w:w w:val="100"/>
        </w:rPr>
        <w:t>医疗</w:t>
      </w:r>
      <w:r>
        <w:rPr>
          <w:rStyle w:val="41"/>
          <w:rFonts w:hint="eastAsia"/>
          <w:color w:val="auto"/>
          <w:w w:val="100"/>
        </w:rPr>
        <w:t>废物</w:t>
      </w:r>
      <w:r>
        <w:rPr>
          <w:rStyle w:val="41"/>
          <w:color w:val="auto"/>
          <w:w w:val="100"/>
        </w:rPr>
        <w:t>HW01中的感染性废物，</w:t>
      </w:r>
      <w:r>
        <w:rPr>
          <w:rStyle w:val="41"/>
          <w:rFonts w:hint="eastAsia"/>
          <w:color w:val="auto"/>
          <w:w w:val="100"/>
        </w:rPr>
        <w:t>废物</w:t>
      </w:r>
      <w:r>
        <w:rPr>
          <w:rStyle w:val="41"/>
          <w:color w:val="auto"/>
          <w:w w:val="100"/>
        </w:rPr>
        <w:t>代码为</w:t>
      </w:r>
      <w:r>
        <w:rPr>
          <w:rStyle w:val="41"/>
          <w:rFonts w:hint="eastAsia"/>
          <w:color w:val="auto"/>
          <w:w w:val="100"/>
        </w:rPr>
        <w:t>HW</w:t>
      </w:r>
      <w:r>
        <w:rPr>
          <w:rStyle w:val="41"/>
          <w:color w:val="auto"/>
          <w:w w:val="100"/>
        </w:rPr>
        <w:t>01-841-001-01</w:t>
      </w:r>
      <w:r>
        <w:rPr>
          <w:rStyle w:val="41"/>
          <w:rFonts w:hint="eastAsia"/>
          <w:color w:val="auto"/>
          <w:w w:val="100"/>
        </w:rPr>
        <w:t>，</w:t>
      </w:r>
      <w:r>
        <w:rPr>
          <w:rStyle w:val="41"/>
          <w:color w:val="auto"/>
          <w:w w:val="100"/>
        </w:rPr>
        <w:t>污泥脱水后采用</w:t>
      </w:r>
      <w:r>
        <w:rPr>
          <w:rStyle w:val="41"/>
          <w:rFonts w:hint="eastAsia"/>
          <w:color w:val="auto"/>
          <w:w w:val="100"/>
        </w:rPr>
        <w:t>生石灰作为消毒剂，投加生石灰充</w:t>
      </w:r>
      <w:r>
        <w:rPr>
          <w:rFonts w:hint="eastAsia" w:ascii="Times New Roman" w:cs="宋体"/>
          <w:color w:val="auto"/>
          <w:w w:val="100"/>
        </w:rPr>
        <w:t>分搅拌均匀后保持接触30-60min，污泥产生量较少，不会产生异味影响，消毒处理后的污泥交</w:t>
      </w:r>
      <w:r>
        <w:rPr>
          <w:rFonts w:ascii="Times New Roman" w:cs="宋体"/>
          <w:color w:val="auto"/>
          <w:w w:val="100"/>
        </w:rPr>
        <w:t>有资质单位处置。</w:t>
      </w:r>
    </w:p>
    <w:p>
      <w:pPr>
        <w:pStyle w:val="6"/>
      </w:pPr>
      <w:r>
        <w:rPr>
          <w:rFonts w:hint="eastAsia"/>
        </w:rPr>
        <w:t xml:space="preserve"> 废包装物</w:t>
      </w:r>
    </w:p>
    <w:p>
      <w:pPr>
        <w:pStyle w:val="40"/>
        <w:ind w:firstLine="480"/>
      </w:pPr>
      <w:r>
        <w:rPr>
          <w:rFonts w:hint="eastAsia"/>
        </w:rPr>
        <w:t>项目药品及器材废包装材料每天产生量约20kg/d，年产生量7</w:t>
      </w:r>
      <w:r>
        <w:t>.</w:t>
      </w:r>
      <w:r>
        <w:rPr>
          <w:rFonts w:hint="eastAsia"/>
        </w:rPr>
        <w:t>3t/a，集中收集后由废旧资源回收部门回收利用。</w:t>
      </w:r>
    </w:p>
    <w:p>
      <w:pPr>
        <w:pStyle w:val="6"/>
      </w:pPr>
      <w:r>
        <w:rPr>
          <w:rFonts w:hint="eastAsia"/>
        </w:rPr>
        <w:t>中药</w:t>
      </w:r>
      <w:r>
        <w:t>药渣</w:t>
      </w:r>
    </w:p>
    <w:p>
      <w:pPr>
        <w:pStyle w:val="40"/>
        <w:ind w:firstLine="480"/>
      </w:pPr>
      <w:r>
        <w:rPr>
          <w:rFonts w:hint="eastAsia"/>
        </w:rPr>
        <w:t>本项目</w:t>
      </w:r>
      <w:r>
        <w:t>设置中药房以及提供煎药服务，在</w:t>
      </w:r>
      <w:r>
        <w:rPr>
          <w:rFonts w:hint="eastAsia"/>
        </w:rPr>
        <w:t>煎药</w:t>
      </w:r>
      <w:r>
        <w:t>过程中会</w:t>
      </w:r>
      <w:r>
        <w:rPr>
          <w:rFonts w:hint="eastAsia"/>
        </w:rPr>
        <w:t>产生</w:t>
      </w:r>
      <w:r>
        <w:t>中药药渣，主要成分为植物根茎叶，类比同类项目，其产生量为</w:t>
      </w:r>
      <w:r>
        <w:rPr>
          <w:rFonts w:hint="eastAsia"/>
        </w:rPr>
        <w:t>5</w:t>
      </w:r>
      <w:r>
        <w:t>kg/d，</w:t>
      </w:r>
      <w:r>
        <w:rPr>
          <w:rFonts w:hint="eastAsia"/>
        </w:rPr>
        <w:t>1.83</w:t>
      </w:r>
      <w:r>
        <w:t>t/a。</w:t>
      </w:r>
      <w:r>
        <w:rPr>
          <w:rFonts w:hint="eastAsia"/>
        </w:rPr>
        <w:t>分类</w:t>
      </w:r>
      <w:r>
        <w:t>收集后交环卫部门统一处理。</w:t>
      </w:r>
    </w:p>
    <w:p>
      <w:pPr>
        <w:pStyle w:val="6"/>
      </w:pPr>
      <w:r>
        <w:rPr>
          <w:rFonts w:hint="eastAsia"/>
        </w:rPr>
        <w:t>离子交换</w:t>
      </w:r>
      <w:r>
        <w:t>树脂</w:t>
      </w:r>
    </w:p>
    <w:p>
      <w:pPr>
        <w:pStyle w:val="40"/>
        <w:ind w:firstLine="480"/>
      </w:pPr>
      <w:r>
        <w:rPr>
          <w:rFonts w:hint="eastAsia"/>
        </w:rPr>
        <w:t>项目设置</w:t>
      </w:r>
      <w:r>
        <w:rPr>
          <w:color w:val="FF0000"/>
        </w:rPr>
        <w:t>2</w:t>
      </w:r>
      <w:r>
        <w:rPr>
          <w:rFonts w:hint="eastAsia"/>
          <w:color w:val="FF0000"/>
        </w:rPr>
        <w:t>台</w:t>
      </w:r>
      <w:r>
        <w:rPr>
          <w:color w:val="FF0000"/>
        </w:rPr>
        <w:t>4t/h的燃气</w:t>
      </w:r>
      <w:r>
        <w:rPr>
          <w:rFonts w:hint="eastAsia"/>
          <w:color w:val="FF0000"/>
        </w:rPr>
        <w:t>热水</w:t>
      </w:r>
      <w:r>
        <w:rPr>
          <w:color w:val="FF0000"/>
        </w:rPr>
        <w:t>锅炉</w:t>
      </w:r>
      <w:r>
        <w:rPr>
          <w:rFonts w:hint="eastAsia"/>
          <w:color w:val="FF0000"/>
        </w:rPr>
        <w:t>为</w:t>
      </w:r>
      <w:r>
        <w:rPr>
          <w:color w:val="FF0000"/>
        </w:rPr>
        <w:t>医院提供冬季采暖</w:t>
      </w:r>
      <w:r>
        <w:rPr>
          <w:rFonts w:hint="eastAsia"/>
          <w:color w:val="FF0000"/>
        </w:rPr>
        <w:t>，1</w:t>
      </w:r>
      <w:r>
        <w:rPr>
          <w:color w:val="FF0000"/>
        </w:rPr>
        <w:t>台1.5</w:t>
      </w:r>
      <w:r>
        <w:rPr>
          <w:rFonts w:hint="eastAsia"/>
          <w:color w:val="FF0000"/>
        </w:rPr>
        <w:t>t/h燃气热水锅炉为医院</w:t>
      </w:r>
      <w:r>
        <w:rPr>
          <w:color w:val="FF0000"/>
        </w:rPr>
        <w:t>提供平时</w:t>
      </w:r>
      <w:r>
        <w:rPr>
          <w:rFonts w:hint="eastAsia"/>
          <w:color w:val="FF0000"/>
        </w:rPr>
        <w:t>的生活</w:t>
      </w:r>
      <w:r>
        <w:rPr>
          <w:color w:val="FF0000"/>
        </w:rPr>
        <w:t>热水</w:t>
      </w:r>
      <w:r>
        <w:rPr>
          <w:rFonts w:hint="eastAsia"/>
        </w:rPr>
        <w:t>，</w:t>
      </w:r>
      <w:r>
        <w:rPr>
          <w:rFonts w:hint="eastAsia"/>
          <w:color w:val="FF0000"/>
        </w:rPr>
        <w:t>共设置锅炉</w:t>
      </w:r>
      <w:r>
        <w:rPr>
          <w:color w:val="FF0000"/>
        </w:rPr>
        <w:t>3</w:t>
      </w:r>
      <w:r>
        <w:rPr>
          <w:rFonts w:hint="eastAsia"/>
          <w:color w:val="FF0000"/>
        </w:rPr>
        <w:t>台，</w:t>
      </w:r>
      <w:r>
        <w:t>锅炉供水设置有软水制备系统，软水制备采用离子交换装置，</w:t>
      </w:r>
      <w:r>
        <w:rPr>
          <w:rFonts w:hint="eastAsia"/>
        </w:rPr>
        <w:t>软水</w:t>
      </w:r>
      <w:r>
        <w:t>制备过程中会</w:t>
      </w:r>
      <w:r>
        <w:rPr>
          <w:rFonts w:hint="eastAsia"/>
        </w:rPr>
        <w:t>产生</w:t>
      </w:r>
      <w:r>
        <w:t>废的离子交换树脂，</w:t>
      </w:r>
      <w:r>
        <w:rPr>
          <w:rFonts w:hint="eastAsia"/>
        </w:rPr>
        <w:t>产生</w:t>
      </w:r>
      <w:r>
        <w:t>量为</w:t>
      </w:r>
      <w:r>
        <w:rPr>
          <w:rFonts w:hint="eastAsia"/>
        </w:rPr>
        <w:t>0.1</w:t>
      </w:r>
      <w:r>
        <w:t>t/a，</w:t>
      </w:r>
      <w:r>
        <w:rPr>
          <w:rFonts w:hint="eastAsia"/>
        </w:rPr>
        <w:t>根据</w:t>
      </w:r>
      <w:r>
        <w:t>《</w:t>
      </w:r>
      <w:r>
        <w:rPr>
          <w:rFonts w:hint="eastAsia"/>
        </w:rPr>
        <w:t>国家</w:t>
      </w:r>
      <w:r>
        <w:t>危险废物名录（</w:t>
      </w:r>
      <w:r>
        <w:rPr>
          <w:rFonts w:hint="eastAsia"/>
        </w:rPr>
        <w:t>2021版</w:t>
      </w:r>
      <w:r>
        <w:t>）》</w:t>
      </w:r>
      <w:r>
        <w:rPr>
          <w:rFonts w:hint="eastAsia"/>
        </w:rPr>
        <w:t>，</w:t>
      </w:r>
      <w:r>
        <w:t>锅炉软化水</w:t>
      </w:r>
      <w:r>
        <w:rPr>
          <w:rFonts w:hint="eastAsia"/>
        </w:rPr>
        <w:t>处理</w:t>
      </w:r>
      <w:r>
        <w:t>产生的</w:t>
      </w:r>
      <w:r>
        <w:rPr>
          <w:rFonts w:hint="eastAsia"/>
        </w:rPr>
        <w:t>离子</w:t>
      </w:r>
      <w:r>
        <w:t>交换树脂不属于危险废物，由</w:t>
      </w:r>
      <w:r>
        <w:rPr>
          <w:rFonts w:hint="eastAsia"/>
        </w:rPr>
        <w:t>厂家</w:t>
      </w:r>
      <w:r>
        <w:t>定期更换并回收处理。</w:t>
      </w:r>
    </w:p>
    <w:p>
      <w:pPr>
        <w:pStyle w:val="40"/>
        <w:ind w:firstLine="480"/>
        <w:rPr>
          <w:highlight w:val="yellow"/>
        </w:rPr>
      </w:pPr>
      <w:r>
        <w:t>项目固体废物</w:t>
      </w:r>
      <w:r>
        <w:rPr>
          <w:rFonts w:hint="eastAsia"/>
        </w:rPr>
        <w:t>产生源强核算</w:t>
      </w:r>
      <w:r>
        <w:t>结果及相关参数</w:t>
      </w:r>
      <w:r>
        <w:rPr>
          <w:rFonts w:hint="eastAsia"/>
        </w:rPr>
        <w:t>一览表见</w:t>
      </w:r>
      <w:r>
        <w:t>表</w:t>
      </w:r>
      <w:r>
        <w:rPr>
          <w:rFonts w:hint="eastAsia"/>
        </w:rPr>
        <w:t>4.2-1</w:t>
      </w:r>
      <w:r>
        <w:t>6</w:t>
      </w:r>
      <w:r>
        <w:rPr>
          <w:rFonts w:hint="eastAsia"/>
        </w:rPr>
        <w:t>。</w:t>
      </w:r>
    </w:p>
    <w:p>
      <w:pPr>
        <w:rPr>
          <w:highlight w:val="yellow"/>
        </w:rPr>
      </w:pPr>
    </w:p>
    <w:p>
      <w:pPr>
        <w:rPr>
          <w:highlight w:val="yellow"/>
        </w:rPr>
      </w:pPr>
    </w:p>
    <w:p>
      <w:pPr>
        <w:rPr>
          <w:highlight w:val="yellow"/>
        </w:rPr>
        <w:sectPr>
          <w:headerReference r:id="rId32" w:type="default"/>
          <w:headerReference r:id="rId33" w:type="even"/>
          <w:pgSz w:w="11906" w:h="16838"/>
          <w:pgMar w:top="1418" w:right="1418" w:bottom="1418" w:left="1588" w:header="851" w:footer="992" w:gutter="0"/>
          <w:pgNumType w:fmt="numberInDash"/>
          <w:cols w:space="425" w:num="1"/>
          <w:docGrid w:type="linesAndChars" w:linePitch="312" w:charSpace="0"/>
        </w:sectPr>
      </w:pPr>
    </w:p>
    <w:p>
      <w:pPr>
        <w:pStyle w:val="22"/>
      </w:pPr>
      <w:r>
        <w:rPr>
          <w:rFonts w:hint="eastAsia"/>
        </w:rPr>
        <w:t>表4.2</w:t>
      </w:r>
      <w:r>
        <w:noBreakHyphen/>
      </w:r>
      <w:r>
        <w:t>16  项目固体废物</w:t>
      </w:r>
      <w:r>
        <w:rPr>
          <w:rFonts w:hint="eastAsia"/>
        </w:rPr>
        <w:t>产生源强核算</w:t>
      </w:r>
      <w:r>
        <w:t>结果及相关参数</w:t>
      </w:r>
      <w:r>
        <w:rPr>
          <w:rFonts w:hint="eastAsia"/>
        </w:rPr>
        <w:t>一览表</w:t>
      </w:r>
    </w:p>
    <w:tbl>
      <w:tblPr>
        <w:tblStyle w:val="25"/>
        <w:tblW w:w="142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9"/>
        <w:gridCol w:w="1601"/>
        <w:gridCol w:w="1931"/>
        <w:gridCol w:w="1331"/>
        <w:gridCol w:w="1504"/>
        <w:gridCol w:w="1152"/>
        <w:gridCol w:w="2534"/>
        <w:gridCol w:w="1135"/>
        <w:gridCol w:w="1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3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工序/生产线</w:t>
            </w:r>
          </w:p>
        </w:tc>
        <w:tc>
          <w:tcPr>
            <w:tcW w:w="160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装置</w:t>
            </w:r>
          </w:p>
        </w:tc>
        <w:tc>
          <w:tcPr>
            <w:tcW w:w="193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固废名称</w:t>
            </w:r>
          </w:p>
        </w:tc>
        <w:tc>
          <w:tcPr>
            <w:tcW w:w="1331"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固废属性</w:t>
            </w:r>
          </w:p>
        </w:tc>
        <w:tc>
          <w:tcPr>
            <w:tcW w:w="2656"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产生量</w:t>
            </w:r>
          </w:p>
        </w:tc>
        <w:tc>
          <w:tcPr>
            <w:tcW w:w="3669"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处置措施</w:t>
            </w:r>
          </w:p>
        </w:tc>
        <w:tc>
          <w:tcPr>
            <w:tcW w:w="149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最终去向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539" w:type="dxa"/>
            <w:vMerge w:val="continue"/>
            <w:vAlign w:val="center"/>
          </w:tcPr>
          <w:p>
            <w:pPr>
              <w:adjustRightInd w:val="0"/>
              <w:snapToGrid w:val="0"/>
              <w:jc w:val="center"/>
              <w:rPr>
                <w:rFonts w:ascii="Times New Roman" w:hAnsi="Times New Roman" w:eastAsia="宋体" w:cs="Times New Roman"/>
                <w:szCs w:val="21"/>
              </w:rPr>
            </w:pPr>
          </w:p>
        </w:tc>
        <w:tc>
          <w:tcPr>
            <w:tcW w:w="1601" w:type="dxa"/>
            <w:vMerge w:val="continue"/>
            <w:vAlign w:val="center"/>
          </w:tcPr>
          <w:p>
            <w:pPr>
              <w:adjustRightInd w:val="0"/>
              <w:snapToGrid w:val="0"/>
              <w:jc w:val="center"/>
              <w:rPr>
                <w:rFonts w:ascii="Times New Roman" w:hAnsi="Times New Roman" w:eastAsia="宋体" w:cs="Times New Roman"/>
                <w:szCs w:val="21"/>
              </w:rPr>
            </w:pPr>
          </w:p>
        </w:tc>
        <w:tc>
          <w:tcPr>
            <w:tcW w:w="1931" w:type="dxa"/>
            <w:vMerge w:val="continue"/>
            <w:vAlign w:val="center"/>
          </w:tcPr>
          <w:p>
            <w:pPr>
              <w:adjustRightInd w:val="0"/>
              <w:snapToGrid w:val="0"/>
              <w:jc w:val="center"/>
              <w:rPr>
                <w:rFonts w:ascii="Times New Roman" w:hAnsi="Times New Roman" w:eastAsia="宋体" w:cs="Times New Roman"/>
                <w:szCs w:val="21"/>
              </w:rPr>
            </w:pPr>
          </w:p>
        </w:tc>
        <w:tc>
          <w:tcPr>
            <w:tcW w:w="1331" w:type="dxa"/>
            <w:vMerge w:val="continue"/>
            <w:vAlign w:val="center"/>
          </w:tcPr>
          <w:p>
            <w:pPr>
              <w:adjustRightInd w:val="0"/>
              <w:snapToGrid w:val="0"/>
              <w:jc w:val="center"/>
              <w:rPr>
                <w:rFonts w:ascii="Times New Roman" w:hAnsi="Times New Roman" w:eastAsia="宋体" w:cs="Times New Roman"/>
                <w:szCs w:val="21"/>
              </w:rPr>
            </w:pPr>
          </w:p>
        </w:tc>
        <w:tc>
          <w:tcPr>
            <w:tcW w:w="150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核算方法</w:t>
            </w:r>
          </w:p>
        </w:tc>
        <w:tc>
          <w:tcPr>
            <w:tcW w:w="11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产生量（t/a）</w:t>
            </w:r>
          </w:p>
        </w:tc>
        <w:tc>
          <w:tcPr>
            <w:tcW w:w="253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工艺</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处置量（t/a）</w:t>
            </w:r>
          </w:p>
        </w:tc>
        <w:tc>
          <w:tcPr>
            <w:tcW w:w="1493" w:type="dxa"/>
            <w:vMerge w:val="continue"/>
            <w:vAlign w:val="center"/>
          </w:tcPr>
          <w:p>
            <w:pPr>
              <w:adjustRightInd w:val="0"/>
              <w:snapToGrid w:val="0"/>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8" w:hRule="atLeast"/>
        </w:trPr>
        <w:tc>
          <w:tcPr>
            <w:tcW w:w="1539"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病人、医护人员</w:t>
            </w:r>
            <w:r>
              <w:rPr>
                <w:rFonts w:hint="eastAsia" w:ascii="Times New Roman" w:hAnsi="Times New Roman" w:eastAsia="宋体" w:cs="Times New Roman"/>
                <w:szCs w:val="21"/>
              </w:rPr>
              <w:t>诊疗过程</w:t>
            </w:r>
          </w:p>
        </w:tc>
        <w:tc>
          <w:tcPr>
            <w:tcW w:w="160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w:t>
            </w:r>
          </w:p>
        </w:tc>
        <w:tc>
          <w:tcPr>
            <w:tcW w:w="193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生活垃圾</w:t>
            </w:r>
          </w:p>
        </w:tc>
        <w:tc>
          <w:tcPr>
            <w:tcW w:w="133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150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产污系数法</w:t>
            </w:r>
          </w:p>
        </w:tc>
        <w:tc>
          <w:tcPr>
            <w:tcW w:w="11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441.65</w:t>
            </w:r>
          </w:p>
        </w:tc>
        <w:tc>
          <w:tcPr>
            <w:tcW w:w="253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环卫部门清运</w:t>
            </w: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44</w:t>
            </w:r>
            <w:r>
              <w:rPr>
                <w:rFonts w:ascii="Times New Roman" w:hAnsi="Times New Roman" w:eastAsia="宋体" w:cs="Times New Roman"/>
                <w:szCs w:val="21"/>
              </w:rPr>
              <w:t>1</w:t>
            </w:r>
            <w:r>
              <w:rPr>
                <w:rFonts w:hint="eastAsia" w:ascii="Times New Roman" w:hAnsi="Times New Roman" w:eastAsia="宋体" w:cs="Times New Roman"/>
                <w:szCs w:val="21"/>
              </w:rPr>
              <w:t>.65</w:t>
            </w:r>
          </w:p>
        </w:tc>
        <w:tc>
          <w:tcPr>
            <w:tcW w:w="1493"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1"/>
              </w:rPr>
              <w:t>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trPr>
        <w:tc>
          <w:tcPr>
            <w:tcW w:w="1539" w:type="dxa"/>
            <w:vMerge w:val="continue"/>
            <w:vAlign w:val="center"/>
          </w:tcPr>
          <w:p>
            <w:pPr>
              <w:adjustRightInd w:val="0"/>
              <w:snapToGrid w:val="0"/>
              <w:jc w:val="center"/>
              <w:rPr>
                <w:rFonts w:ascii="Times New Roman" w:hAnsi="Times New Roman" w:eastAsia="宋体" w:cs="Times New Roman"/>
                <w:szCs w:val="21"/>
              </w:rPr>
            </w:pP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餐厨</w:t>
            </w:r>
            <w:r>
              <w:rPr>
                <w:rFonts w:ascii="Times New Roman" w:hAnsi="Times New Roman" w:eastAsia="宋体" w:cs="Times New Roman"/>
                <w:szCs w:val="21"/>
              </w:rPr>
              <w:t>垃圾</w:t>
            </w:r>
          </w:p>
        </w:tc>
        <w:tc>
          <w:tcPr>
            <w:tcW w:w="133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1504"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1"/>
              </w:rPr>
              <w:t>产污系数法</w:t>
            </w:r>
          </w:p>
        </w:tc>
        <w:tc>
          <w:tcPr>
            <w:tcW w:w="11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90.23</w:t>
            </w:r>
          </w:p>
        </w:tc>
        <w:tc>
          <w:tcPr>
            <w:tcW w:w="2534"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由回收单位</w:t>
            </w:r>
            <w:r>
              <w:rPr>
                <w:rFonts w:ascii="Times New Roman" w:hAnsi="Times New Roman" w:eastAsia="宋体" w:cs="Times New Roman"/>
                <w:szCs w:val="21"/>
              </w:rPr>
              <w:t>处置</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90.23</w:t>
            </w:r>
          </w:p>
        </w:tc>
        <w:tc>
          <w:tcPr>
            <w:tcW w:w="1493"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1"/>
              </w:rPr>
              <w:t>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1539" w:type="dxa"/>
            <w:vMerge w:val="continue"/>
            <w:vAlign w:val="center"/>
          </w:tcPr>
          <w:p>
            <w:pPr>
              <w:adjustRightInd w:val="0"/>
              <w:snapToGrid w:val="0"/>
              <w:jc w:val="center"/>
              <w:rPr>
                <w:rFonts w:ascii="Times New Roman" w:hAnsi="Times New Roman" w:eastAsia="宋体" w:cs="Times New Roman"/>
                <w:szCs w:val="21"/>
              </w:rPr>
            </w:pP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废油脂</w:t>
            </w:r>
          </w:p>
        </w:tc>
        <w:tc>
          <w:tcPr>
            <w:tcW w:w="133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1504" w:type="dxa"/>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1"/>
              </w:rPr>
              <w:t>产污系数法</w:t>
            </w:r>
          </w:p>
        </w:tc>
        <w:tc>
          <w:tcPr>
            <w:tcW w:w="11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0.71</w:t>
            </w:r>
          </w:p>
        </w:tc>
        <w:tc>
          <w:tcPr>
            <w:tcW w:w="2534" w:type="dxa"/>
            <w:vMerge w:val="continue"/>
            <w:vAlign w:val="center"/>
          </w:tcPr>
          <w:p>
            <w:pPr>
              <w:adjustRightInd w:val="0"/>
              <w:snapToGrid w:val="0"/>
              <w:jc w:val="center"/>
              <w:rPr>
                <w:rFonts w:ascii="Times New Roman" w:hAnsi="Times New Roman" w:eastAsia="宋体" w:cs="Times New Roman"/>
                <w:szCs w:val="21"/>
              </w:rPr>
            </w:pP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0.71</w:t>
            </w:r>
          </w:p>
        </w:tc>
        <w:tc>
          <w:tcPr>
            <w:tcW w:w="1493" w:type="dxa"/>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1"/>
              </w:rPr>
              <w:t>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trPr>
        <w:tc>
          <w:tcPr>
            <w:tcW w:w="1539" w:type="dxa"/>
            <w:vMerge w:val="continue"/>
            <w:tcBorders>
              <w:bottom w:val="single" w:color="auto" w:sz="4" w:space="0"/>
            </w:tcBorders>
            <w:vAlign w:val="center"/>
          </w:tcPr>
          <w:p>
            <w:pPr>
              <w:adjustRightInd w:val="0"/>
              <w:snapToGrid w:val="0"/>
              <w:jc w:val="center"/>
              <w:rPr>
                <w:rFonts w:ascii="Times New Roman" w:hAnsi="Times New Roman" w:eastAsia="宋体" w:cs="Times New Roman"/>
                <w:szCs w:val="21"/>
              </w:rPr>
            </w:pP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医护</w:t>
            </w:r>
            <w:r>
              <w:rPr>
                <w:rFonts w:ascii="Times New Roman" w:hAnsi="Times New Roman" w:eastAsia="宋体" w:cs="Times New Roman"/>
                <w:szCs w:val="21"/>
              </w:rPr>
              <w:t>工作</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医疗</w:t>
            </w:r>
            <w:r>
              <w:rPr>
                <w:rFonts w:ascii="Times New Roman" w:hAnsi="Times New Roman" w:eastAsia="宋体" w:cs="Times New Roman"/>
                <w:szCs w:val="21"/>
              </w:rPr>
              <w:t>废物</w:t>
            </w:r>
          </w:p>
        </w:tc>
        <w:tc>
          <w:tcPr>
            <w:tcW w:w="13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危险废物</w:t>
            </w:r>
          </w:p>
        </w:tc>
        <w:tc>
          <w:tcPr>
            <w:tcW w:w="1504"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产污系数法</w:t>
            </w:r>
          </w:p>
        </w:tc>
        <w:tc>
          <w:tcPr>
            <w:tcW w:w="11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118.63</w:t>
            </w:r>
          </w:p>
        </w:tc>
        <w:tc>
          <w:tcPr>
            <w:tcW w:w="25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交</w:t>
            </w:r>
            <w:r>
              <w:rPr>
                <w:rFonts w:ascii="Times New Roman" w:hAnsi="Times New Roman" w:eastAsia="宋体" w:cs="Times New Roman"/>
                <w:szCs w:val="21"/>
              </w:rPr>
              <w:t>由有资质单位处置</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118.63</w:t>
            </w:r>
          </w:p>
        </w:tc>
        <w:tc>
          <w:tcPr>
            <w:tcW w:w="149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交</w:t>
            </w:r>
            <w:r>
              <w:rPr>
                <w:rFonts w:ascii="Times New Roman" w:hAnsi="Times New Roman" w:eastAsia="宋体" w:cs="Times New Roman"/>
                <w:szCs w:val="21"/>
              </w:rPr>
              <w:t>由安康市医疗</w:t>
            </w:r>
            <w:r>
              <w:rPr>
                <w:rFonts w:hint="eastAsia" w:ascii="Times New Roman" w:hAnsi="Times New Roman" w:eastAsia="宋体" w:cs="Times New Roman"/>
                <w:szCs w:val="21"/>
              </w:rPr>
              <w:t>废物</w:t>
            </w:r>
            <w:r>
              <w:rPr>
                <w:rFonts w:ascii="Times New Roman" w:hAnsi="Times New Roman" w:eastAsia="宋体" w:cs="Times New Roman"/>
                <w:szCs w:val="21"/>
              </w:rPr>
              <w:t>处置中心处置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2" w:hRule="atLeast"/>
        </w:trPr>
        <w:tc>
          <w:tcPr>
            <w:tcW w:w="1539" w:type="dxa"/>
            <w:tcBorders>
              <w:top w:val="single" w:color="auto" w:sz="4" w:space="0"/>
            </w:tcBorders>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w:t>
            </w: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w:t>
            </w:r>
            <w:r>
              <w:rPr>
                <w:rFonts w:hint="eastAsia" w:ascii="Times New Roman" w:hAnsi="Times New Roman" w:eastAsia="宋体" w:cs="Times New Roman"/>
                <w:szCs w:val="21"/>
              </w:rPr>
              <w:t>站</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污泥</w:t>
            </w:r>
            <w:r>
              <w:rPr>
                <w:rFonts w:ascii="Times New Roman" w:hAnsi="Times New Roman" w:eastAsia="宋体" w:cs="Times New Roman"/>
                <w:szCs w:val="21"/>
              </w:rPr>
              <w:t>及栅渣</w:t>
            </w:r>
          </w:p>
        </w:tc>
        <w:tc>
          <w:tcPr>
            <w:tcW w:w="13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危险</w:t>
            </w:r>
            <w:r>
              <w:rPr>
                <w:rFonts w:ascii="Times New Roman" w:hAnsi="Times New Roman" w:eastAsia="宋体" w:cs="Times New Roman"/>
                <w:szCs w:val="21"/>
              </w:rPr>
              <w:t>废物</w:t>
            </w:r>
          </w:p>
        </w:tc>
        <w:tc>
          <w:tcPr>
            <w:tcW w:w="150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11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47.27</w:t>
            </w:r>
          </w:p>
        </w:tc>
        <w:tc>
          <w:tcPr>
            <w:tcW w:w="25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石灰石消毒处理</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47.27</w:t>
            </w:r>
          </w:p>
        </w:tc>
        <w:tc>
          <w:tcPr>
            <w:tcW w:w="149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消毒</w:t>
            </w:r>
            <w:r>
              <w:rPr>
                <w:rFonts w:ascii="Times New Roman" w:hAnsi="Times New Roman" w:eastAsia="宋体" w:cs="Times New Roman"/>
                <w:szCs w:val="21"/>
              </w:rPr>
              <w:t>后交由资质单位处置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医护</w:t>
            </w:r>
            <w:r>
              <w:rPr>
                <w:rFonts w:ascii="Times New Roman" w:hAnsi="Times New Roman" w:eastAsia="宋体" w:cs="Times New Roman"/>
                <w:szCs w:val="21"/>
              </w:rPr>
              <w:t>工作</w:t>
            </w: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医护</w:t>
            </w:r>
            <w:r>
              <w:rPr>
                <w:rFonts w:ascii="Times New Roman" w:hAnsi="Times New Roman" w:eastAsia="宋体" w:cs="Times New Roman"/>
                <w:szCs w:val="21"/>
              </w:rPr>
              <w:t>工作</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废包装物</w:t>
            </w:r>
          </w:p>
        </w:tc>
        <w:tc>
          <w:tcPr>
            <w:tcW w:w="133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一般固废</w:t>
            </w:r>
          </w:p>
        </w:tc>
        <w:tc>
          <w:tcPr>
            <w:tcW w:w="150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w:t>
            </w:r>
            <w:r>
              <w:rPr>
                <w:rFonts w:ascii="Times New Roman" w:hAnsi="Times New Roman" w:eastAsia="宋体" w:cs="Times New Roman"/>
                <w:szCs w:val="21"/>
              </w:rPr>
              <w:t>法</w:t>
            </w:r>
          </w:p>
        </w:tc>
        <w:tc>
          <w:tcPr>
            <w:tcW w:w="1152"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7.3</w:t>
            </w:r>
          </w:p>
        </w:tc>
        <w:tc>
          <w:tcPr>
            <w:tcW w:w="25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集中</w:t>
            </w:r>
            <w:r>
              <w:rPr>
                <w:rFonts w:ascii="Times New Roman" w:hAnsi="Times New Roman" w:eastAsia="宋体" w:cs="Times New Roman"/>
                <w:szCs w:val="21"/>
              </w:rPr>
              <w:t>收集后</w:t>
            </w:r>
            <w:r>
              <w:rPr>
                <w:rFonts w:hint="eastAsia" w:ascii="Times New Roman" w:hAnsi="Times New Roman" w:eastAsia="宋体" w:cs="Times New Roman"/>
                <w:szCs w:val="21"/>
              </w:rPr>
              <w:t>外售</w:t>
            </w:r>
          </w:p>
        </w:tc>
        <w:tc>
          <w:tcPr>
            <w:tcW w:w="113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7.3</w:t>
            </w:r>
          </w:p>
        </w:tc>
        <w:tc>
          <w:tcPr>
            <w:tcW w:w="149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煎药</w:t>
            </w: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煎药房</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中药渣</w:t>
            </w:r>
          </w:p>
        </w:tc>
        <w:tc>
          <w:tcPr>
            <w:tcW w:w="13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w:t>
            </w:r>
            <w:r>
              <w:rPr>
                <w:rFonts w:ascii="Times New Roman" w:hAnsi="Times New Roman" w:eastAsia="宋体" w:cs="Times New Roman"/>
                <w:szCs w:val="21"/>
              </w:rPr>
              <w:t>固废</w:t>
            </w:r>
          </w:p>
        </w:tc>
        <w:tc>
          <w:tcPr>
            <w:tcW w:w="150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11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1.83</w:t>
            </w:r>
          </w:p>
        </w:tc>
        <w:tc>
          <w:tcPr>
            <w:tcW w:w="25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环卫部门清运</w:t>
            </w: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1.83</w:t>
            </w:r>
          </w:p>
        </w:tc>
        <w:tc>
          <w:tcPr>
            <w:tcW w:w="149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垃圾</w:t>
            </w:r>
            <w:r>
              <w:rPr>
                <w:rFonts w:ascii="Times New Roman" w:hAnsi="Times New Roman" w:eastAsia="宋体" w:cs="Times New Roman"/>
                <w:szCs w:val="21"/>
              </w:rPr>
              <w:t>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39"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锅炉</w:t>
            </w:r>
            <w:r>
              <w:rPr>
                <w:rFonts w:ascii="Times New Roman" w:hAnsi="Times New Roman" w:eastAsia="宋体" w:cs="Times New Roman"/>
                <w:szCs w:val="21"/>
              </w:rPr>
              <w:t>软水制备</w:t>
            </w:r>
          </w:p>
        </w:tc>
        <w:tc>
          <w:tcPr>
            <w:tcW w:w="160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软水</w:t>
            </w:r>
            <w:r>
              <w:rPr>
                <w:rFonts w:ascii="Times New Roman" w:hAnsi="Times New Roman" w:eastAsia="宋体" w:cs="Times New Roman"/>
                <w:szCs w:val="21"/>
              </w:rPr>
              <w:t>制备装置</w:t>
            </w:r>
          </w:p>
        </w:tc>
        <w:tc>
          <w:tcPr>
            <w:tcW w:w="19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废</w:t>
            </w:r>
            <w:r>
              <w:rPr>
                <w:rFonts w:ascii="Times New Roman" w:hAnsi="Times New Roman" w:eastAsia="宋体" w:cs="Times New Roman"/>
                <w:szCs w:val="21"/>
              </w:rPr>
              <w:t>离子交换树脂</w:t>
            </w:r>
          </w:p>
        </w:tc>
        <w:tc>
          <w:tcPr>
            <w:tcW w:w="133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一般固废</w:t>
            </w:r>
          </w:p>
        </w:tc>
        <w:tc>
          <w:tcPr>
            <w:tcW w:w="150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类比法</w:t>
            </w:r>
          </w:p>
        </w:tc>
        <w:tc>
          <w:tcPr>
            <w:tcW w:w="115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253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厂家</w:t>
            </w:r>
            <w:r>
              <w:rPr>
                <w:rFonts w:ascii="Times New Roman" w:hAnsi="Times New Roman" w:eastAsia="宋体" w:cs="Times New Roman"/>
                <w:szCs w:val="21"/>
              </w:rPr>
              <w:t>定期更换并回收</w:t>
            </w:r>
          </w:p>
        </w:tc>
        <w:tc>
          <w:tcPr>
            <w:tcW w:w="113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49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厂家</w:t>
            </w:r>
            <w:r>
              <w:rPr>
                <w:rFonts w:ascii="Times New Roman" w:hAnsi="Times New Roman" w:eastAsia="宋体" w:cs="Times New Roman"/>
                <w:szCs w:val="21"/>
              </w:rPr>
              <w:t>回收</w:t>
            </w:r>
          </w:p>
        </w:tc>
      </w:tr>
    </w:tbl>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pStyle w:val="4"/>
      </w:pPr>
      <w:r>
        <w:rPr>
          <w:rFonts w:hint="eastAsia"/>
        </w:rPr>
        <w:t>项目污染物排放</w:t>
      </w:r>
      <w:r>
        <w:t>汇总</w:t>
      </w:r>
    </w:p>
    <w:p>
      <w:pPr>
        <w:pStyle w:val="49"/>
        <w:ind w:firstLine="480"/>
        <w:rPr>
          <w:rFonts w:cs="Times New Roman"/>
        </w:rPr>
      </w:pPr>
      <w:r>
        <w:rPr>
          <w:rFonts w:cs="Times New Roman"/>
        </w:rPr>
        <w:t>项目</w:t>
      </w:r>
      <w:r>
        <w:rPr>
          <w:rFonts w:hint="eastAsia" w:cs="Times New Roman"/>
        </w:rPr>
        <w:t>运营期</w:t>
      </w:r>
      <w:r>
        <w:rPr>
          <w:rFonts w:cs="Times New Roman"/>
        </w:rPr>
        <w:t>污染物排</w:t>
      </w:r>
      <w:r>
        <w:rPr>
          <w:rFonts w:hint="eastAsia" w:cs="Times New Roman"/>
        </w:rPr>
        <w:t>汇总</w:t>
      </w:r>
      <w:r>
        <w:rPr>
          <w:rFonts w:cs="Times New Roman"/>
        </w:rPr>
        <w:t>见表</w:t>
      </w:r>
      <w:r>
        <w:rPr>
          <w:rFonts w:hint="eastAsia" w:cs="Times New Roman"/>
        </w:rPr>
        <w:t>4</w:t>
      </w:r>
      <w:r>
        <w:rPr>
          <w:rFonts w:cs="Times New Roman"/>
        </w:rPr>
        <w:t>.2-17。</w:t>
      </w:r>
    </w:p>
    <w:p>
      <w:pPr>
        <w:pStyle w:val="22"/>
      </w:pPr>
      <w:r>
        <w:t>表</w:t>
      </w:r>
      <w:r>
        <w:fldChar w:fldCharType="begin"/>
      </w:r>
      <w:r>
        <w:instrText xml:space="preserve"> STYLEREF 2 \s </w:instrText>
      </w:r>
      <w:r>
        <w:fldChar w:fldCharType="separate"/>
      </w:r>
      <w:r>
        <w:t>4.2</w:t>
      </w:r>
      <w:r>
        <w:fldChar w:fldCharType="end"/>
      </w:r>
      <w:r>
        <w:noBreakHyphen/>
      </w:r>
      <w:r>
        <w:t xml:space="preserve">17  </w:t>
      </w:r>
      <w:r>
        <w:rPr>
          <w:rFonts w:hint="eastAsia"/>
        </w:rPr>
        <w:t>项目</w:t>
      </w:r>
      <w:r>
        <w:t>污染物排放</w:t>
      </w:r>
      <w:r>
        <w:rPr>
          <w:rFonts w:hint="eastAsia"/>
        </w:rPr>
        <w:t>汇总</w:t>
      </w:r>
      <w:r>
        <w:t xml:space="preserve">情况一览表 </w:t>
      </w:r>
    </w:p>
    <w:tbl>
      <w:tblPr>
        <w:tblStyle w:val="26"/>
        <w:tblW w:w="141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96"/>
        <w:gridCol w:w="731"/>
        <w:gridCol w:w="1559"/>
        <w:gridCol w:w="1565"/>
        <w:gridCol w:w="1426"/>
        <w:gridCol w:w="1522"/>
        <w:gridCol w:w="1817"/>
        <w:gridCol w:w="4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426"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种类</w:t>
            </w:r>
          </w:p>
        </w:tc>
        <w:tc>
          <w:tcPr>
            <w:tcW w:w="3386" w:type="dxa"/>
            <w:gridSpan w:val="3"/>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污染物名称</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产生量</w:t>
            </w:r>
            <w:r>
              <w:rPr>
                <w:rFonts w:hint="eastAsia" w:ascii="Times New Roman" w:hAnsi="Times New Roman" w:eastAsia="宋体" w:cs="Times New Roman"/>
                <w:kern w:val="0"/>
                <w:szCs w:val="20"/>
              </w:rPr>
              <w:t>（t/a）</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消减量</w:t>
            </w:r>
            <w:r>
              <w:rPr>
                <w:rFonts w:hint="eastAsia" w:ascii="Times New Roman" w:hAnsi="Times New Roman" w:eastAsia="宋体" w:cs="Times New Roman"/>
                <w:kern w:val="0"/>
                <w:szCs w:val="20"/>
              </w:rPr>
              <w:t>（t/a）</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排放量</w:t>
            </w:r>
          </w:p>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（t/a）</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排放</w:t>
            </w:r>
            <w:r>
              <w:rPr>
                <w:rFonts w:ascii="Times New Roman" w:hAnsi="Times New Roman" w:eastAsia="宋体" w:cs="Times New Roman"/>
                <w:kern w:val="0"/>
                <w:szCs w:val="20"/>
              </w:rPr>
              <w:t>方式</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治理</w:t>
            </w:r>
            <w:r>
              <w:rPr>
                <w:rFonts w:ascii="Times New Roman" w:hAnsi="Times New Roman" w:eastAsia="宋体" w:cs="Times New Roman"/>
                <w:kern w:val="0"/>
                <w:szCs w:val="20"/>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废气</w:t>
            </w:r>
          </w:p>
        </w:tc>
        <w:tc>
          <w:tcPr>
            <w:tcW w:w="1827" w:type="dxa"/>
            <w:gridSpan w:val="2"/>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采暖</w:t>
            </w:r>
            <w:r>
              <w:rPr>
                <w:rFonts w:ascii="Times New Roman" w:hAnsi="Times New Roman" w:eastAsia="宋体" w:cs="Times New Roman"/>
                <w:kern w:val="0"/>
                <w:szCs w:val="20"/>
              </w:rPr>
              <w:t>锅炉</w:t>
            </w:r>
            <w:r>
              <w:rPr>
                <w:rFonts w:hint="eastAsia" w:ascii="Times New Roman" w:hAnsi="Times New Roman" w:eastAsia="宋体" w:cs="Times New Roman"/>
                <w:kern w:val="0"/>
                <w:szCs w:val="20"/>
              </w:rPr>
              <w:t>1</w:t>
            </w:r>
          </w:p>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废气</w:t>
            </w: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1817" w:type="dxa"/>
            <w:vMerge w:val="restart"/>
            <w:vAlign w:val="center"/>
          </w:tcPr>
          <w:p>
            <w:pPr>
              <w:tabs>
                <w:tab w:val="left" w:pos="2340"/>
              </w:tabs>
              <w:snapToGrid w:val="0"/>
              <w:rPr>
                <w:rFonts w:ascii="Times New Roman" w:hAnsi="Times New Roman" w:eastAsia="宋体" w:cs="Times New Roman"/>
                <w:kern w:val="0"/>
                <w:szCs w:val="20"/>
                <w:highlight w:val="yellow"/>
              </w:rPr>
            </w:pPr>
            <w:r>
              <w:rPr>
                <w:rFonts w:hint="eastAsia" w:ascii="Times New Roman" w:hAnsi="Times New Roman" w:eastAsia="宋体" w:cs="Times New Roman"/>
                <w:color w:val="FF0000"/>
                <w:kern w:val="0"/>
                <w:szCs w:val="20"/>
              </w:rPr>
              <w:t>经锅炉房引至高于住院楼楼顶3m处排放，排气筒高度约60m（P1-P3</w:t>
            </w:r>
            <w:r>
              <w:rPr>
                <w:rFonts w:hint="eastAsia" w:ascii="Times New Roman" w:hAnsi="Times New Roman" w:eastAsia="宋体" w:cs="Times New Roman"/>
                <w:kern w:val="0"/>
                <w:szCs w:val="20"/>
              </w:rPr>
              <w:t>）</w:t>
            </w:r>
            <w:r>
              <w:rPr>
                <w:rFonts w:ascii="Times New Roman" w:hAnsi="Times New Roman" w:eastAsia="宋体" w:cs="Times New Roman"/>
                <w:kern w:val="0"/>
                <w:szCs w:val="20"/>
                <w:highlight w:val="yellow"/>
              </w:rPr>
              <w:t xml:space="preserve"> </w:t>
            </w:r>
          </w:p>
        </w:tc>
        <w:tc>
          <w:tcPr>
            <w:tcW w:w="4031"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低氮</w:t>
            </w:r>
            <w:r>
              <w:rPr>
                <w:rFonts w:ascii="Times New Roman" w:hAnsi="Times New Roman" w:eastAsia="宋体" w:cs="Times New Roman"/>
                <w:kern w:val="0"/>
                <w:szCs w:val="20"/>
              </w:rPr>
              <w:t>燃烧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NO</w:t>
            </w:r>
            <w:r>
              <w:rPr>
                <w:rFonts w:hint="eastAsia" w:ascii="Times New Roman" w:hAnsi="Times New Roman" w:eastAsia="宋体" w:cs="Times New Roman"/>
                <w:kern w:val="0"/>
                <w:szCs w:val="20"/>
                <w:vertAlign w:val="subscript"/>
              </w:rPr>
              <w:t>x</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采暖</w:t>
            </w:r>
            <w:r>
              <w:rPr>
                <w:rFonts w:ascii="Times New Roman" w:hAnsi="Times New Roman" w:eastAsia="宋体" w:cs="Times New Roman"/>
                <w:kern w:val="0"/>
                <w:szCs w:val="20"/>
              </w:rPr>
              <w:t>锅炉</w:t>
            </w:r>
            <w:r>
              <w:rPr>
                <w:rFonts w:hint="eastAsia" w:ascii="Times New Roman" w:hAnsi="Times New Roman" w:eastAsia="宋体" w:cs="Times New Roman"/>
                <w:kern w:val="0"/>
                <w:szCs w:val="20"/>
              </w:rPr>
              <w:t>2</w:t>
            </w:r>
          </w:p>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废气</w:t>
            </w: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restart"/>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低氮</w:t>
            </w:r>
            <w:r>
              <w:rPr>
                <w:rFonts w:ascii="Times New Roman" w:hAnsi="Times New Roman" w:eastAsia="宋体" w:cs="Times New Roman"/>
                <w:color w:val="FF0000"/>
                <w:kern w:val="0"/>
                <w:szCs w:val="20"/>
              </w:rPr>
              <w:t>燃烧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color w:val="FF0000"/>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NO</w:t>
            </w:r>
            <w:r>
              <w:rPr>
                <w:rFonts w:hint="eastAsia" w:ascii="Times New Roman" w:hAnsi="Times New Roman" w:eastAsia="宋体" w:cs="Times New Roman"/>
                <w:kern w:val="0"/>
                <w:szCs w:val="20"/>
                <w:vertAlign w:val="subscript"/>
              </w:rPr>
              <w:t>x</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color w:val="FF0000"/>
                <w:kern w:val="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热水</w:t>
            </w:r>
            <w:r>
              <w:rPr>
                <w:rFonts w:ascii="Times New Roman" w:hAnsi="Times New Roman" w:eastAsia="宋体" w:cs="Times New Roman"/>
                <w:kern w:val="0"/>
                <w:szCs w:val="20"/>
              </w:rPr>
              <w:t>锅炉</w:t>
            </w:r>
          </w:p>
        </w:tc>
        <w:tc>
          <w:tcPr>
            <w:tcW w:w="1559"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颗粒物</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0.059</w:t>
            </w:r>
          </w:p>
        </w:tc>
        <w:tc>
          <w:tcPr>
            <w:tcW w:w="1426"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0.059</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restart"/>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低氮</w:t>
            </w:r>
            <w:r>
              <w:rPr>
                <w:rFonts w:ascii="Times New Roman" w:hAnsi="Times New Roman" w:eastAsia="宋体" w:cs="Times New Roman"/>
                <w:color w:val="FF0000"/>
                <w:kern w:val="0"/>
                <w:szCs w:val="20"/>
              </w:rPr>
              <w:t>燃烧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SO</w:t>
            </w:r>
            <w:r>
              <w:rPr>
                <w:rFonts w:hint="eastAsia" w:ascii="Times New Roman" w:hAnsi="Times New Roman" w:eastAsia="宋体" w:cs="Times New Roman"/>
                <w:color w:val="FF0000"/>
                <w:kern w:val="0"/>
                <w:szCs w:val="20"/>
                <w:vertAlign w:val="subscript"/>
              </w:rPr>
              <w:t>2</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0.099</w:t>
            </w:r>
          </w:p>
        </w:tc>
        <w:tc>
          <w:tcPr>
            <w:tcW w:w="1426"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0.099</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827" w:type="dxa"/>
            <w:gridSpan w:val="2"/>
            <w:vMerge w:val="continue"/>
            <w:vAlign w:val="center"/>
          </w:tcPr>
          <w:p>
            <w:pPr>
              <w:tabs>
                <w:tab w:val="left" w:pos="2340"/>
              </w:tabs>
              <w:snapToGrid w:val="0"/>
              <w:jc w:val="center"/>
              <w:rPr>
                <w:rFonts w:ascii="Times New Roman" w:hAnsi="Times New Roman" w:eastAsia="宋体" w:cs="Times New Roman"/>
                <w:kern w:val="0"/>
                <w:szCs w:val="20"/>
              </w:rPr>
            </w:pPr>
          </w:p>
        </w:tc>
        <w:tc>
          <w:tcPr>
            <w:tcW w:w="1559"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NO</w:t>
            </w:r>
            <w:r>
              <w:rPr>
                <w:rFonts w:hint="eastAsia" w:ascii="Times New Roman" w:hAnsi="Times New Roman" w:eastAsia="宋体" w:cs="Times New Roman"/>
                <w:color w:val="FF0000"/>
                <w:kern w:val="0"/>
                <w:szCs w:val="20"/>
                <w:vertAlign w:val="subscript"/>
              </w:rPr>
              <w:t>x</w:t>
            </w:r>
          </w:p>
        </w:tc>
        <w:tc>
          <w:tcPr>
            <w:tcW w:w="1565"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0.149</w:t>
            </w:r>
          </w:p>
        </w:tc>
        <w:tc>
          <w:tcPr>
            <w:tcW w:w="1426"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w:t>
            </w:r>
          </w:p>
        </w:tc>
        <w:tc>
          <w:tcPr>
            <w:tcW w:w="1522" w:type="dxa"/>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0.149</w:t>
            </w:r>
          </w:p>
        </w:tc>
        <w:tc>
          <w:tcPr>
            <w:tcW w:w="1817" w:type="dxa"/>
            <w:vMerge w:val="continue"/>
            <w:vAlign w:val="center"/>
          </w:tcPr>
          <w:p>
            <w:pPr>
              <w:tabs>
                <w:tab w:val="left" w:pos="2340"/>
              </w:tabs>
              <w:snapToGrid w:val="0"/>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096"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食堂</w:t>
            </w:r>
          </w:p>
        </w:tc>
        <w:tc>
          <w:tcPr>
            <w:tcW w:w="731"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天然气燃烧</w:t>
            </w:r>
          </w:p>
        </w:tc>
        <w:tc>
          <w:tcPr>
            <w:tcW w:w="1559" w:type="dxa"/>
            <w:vAlign w:val="center"/>
          </w:tcPr>
          <w:p>
            <w:pPr>
              <w:pStyle w:val="47"/>
            </w:pPr>
            <w:r>
              <w:rPr>
                <w:rFonts w:hint="eastAsia"/>
              </w:rPr>
              <w:t>N</w:t>
            </w:r>
            <w:r>
              <w:t>O</w:t>
            </w:r>
            <w:r>
              <w:rPr>
                <w:vertAlign w:val="subscript"/>
              </w:rPr>
              <w:t>x</w:t>
            </w:r>
            <w:r>
              <w:rPr>
                <w:rFonts w:hint="eastAsia"/>
              </w:rPr>
              <w:t xml:space="preserve"> </w:t>
            </w:r>
          </w:p>
        </w:tc>
        <w:tc>
          <w:tcPr>
            <w:tcW w:w="1565" w:type="dxa"/>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0.143</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0.143</w:t>
            </w:r>
          </w:p>
        </w:tc>
        <w:tc>
          <w:tcPr>
            <w:tcW w:w="1817" w:type="dxa"/>
            <w:vMerge w:val="restart"/>
            <w:vAlign w:val="center"/>
          </w:tcPr>
          <w:p>
            <w:pPr>
              <w:tabs>
                <w:tab w:val="left" w:pos="2340"/>
              </w:tabs>
              <w:snapToGrid w:val="0"/>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经</w:t>
            </w:r>
            <w:r>
              <w:rPr>
                <w:rFonts w:ascii="Times New Roman" w:hAnsi="Times New Roman" w:eastAsia="宋体" w:cs="Times New Roman"/>
                <w:kern w:val="0"/>
                <w:szCs w:val="20"/>
              </w:rPr>
              <w:t>烟道引至楼顶排放</w:t>
            </w:r>
          </w:p>
        </w:tc>
        <w:tc>
          <w:tcPr>
            <w:tcW w:w="4031"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经</w:t>
            </w:r>
            <w:r>
              <w:rPr>
                <w:rFonts w:ascii="Times New Roman" w:hAnsi="Times New Roman" w:eastAsia="宋体" w:cs="Times New Roman"/>
                <w:kern w:val="0"/>
                <w:szCs w:val="20"/>
              </w:rPr>
              <w:t>烟道引至楼顶排放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7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559" w:type="dxa"/>
            <w:vAlign w:val="center"/>
          </w:tcPr>
          <w:p>
            <w:pPr>
              <w:pStyle w:val="47"/>
            </w:pPr>
            <w:r>
              <w:rPr>
                <w:rFonts w:hint="eastAsia"/>
              </w:rPr>
              <w:t>SO</w:t>
            </w:r>
            <w:r>
              <w:rPr>
                <w:vertAlign w:val="subscript"/>
              </w:rPr>
              <w:t>2</w:t>
            </w:r>
          </w:p>
        </w:tc>
        <w:tc>
          <w:tcPr>
            <w:tcW w:w="1565"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0.015</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0.015</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7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559" w:type="dxa"/>
            <w:vAlign w:val="center"/>
          </w:tcPr>
          <w:p>
            <w:pPr>
              <w:pStyle w:val="47"/>
            </w:pPr>
            <w:r>
              <w:rPr>
                <w:rFonts w:hint="eastAsia"/>
              </w:rPr>
              <w:t>烟尘</w:t>
            </w:r>
          </w:p>
        </w:tc>
        <w:tc>
          <w:tcPr>
            <w:tcW w:w="1565"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0.011</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0.011</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7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油烟</w:t>
            </w:r>
          </w:p>
        </w:tc>
        <w:tc>
          <w:tcPr>
            <w:tcW w:w="1559" w:type="dxa"/>
            <w:vAlign w:val="center"/>
          </w:tcPr>
          <w:p>
            <w:pPr>
              <w:pStyle w:val="47"/>
              <w:rPr>
                <w:szCs w:val="21"/>
              </w:rPr>
            </w:pPr>
            <w:r>
              <w:rPr>
                <w:rFonts w:hint="eastAsia"/>
                <w:szCs w:val="21"/>
              </w:rPr>
              <w:t>油烟</w:t>
            </w:r>
          </w:p>
        </w:tc>
        <w:tc>
          <w:tcPr>
            <w:tcW w:w="1565"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0.19</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0.14</w:t>
            </w:r>
          </w:p>
        </w:tc>
        <w:tc>
          <w:tcPr>
            <w:tcW w:w="1522" w:type="dxa"/>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0.05</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经</w:t>
            </w:r>
            <w:r>
              <w:rPr>
                <w:rFonts w:ascii="Times New Roman" w:hAnsi="Times New Roman" w:eastAsia="宋体" w:cs="Times New Roman"/>
                <w:kern w:val="0"/>
                <w:szCs w:val="20"/>
              </w:rPr>
              <w:t>烟道引至楼顶排放</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安装净化</w:t>
            </w:r>
            <w:r>
              <w:rPr>
                <w:rFonts w:ascii="Times New Roman" w:hAnsi="Times New Roman" w:eastAsia="宋体" w:cs="Times New Roman"/>
                <w:kern w:val="0"/>
                <w:szCs w:val="20"/>
              </w:rPr>
              <w:t>效率</w:t>
            </w:r>
            <w:r>
              <w:rPr>
                <w:rFonts w:hint="eastAsia" w:ascii="Times New Roman" w:hAnsi="Times New Roman" w:eastAsia="宋体" w:cs="Times New Roman"/>
                <w:kern w:val="0"/>
                <w:szCs w:val="20"/>
              </w:rPr>
              <w:t>75%以上</w:t>
            </w:r>
            <w:r>
              <w:rPr>
                <w:rFonts w:ascii="Times New Roman" w:hAnsi="Times New Roman" w:eastAsia="宋体" w:cs="Times New Roman"/>
                <w:kern w:val="0"/>
                <w:szCs w:val="20"/>
              </w:rPr>
              <w:t>的</w:t>
            </w:r>
            <w:r>
              <w:rPr>
                <w:rFonts w:hint="eastAsia" w:ascii="Times New Roman" w:hAnsi="Times New Roman" w:eastAsia="宋体" w:cs="Times New Roman"/>
                <w:kern w:val="0"/>
                <w:szCs w:val="20"/>
              </w:rPr>
              <w:t>油烟</w:t>
            </w:r>
            <w:r>
              <w:rPr>
                <w:rFonts w:ascii="Times New Roman" w:hAnsi="Times New Roman" w:eastAsia="宋体" w:cs="Times New Roman"/>
                <w:kern w:val="0"/>
                <w:szCs w:val="20"/>
              </w:rPr>
              <w:t>净化装置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处理站恶臭</w:t>
            </w:r>
          </w:p>
        </w:tc>
        <w:tc>
          <w:tcPr>
            <w:tcW w:w="2290" w:type="dxa"/>
            <w:gridSpan w:val="2"/>
            <w:vAlign w:val="center"/>
          </w:tcPr>
          <w:p>
            <w:pPr>
              <w:pStyle w:val="47"/>
            </w:pPr>
            <w:r>
              <w:rPr>
                <w:rFonts w:hint="eastAsia"/>
              </w:rPr>
              <w:t>NH</w:t>
            </w:r>
            <w:r>
              <w:rPr>
                <w:rFonts w:hint="eastAsia"/>
                <w:vertAlign w:val="subscript"/>
              </w:rPr>
              <w:t>3</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13.24</w:t>
            </w:r>
            <w:r>
              <w:rPr>
                <w:rFonts w:ascii="Times New Roman" w:hAnsi="Times New Roman" w:eastAsia="宋体" w:cs="Times New Roman"/>
                <w:kern w:val="0"/>
                <w:szCs w:val="20"/>
              </w:rPr>
              <w:t>kg/a</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10.592</w:t>
            </w:r>
          </w:p>
        </w:tc>
        <w:tc>
          <w:tcPr>
            <w:tcW w:w="1522" w:type="dxa"/>
            <w:vAlign w:val="center"/>
          </w:tcPr>
          <w:p>
            <w:pPr>
              <w:pStyle w:val="43"/>
            </w:pPr>
            <w:r>
              <w:rPr>
                <w:rFonts w:hint="eastAsia"/>
              </w:rPr>
              <w:t>2.6</w:t>
            </w:r>
            <w:r>
              <w:t>48kg/a</w:t>
            </w:r>
          </w:p>
        </w:tc>
        <w:tc>
          <w:tcPr>
            <w:tcW w:w="1817"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1"/>
              </w:rPr>
              <w:t>无组织排放</w:t>
            </w:r>
          </w:p>
        </w:tc>
        <w:tc>
          <w:tcPr>
            <w:tcW w:w="4031"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rPr>
              <w:t>采用地埋式，并设备加盖板密闭，定期</w:t>
            </w:r>
            <w:r>
              <w:t>喷洒生物除臭剂</w:t>
            </w:r>
            <w:r>
              <w:rPr>
                <w:rFonts w:hint="eastAsia"/>
              </w:rPr>
              <w:t>，加强污水处理站的运行操作管理，</w:t>
            </w:r>
            <w:r>
              <w:rPr>
                <w:rFonts w:ascii="Times New Roman" w:hAnsi="Times New Roman" w:eastAsia="宋体" w:cs="Times New Roman"/>
                <w:kern w:val="0"/>
                <w:szCs w:val="20"/>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2290" w:type="dxa"/>
            <w:gridSpan w:val="2"/>
            <w:vAlign w:val="center"/>
          </w:tcPr>
          <w:p>
            <w:pPr>
              <w:pStyle w:val="47"/>
            </w:pPr>
            <w:r>
              <w:rPr>
                <w:rFonts w:hint="eastAsia"/>
              </w:rPr>
              <w:t>H</w:t>
            </w:r>
            <w:r>
              <w:rPr>
                <w:rFonts w:hint="eastAsia"/>
                <w:vertAlign w:val="subscript"/>
              </w:rPr>
              <w:t>2</w:t>
            </w:r>
            <w:r>
              <w:rPr>
                <w:rFonts w:hint="eastAsia"/>
              </w:rPr>
              <w:t>S</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0.51</w:t>
            </w:r>
            <w:r>
              <w:rPr>
                <w:rFonts w:ascii="Times New Roman" w:hAnsi="Times New Roman" w:eastAsia="宋体" w:cs="Times New Roman"/>
                <w:kern w:val="0"/>
                <w:szCs w:val="20"/>
              </w:rPr>
              <w:t>kg/a</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0.408</w:t>
            </w:r>
          </w:p>
        </w:tc>
        <w:tc>
          <w:tcPr>
            <w:tcW w:w="1522" w:type="dxa"/>
            <w:vAlign w:val="center"/>
          </w:tcPr>
          <w:p>
            <w:pPr>
              <w:pStyle w:val="43"/>
            </w:pPr>
            <w:r>
              <w:rPr>
                <w:rFonts w:hint="eastAsia"/>
              </w:rPr>
              <w:t>0.102</w:t>
            </w:r>
            <w:r>
              <w:t>kg/a</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备用</w:t>
            </w:r>
            <w:r>
              <w:rPr>
                <w:rFonts w:ascii="Times New Roman" w:hAnsi="Times New Roman" w:eastAsia="宋体" w:cs="Times New Roman"/>
                <w:kern w:val="0"/>
                <w:szCs w:val="20"/>
              </w:rPr>
              <w:t>发电机废气</w:t>
            </w:r>
          </w:p>
        </w:tc>
        <w:tc>
          <w:tcPr>
            <w:tcW w:w="2290" w:type="dxa"/>
            <w:gridSpan w:val="2"/>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烟尘</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0.003</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0.003</w:t>
            </w:r>
          </w:p>
        </w:tc>
        <w:tc>
          <w:tcPr>
            <w:tcW w:w="1817"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经专用管道</w:t>
            </w:r>
            <w:r>
              <w:rPr>
                <w:rFonts w:ascii="Times New Roman" w:hAnsi="Times New Roman" w:eastAsia="宋体" w:cs="Times New Roman"/>
                <w:kern w:val="0"/>
                <w:szCs w:val="20"/>
              </w:rPr>
              <w:t>引至楼顶排放</w:t>
            </w:r>
          </w:p>
        </w:tc>
        <w:tc>
          <w:tcPr>
            <w:tcW w:w="4031"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经专用管道</w:t>
            </w:r>
            <w:r>
              <w:rPr>
                <w:rFonts w:ascii="Times New Roman" w:hAnsi="Times New Roman" w:eastAsia="宋体" w:cs="Times New Roman"/>
                <w:kern w:val="0"/>
                <w:szCs w:val="20"/>
              </w:rPr>
              <w:t>引至楼顶排放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0.002</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0.002</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废水</w:t>
            </w:r>
          </w:p>
        </w:tc>
        <w:tc>
          <w:tcPr>
            <w:tcW w:w="1096"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综合</w:t>
            </w:r>
            <w:r>
              <w:rPr>
                <w:rFonts w:ascii="Times New Roman" w:hAnsi="Times New Roman" w:eastAsia="宋体" w:cs="Times New Roman"/>
                <w:kern w:val="0"/>
                <w:szCs w:val="20"/>
              </w:rPr>
              <w:t>废水</w:t>
            </w: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废水量</w:t>
            </w:r>
          </w:p>
        </w:tc>
        <w:tc>
          <w:tcPr>
            <w:tcW w:w="156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71291.8m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/a</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71291.8m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/a</w:t>
            </w:r>
          </w:p>
        </w:tc>
        <w:tc>
          <w:tcPr>
            <w:tcW w:w="1817"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经</w:t>
            </w:r>
            <w:r>
              <w:rPr>
                <w:rFonts w:ascii="Times New Roman" w:hAnsi="Times New Roman" w:eastAsia="宋体" w:cs="Times New Roman"/>
                <w:kern w:val="0"/>
                <w:szCs w:val="20"/>
              </w:rPr>
              <w:t>市政管网排入安康市恒口示范区污水处理厂处理</w:t>
            </w:r>
          </w:p>
        </w:tc>
        <w:tc>
          <w:tcPr>
            <w:tcW w:w="4031"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生活污水经化粪池预处理后，食堂</w:t>
            </w:r>
            <w:r>
              <w:rPr>
                <w:rFonts w:ascii="Times New Roman" w:hAnsi="Times New Roman" w:eastAsia="宋体" w:cs="Times New Roman"/>
                <w:kern w:val="0"/>
                <w:szCs w:val="20"/>
              </w:rPr>
              <w:t>废水经隔油池</w:t>
            </w:r>
            <w:r>
              <w:rPr>
                <w:rFonts w:hint="eastAsia" w:ascii="Times New Roman" w:hAnsi="Times New Roman" w:eastAsia="宋体" w:cs="Times New Roman"/>
                <w:kern w:val="0"/>
                <w:szCs w:val="20"/>
              </w:rPr>
              <w:t>预处理后</w:t>
            </w:r>
            <w:r>
              <w:rPr>
                <w:rFonts w:ascii="Times New Roman" w:hAnsi="Times New Roman" w:eastAsia="宋体" w:cs="Times New Roman"/>
                <w:kern w:val="0"/>
                <w:szCs w:val="20"/>
              </w:rPr>
              <w:t>和</w:t>
            </w:r>
            <w:r>
              <w:rPr>
                <w:rFonts w:hint="eastAsia" w:ascii="Times New Roman" w:hAnsi="Times New Roman" w:eastAsia="宋体" w:cs="Times New Roman"/>
                <w:kern w:val="0"/>
                <w:szCs w:val="20"/>
              </w:rPr>
              <w:t>其余</w:t>
            </w:r>
            <w:r>
              <w:rPr>
                <w:rFonts w:ascii="Times New Roman" w:hAnsi="Times New Roman" w:eastAsia="宋体" w:cs="Times New Roman"/>
                <w:kern w:val="0"/>
                <w:szCs w:val="20"/>
              </w:rPr>
              <w:t>医疗废水一</w:t>
            </w:r>
            <w:r>
              <w:rPr>
                <w:rFonts w:hint="eastAsia" w:ascii="Times New Roman" w:hAnsi="Times New Roman" w:eastAsia="宋体" w:cs="Times New Roman"/>
                <w:kern w:val="0"/>
                <w:szCs w:val="20"/>
              </w:rPr>
              <w:t>同进入自建污水处理站进行深度处理，自建污水处理站设计处理能力</w:t>
            </w:r>
            <w:r>
              <w:rPr>
                <w:rFonts w:ascii="Times New Roman" w:hAnsi="Times New Roman" w:eastAsia="宋体" w:cs="Times New Roman"/>
                <w:kern w:val="0"/>
                <w:szCs w:val="20"/>
              </w:rPr>
              <w:t>250m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COD</w:t>
            </w:r>
          </w:p>
        </w:tc>
        <w:tc>
          <w:tcPr>
            <w:tcW w:w="1565" w:type="dxa"/>
            <w:vAlign w:val="center"/>
          </w:tcPr>
          <w:p>
            <w:pPr>
              <w:adjustRightInd w:val="0"/>
              <w:snapToGrid w:val="0"/>
              <w:jc w:val="center"/>
              <w:textAlignment w:val="baseline"/>
              <w:rPr>
                <w:rFonts w:ascii="Times New Roman" w:eastAsia="宋体"/>
                <w:szCs w:val="21"/>
              </w:rPr>
            </w:pPr>
            <w:r>
              <w:rPr>
                <w:rFonts w:ascii="Times New Roman" w:eastAsia="宋体"/>
                <w:szCs w:val="21"/>
              </w:rPr>
              <w:t>21.39</w:t>
            </w:r>
          </w:p>
        </w:tc>
        <w:tc>
          <w:tcPr>
            <w:tcW w:w="1426" w:type="dxa"/>
            <w:vAlign w:val="bottom"/>
          </w:tcPr>
          <w:p>
            <w:pPr>
              <w:pStyle w:val="47"/>
            </w:pPr>
            <w:r>
              <w:rPr>
                <w:rFonts w:hint="eastAsia"/>
              </w:rPr>
              <w:t>8.56</w:t>
            </w:r>
          </w:p>
        </w:tc>
        <w:tc>
          <w:tcPr>
            <w:tcW w:w="1522" w:type="dxa"/>
            <w:vAlign w:val="center"/>
          </w:tcPr>
          <w:p>
            <w:pPr>
              <w:adjustRightInd w:val="0"/>
              <w:snapToGrid w:val="0"/>
              <w:jc w:val="center"/>
              <w:textAlignment w:val="baseline"/>
              <w:rPr>
                <w:rFonts w:ascii="Times New Roman" w:eastAsia="宋体"/>
                <w:szCs w:val="21"/>
              </w:rPr>
            </w:pPr>
            <w:r>
              <w:rPr>
                <w:rFonts w:ascii="Times New Roman" w:eastAsia="宋体"/>
                <w:szCs w:val="21"/>
              </w:rPr>
              <w:t>12.83</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BOD</w:t>
            </w:r>
            <w:r>
              <w:rPr>
                <w:rFonts w:ascii="Times New Roman" w:hAnsi="Times New Roman" w:eastAsia="宋体" w:cs="Times New Roman"/>
                <w:kern w:val="0"/>
                <w:szCs w:val="20"/>
                <w:vertAlign w:val="subscript"/>
              </w:rPr>
              <w:t>5</w:t>
            </w:r>
          </w:p>
        </w:tc>
        <w:tc>
          <w:tcPr>
            <w:tcW w:w="1565" w:type="dxa"/>
            <w:vAlign w:val="center"/>
          </w:tcPr>
          <w:p>
            <w:pPr>
              <w:adjustRightInd w:val="0"/>
              <w:snapToGrid w:val="0"/>
              <w:jc w:val="center"/>
              <w:textAlignment w:val="baseline"/>
              <w:rPr>
                <w:rFonts w:ascii="Times New Roman" w:eastAsia="宋体"/>
                <w:szCs w:val="21"/>
              </w:rPr>
            </w:pPr>
            <w:r>
              <w:rPr>
                <w:rFonts w:ascii="Times New Roman" w:eastAsia="宋体"/>
                <w:szCs w:val="21"/>
              </w:rPr>
              <w:t>10.69</w:t>
            </w:r>
          </w:p>
        </w:tc>
        <w:tc>
          <w:tcPr>
            <w:tcW w:w="1426" w:type="dxa"/>
            <w:vAlign w:val="bottom"/>
          </w:tcPr>
          <w:p>
            <w:pPr>
              <w:pStyle w:val="47"/>
            </w:pPr>
            <w:r>
              <w:rPr>
                <w:rFonts w:hint="eastAsia"/>
              </w:rPr>
              <w:t>4.27</w:t>
            </w:r>
          </w:p>
        </w:tc>
        <w:tc>
          <w:tcPr>
            <w:tcW w:w="1522" w:type="dxa"/>
            <w:vAlign w:val="center"/>
          </w:tcPr>
          <w:p>
            <w:pPr>
              <w:adjustRightInd w:val="0"/>
              <w:snapToGrid w:val="0"/>
              <w:jc w:val="center"/>
              <w:textAlignment w:val="baseline"/>
              <w:rPr>
                <w:rFonts w:ascii="Times New Roman" w:eastAsia="宋体"/>
                <w:szCs w:val="21"/>
              </w:rPr>
            </w:pPr>
            <w:r>
              <w:rPr>
                <w:rFonts w:ascii="Times New Roman" w:eastAsia="宋体"/>
                <w:szCs w:val="21"/>
              </w:rPr>
              <w:t>6.42</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SS</w:t>
            </w:r>
          </w:p>
        </w:tc>
        <w:tc>
          <w:tcPr>
            <w:tcW w:w="1565" w:type="dxa"/>
            <w:vAlign w:val="center"/>
          </w:tcPr>
          <w:p>
            <w:pPr>
              <w:adjustRightInd w:val="0"/>
              <w:snapToGrid w:val="0"/>
              <w:jc w:val="center"/>
              <w:textAlignment w:val="baseline"/>
              <w:rPr>
                <w:rFonts w:ascii="Times New Roman" w:eastAsia="宋体"/>
                <w:szCs w:val="21"/>
              </w:rPr>
            </w:pPr>
            <w:r>
              <w:rPr>
                <w:rFonts w:ascii="Times New Roman" w:eastAsia="宋体"/>
                <w:szCs w:val="21"/>
              </w:rPr>
              <w:t>8.56</w:t>
            </w:r>
          </w:p>
        </w:tc>
        <w:tc>
          <w:tcPr>
            <w:tcW w:w="1426" w:type="dxa"/>
            <w:vAlign w:val="bottom"/>
          </w:tcPr>
          <w:p>
            <w:pPr>
              <w:pStyle w:val="47"/>
            </w:pPr>
            <w:r>
              <w:rPr>
                <w:rFonts w:hint="eastAsia"/>
              </w:rPr>
              <w:t>6.85</w:t>
            </w:r>
          </w:p>
        </w:tc>
        <w:tc>
          <w:tcPr>
            <w:tcW w:w="1522" w:type="dxa"/>
            <w:vAlign w:val="center"/>
          </w:tcPr>
          <w:p>
            <w:pPr>
              <w:adjustRightInd w:val="0"/>
              <w:snapToGrid w:val="0"/>
              <w:jc w:val="center"/>
              <w:textAlignment w:val="baseline"/>
              <w:rPr>
                <w:rFonts w:ascii="Times New Roman" w:eastAsia="宋体"/>
                <w:szCs w:val="21"/>
              </w:rPr>
            </w:pPr>
            <w:r>
              <w:rPr>
                <w:rFonts w:ascii="Times New Roman" w:eastAsia="宋体"/>
                <w:szCs w:val="21"/>
              </w:rPr>
              <w:t>1.71</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NH</w:t>
            </w:r>
            <w:r>
              <w:rPr>
                <w:rFonts w:ascii="Times New Roman" w:hAnsi="Times New Roman" w:eastAsia="宋体" w:cs="Times New Roman"/>
                <w:kern w:val="0"/>
                <w:szCs w:val="20"/>
                <w:vertAlign w:val="subscript"/>
              </w:rPr>
              <w:t>3</w:t>
            </w:r>
            <w:r>
              <w:rPr>
                <w:rFonts w:ascii="Times New Roman" w:hAnsi="Times New Roman" w:eastAsia="宋体" w:cs="Times New Roman"/>
                <w:kern w:val="0"/>
                <w:szCs w:val="20"/>
              </w:rPr>
              <w:t>-N</w:t>
            </w:r>
          </w:p>
        </w:tc>
        <w:tc>
          <w:tcPr>
            <w:tcW w:w="1565" w:type="dxa"/>
            <w:vAlign w:val="center"/>
          </w:tcPr>
          <w:p>
            <w:pPr>
              <w:adjustRightInd w:val="0"/>
              <w:snapToGrid w:val="0"/>
              <w:jc w:val="center"/>
              <w:textAlignment w:val="baseline"/>
              <w:rPr>
                <w:rFonts w:ascii="Times New Roman" w:eastAsia="宋体"/>
                <w:szCs w:val="21"/>
              </w:rPr>
            </w:pPr>
            <w:r>
              <w:rPr>
                <w:rFonts w:ascii="Times New Roman" w:eastAsia="宋体"/>
                <w:szCs w:val="21"/>
              </w:rPr>
              <w:t>2.14</w:t>
            </w:r>
          </w:p>
        </w:tc>
        <w:tc>
          <w:tcPr>
            <w:tcW w:w="1426" w:type="dxa"/>
            <w:vAlign w:val="bottom"/>
          </w:tcPr>
          <w:p>
            <w:pPr>
              <w:pStyle w:val="47"/>
            </w:pPr>
            <w:r>
              <w:rPr>
                <w:rFonts w:hint="eastAsia"/>
              </w:rPr>
              <w:t>0</w:t>
            </w:r>
          </w:p>
        </w:tc>
        <w:tc>
          <w:tcPr>
            <w:tcW w:w="1522" w:type="dxa"/>
            <w:vAlign w:val="center"/>
          </w:tcPr>
          <w:p>
            <w:pPr>
              <w:adjustRightInd w:val="0"/>
              <w:snapToGrid w:val="0"/>
              <w:jc w:val="center"/>
              <w:textAlignment w:val="baseline"/>
              <w:rPr>
                <w:rFonts w:ascii="Times New Roman" w:eastAsia="宋体"/>
                <w:szCs w:val="21"/>
              </w:rPr>
            </w:pPr>
            <w:r>
              <w:rPr>
                <w:rFonts w:ascii="Times New Roman" w:eastAsia="宋体"/>
                <w:szCs w:val="21"/>
              </w:rPr>
              <w:t>2.14</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2290" w:type="dxa"/>
            <w:gridSpan w:val="2"/>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粪大肠菌群</w:t>
            </w:r>
          </w:p>
        </w:tc>
        <w:tc>
          <w:tcPr>
            <w:tcW w:w="1565" w:type="dxa"/>
            <w:vAlign w:val="center"/>
          </w:tcPr>
          <w:p>
            <w:pPr>
              <w:adjustRightInd w:val="0"/>
              <w:snapToGrid w:val="0"/>
              <w:jc w:val="center"/>
              <w:textAlignment w:val="baseline"/>
              <w:rPr>
                <w:rFonts w:ascii="Times New Roman" w:eastAsia="宋体"/>
                <w:szCs w:val="21"/>
                <w:highlight w:val="yellow"/>
              </w:rPr>
            </w:pPr>
            <w:r>
              <w:rPr>
                <w:rFonts w:ascii="Times New Roman" w:eastAsia="宋体"/>
                <w:szCs w:val="21"/>
              </w:rPr>
              <w:t>1.14</w:t>
            </w:r>
            <w:r>
              <w:rPr>
                <w:rFonts w:ascii="Times New Roman" w:eastAsia="宋体"/>
                <w:snapToGrid w:val="0"/>
                <w:spacing w:val="4"/>
                <w:w w:val="90"/>
                <w:szCs w:val="21"/>
              </w:rPr>
              <w:t>×10</w:t>
            </w:r>
            <w:r>
              <w:rPr>
                <w:rFonts w:hint="eastAsia" w:ascii="Times New Roman" w:eastAsia="宋体"/>
                <w:snapToGrid w:val="0"/>
                <w:spacing w:val="4"/>
                <w:w w:val="90"/>
                <w:szCs w:val="21"/>
                <w:vertAlign w:val="superscript"/>
              </w:rPr>
              <w:t>14</w:t>
            </w:r>
            <w:r>
              <w:rPr>
                <w:rFonts w:ascii="Times New Roman" w:eastAsia="宋体"/>
                <w:szCs w:val="21"/>
              </w:rPr>
              <w:t>个</w:t>
            </w:r>
            <w:r>
              <w:rPr>
                <w:rFonts w:hint="eastAsia" w:ascii="Times New Roman" w:eastAsia="宋体"/>
                <w:szCs w:val="21"/>
              </w:rPr>
              <w:t>/a</w:t>
            </w:r>
          </w:p>
        </w:tc>
        <w:tc>
          <w:tcPr>
            <w:tcW w:w="1426" w:type="dxa"/>
            <w:vAlign w:val="center"/>
          </w:tcPr>
          <w:p>
            <w:pPr>
              <w:tabs>
                <w:tab w:val="left" w:pos="2340"/>
              </w:tabs>
              <w:snapToGrid w:val="0"/>
              <w:jc w:val="center"/>
              <w:rPr>
                <w:rFonts w:ascii="Times New Roman" w:hAnsi="Times New Roman" w:eastAsia="宋体" w:cs="Times New Roman"/>
                <w:kern w:val="0"/>
                <w:szCs w:val="20"/>
              </w:rPr>
            </w:pPr>
            <w:r>
              <w:rPr>
                <w:rFonts w:ascii="Times New Roman" w:eastAsia="宋体"/>
                <w:szCs w:val="21"/>
              </w:rPr>
              <w:t>1.14</w:t>
            </w:r>
            <w:r>
              <w:rPr>
                <w:rFonts w:ascii="Times New Roman" w:eastAsia="宋体"/>
                <w:snapToGrid w:val="0"/>
                <w:spacing w:val="4"/>
                <w:w w:val="90"/>
                <w:szCs w:val="21"/>
              </w:rPr>
              <w:t>×10</w:t>
            </w:r>
            <w:r>
              <w:rPr>
                <w:rFonts w:hint="eastAsia" w:ascii="Times New Roman" w:eastAsia="宋体"/>
                <w:snapToGrid w:val="0"/>
                <w:spacing w:val="4"/>
                <w:w w:val="90"/>
                <w:szCs w:val="21"/>
                <w:vertAlign w:val="superscript"/>
              </w:rPr>
              <w:t>14</w:t>
            </w:r>
            <w:r>
              <w:rPr>
                <w:rFonts w:ascii="Times New Roman" w:eastAsia="宋体"/>
                <w:szCs w:val="21"/>
              </w:rPr>
              <w:t>个</w:t>
            </w:r>
            <w:r>
              <w:rPr>
                <w:rFonts w:hint="eastAsia" w:ascii="Times New Roman" w:eastAsia="宋体"/>
                <w:szCs w:val="21"/>
              </w:rPr>
              <w:t>/a</w:t>
            </w:r>
          </w:p>
        </w:tc>
        <w:tc>
          <w:tcPr>
            <w:tcW w:w="1522" w:type="dxa"/>
            <w:vAlign w:val="center"/>
          </w:tcPr>
          <w:p>
            <w:pPr>
              <w:adjustRightInd w:val="0"/>
              <w:snapToGrid w:val="0"/>
              <w:jc w:val="center"/>
              <w:textAlignment w:val="baseline"/>
              <w:rPr>
                <w:rFonts w:ascii="Times New Roman" w:eastAsia="宋体"/>
                <w:szCs w:val="21"/>
              </w:rPr>
            </w:pPr>
            <w:r>
              <w:rPr>
                <w:rFonts w:ascii="Times New Roman" w:eastAsia="宋体"/>
                <w:szCs w:val="21"/>
              </w:rPr>
              <w:t>3.56</w:t>
            </w:r>
            <w:r>
              <w:rPr>
                <w:rFonts w:ascii="Times New Roman" w:eastAsia="宋体"/>
                <w:snapToGrid w:val="0"/>
                <w:spacing w:val="4"/>
                <w:w w:val="90"/>
                <w:szCs w:val="21"/>
              </w:rPr>
              <w:t>×10</w:t>
            </w:r>
            <w:r>
              <w:rPr>
                <w:rFonts w:ascii="Times New Roman" w:eastAsia="宋体"/>
                <w:snapToGrid w:val="0"/>
                <w:spacing w:val="4"/>
                <w:w w:val="90"/>
                <w:szCs w:val="21"/>
                <w:vertAlign w:val="superscript"/>
              </w:rPr>
              <w:t>10</w:t>
            </w:r>
            <w:r>
              <w:rPr>
                <w:rFonts w:ascii="Times New Roman" w:eastAsia="宋体"/>
                <w:szCs w:val="21"/>
              </w:rPr>
              <w:t>个</w:t>
            </w:r>
            <w:r>
              <w:rPr>
                <w:rFonts w:hint="eastAsia" w:ascii="Times New Roman" w:eastAsia="宋体"/>
                <w:szCs w:val="21"/>
              </w:rPr>
              <w:t>/a</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restart"/>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固废</w:t>
            </w:r>
          </w:p>
        </w:tc>
        <w:tc>
          <w:tcPr>
            <w:tcW w:w="109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w:t>
            </w:r>
          </w:p>
        </w:tc>
        <w:tc>
          <w:tcPr>
            <w:tcW w:w="2290" w:type="dxa"/>
            <w:gridSpan w:val="2"/>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生活</w:t>
            </w:r>
            <w:r>
              <w:rPr>
                <w:rFonts w:ascii="Times New Roman" w:hAnsi="Times New Roman" w:eastAsia="宋体" w:cs="Times New Roman"/>
                <w:szCs w:val="21"/>
              </w:rPr>
              <w:t>垃圾</w:t>
            </w:r>
          </w:p>
        </w:tc>
        <w:tc>
          <w:tcPr>
            <w:tcW w:w="156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441.65</w:t>
            </w:r>
          </w:p>
        </w:tc>
        <w:tc>
          <w:tcPr>
            <w:tcW w:w="142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441.65</w:t>
            </w:r>
          </w:p>
        </w:tc>
        <w:tc>
          <w:tcPr>
            <w:tcW w:w="152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环卫</w:t>
            </w:r>
            <w:r>
              <w:rPr>
                <w:rFonts w:ascii="Times New Roman" w:hAnsi="Times New Roman" w:eastAsia="宋体" w:cs="Times New Roman"/>
                <w:kern w:val="0"/>
                <w:szCs w:val="20"/>
              </w:rPr>
              <w:t>部门清运</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环卫</w:t>
            </w:r>
            <w:r>
              <w:rPr>
                <w:rFonts w:ascii="Times New Roman" w:hAnsi="Times New Roman" w:eastAsia="宋体" w:cs="Times New Roman"/>
                <w:kern w:val="0"/>
                <w:szCs w:val="20"/>
              </w:rPr>
              <w:t>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096"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2290" w:type="dxa"/>
            <w:gridSpan w:val="2"/>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餐厨</w:t>
            </w:r>
            <w:r>
              <w:rPr>
                <w:rFonts w:ascii="Times New Roman" w:hAnsi="Times New Roman" w:eastAsia="宋体" w:cs="Times New Roman"/>
                <w:szCs w:val="21"/>
              </w:rPr>
              <w:t>垃圾</w:t>
            </w:r>
          </w:p>
        </w:tc>
        <w:tc>
          <w:tcPr>
            <w:tcW w:w="156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90.23</w:t>
            </w:r>
          </w:p>
        </w:tc>
        <w:tc>
          <w:tcPr>
            <w:tcW w:w="1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90.23</w:t>
            </w:r>
          </w:p>
        </w:tc>
        <w:tc>
          <w:tcPr>
            <w:tcW w:w="152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817"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专人</w:t>
            </w:r>
            <w:r>
              <w:rPr>
                <w:rFonts w:ascii="Times New Roman" w:hAnsi="Times New Roman" w:eastAsia="宋体" w:cs="Times New Roman"/>
                <w:kern w:val="0"/>
                <w:szCs w:val="20"/>
              </w:rPr>
              <w:t>回收</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096" w:type="dxa"/>
            <w:vMerge w:val="continue"/>
            <w:vAlign w:val="center"/>
          </w:tcPr>
          <w:p>
            <w:pPr>
              <w:autoSpaceDE w:val="0"/>
              <w:autoSpaceDN w:val="0"/>
              <w:adjustRightInd w:val="0"/>
              <w:jc w:val="center"/>
              <w:textAlignment w:val="bottom"/>
              <w:rPr>
                <w:rFonts w:ascii="Times New Roman" w:hAnsi="Times New Roman" w:eastAsia="宋体" w:cs="Times New Roman"/>
                <w:szCs w:val="20"/>
              </w:rPr>
            </w:pPr>
          </w:p>
        </w:tc>
        <w:tc>
          <w:tcPr>
            <w:tcW w:w="2290" w:type="dxa"/>
            <w:gridSpan w:val="2"/>
            <w:vAlign w:val="center"/>
          </w:tcPr>
          <w:p>
            <w:pPr>
              <w:pStyle w:val="78"/>
              <w:rPr>
                <w:szCs w:val="21"/>
              </w:rPr>
            </w:pPr>
            <w:r>
              <w:rPr>
                <w:rFonts w:hint="eastAsia"/>
                <w:szCs w:val="21"/>
              </w:rPr>
              <w:t>废油脂</w:t>
            </w:r>
          </w:p>
        </w:tc>
        <w:tc>
          <w:tcPr>
            <w:tcW w:w="156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0.71</w:t>
            </w:r>
          </w:p>
        </w:tc>
        <w:tc>
          <w:tcPr>
            <w:tcW w:w="142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0.71</w:t>
            </w:r>
          </w:p>
        </w:tc>
        <w:tc>
          <w:tcPr>
            <w:tcW w:w="152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096" w:type="dxa"/>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医护工作</w:t>
            </w:r>
          </w:p>
        </w:tc>
        <w:tc>
          <w:tcPr>
            <w:tcW w:w="2290" w:type="dxa"/>
            <w:gridSpan w:val="2"/>
            <w:vAlign w:val="center"/>
          </w:tcPr>
          <w:p>
            <w:pPr>
              <w:pStyle w:val="78"/>
              <w:rPr>
                <w:szCs w:val="21"/>
              </w:rPr>
            </w:pPr>
            <w:r>
              <w:rPr>
                <w:rFonts w:hint="eastAsia"/>
                <w:szCs w:val="21"/>
              </w:rPr>
              <w:t>医疗</w:t>
            </w:r>
            <w:r>
              <w:rPr>
                <w:szCs w:val="21"/>
              </w:rPr>
              <w:t>废物</w:t>
            </w:r>
          </w:p>
        </w:tc>
        <w:tc>
          <w:tcPr>
            <w:tcW w:w="156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118.63</w:t>
            </w:r>
          </w:p>
        </w:tc>
        <w:tc>
          <w:tcPr>
            <w:tcW w:w="1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118.63</w:t>
            </w:r>
          </w:p>
        </w:tc>
        <w:tc>
          <w:tcPr>
            <w:tcW w:w="152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1817" w:type="dxa"/>
            <w:vMerge w:val="restart"/>
            <w:vAlign w:val="center"/>
          </w:tcPr>
          <w:p>
            <w:pPr>
              <w:tabs>
                <w:tab w:val="left" w:pos="2340"/>
              </w:tabs>
              <w:snapToGrid w:val="0"/>
              <w:jc w:val="center"/>
              <w:rPr>
                <w:rFonts w:ascii="Times New Roman" w:hAnsi="Times New Roman" w:eastAsia="宋体" w:cs="Times New Roman"/>
                <w:kern w:val="0"/>
                <w:szCs w:val="20"/>
                <w:highlight w:val="yellow"/>
              </w:rPr>
            </w:pPr>
            <w:r>
              <w:rPr>
                <w:rFonts w:ascii="Times New Roman" w:hAnsi="Times New Roman" w:eastAsia="宋体" w:cs="Times New Roman"/>
                <w:szCs w:val="21"/>
              </w:rPr>
              <w:t>交有资质单位处置</w:t>
            </w:r>
          </w:p>
        </w:tc>
        <w:tc>
          <w:tcPr>
            <w:tcW w:w="4031" w:type="dxa"/>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交</w:t>
            </w:r>
            <w:r>
              <w:rPr>
                <w:rFonts w:ascii="Times New Roman" w:hAnsi="Times New Roman" w:eastAsia="宋体" w:cs="Times New Roman"/>
                <w:kern w:val="0"/>
                <w:szCs w:val="20"/>
              </w:rPr>
              <w:t>由资质单位处置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1096" w:type="dxa"/>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污水</w:t>
            </w:r>
            <w:r>
              <w:rPr>
                <w:rFonts w:ascii="Times New Roman" w:hAnsi="Times New Roman" w:eastAsia="宋体" w:cs="Times New Roman"/>
                <w:szCs w:val="20"/>
              </w:rPr>
              <w:t>处理站</w:t>
            </w:r>
          </w:p>
        </w:tc>
        <w:tc>
          <w:tcPr>
            <w:tcW w:w="2290" w:type="dxa"/>
            <w:gridSpan w:val="2"/>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污水处理站污泥</w:t>
            </w:r>
          </w:p>
        </w:tc>
        <w:tc>
          <w:tcPr>
            <w:tcW w:w="156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47.27</w:t>
            </w:r>
          </w:p>
        </w:tc>
        <w:tc>
          <w:tcPr>
            <w:tcW w:w="142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47.27</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817"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szCs w:val="21"/>
              </w:rPr>
              <w:t>石灰石</w:t>
            </w:r>
            <w:r>
              <w:rPr>
                <w:rFonts w:ascii="Times New Roman" w:hAnsi="Times New Roman" w:eastAsia="宋体" w:cs="Times New Roman"/>
                <w:szCs w:val="21"/>
              </w:rPr>
              <w:t>消毒处理</w:t>
            </w:r>
            <w:r>
              <w:rPr>
                <w:rFonts w:hint="eastAsia" w:ascii="Times New Roman" w:hAnsi="Times New Roman" w:eastAsia="宋体" w:cs="Times New Roman"/>
                <w:szCs w:val="21"/>
              </w:rPr>
              <w:t>，</w:t>
            </w:r>
            <w:r>
              <w:rPr>
                <w:rFonts w:ascii="Times New Roman" w:hAnsi="Times New Roman" w:eastAsia="宋体" w:cs="Times New Roman"/>
                <w:szCs w:val="21"/>
              </w:rPr>
              <w:t>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药品</w:t>
            </w:r>
            <w:r>
              <w:rPr>
                <w:rFonts w:ascii="Times New Roman" w:hAnsi="Times New Roman" w:eastAsia="宋体" w:cs="Times New Roman"/>
                <w:szCs w:val="20"/>
              </w:rPr>
              <w:t>废</w:t>
            </w:r>
            <w:r>
              <w:rPr>
                <w:rFonts w:hint="eastAsia" w:ascii="Times New Roman" w:hAnsi="Times New Roman" w:eastAsia="宋体" w:cs="Times New Roman"/>
                <w:szCs w:val="20"/>
              </w:rPr>
              <w:t>包装</w:t>
            </w:r>
          </w:p>
        </w:tc>
        <w:tc>
          <w:tcPr>
            <w:tcW w:w="2290" w:type="dxa"/>
            <w:gridSpan w:val="2"/>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废包装物</w:t>
            </w:r>
          </w:p>
        </w:tc>
        <w:tc>
          <w:tcPr>
            <w:tcW w:w="156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w:t>
            </w:r>
          </w:p>
        </w:tc>
        <w:tc>
          <w:tcPr>
            <w:tcW w:w="142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回收</w:t>
            </w:r>
            <w:r>
              <w:rPr>
                <w:rFonts w:ascii="Times New Roman" w:hAnsi="Times New Roman" w:eastAsia="宋体" w:cs="Times New Roman"/>
                <w:kern w:val="0"/>
                <w:szCs w:val="20"/>
              </w:rPr>
              <w:t>利用</w:t>
            </w:r>
          </w:p>
        </w:tc>
        <w:tc>
          <w:tcPr>
            <w:tcW w:w="4031" w:type="dxa"/>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集中收集</w:t>
            </w:r>
            <w:r>
              <w:rPr>
                <w:rFonts w:ascii="Times New Roman" w:hAnsi="Times New Roman" w:eastAsia="宋体" w:cs="Times New Roman"/>
                <w:kern w:val="0"/>
                <w:szCs w:val="20"/>
              </w:rPr>
              <w:t>后由废旧资源回收部门</w:t>
            </w:r>
            <w:r>
              <w:rPr>
                <w:rFonts w:hint="eastAsia" w:ascii="Times New Roman" w:hAnsi="Times New Roman" w:eastAsia="宋体" w:cs="Times New Roman"/>
                <w:kern w:val="0"/>
                <w:szCs w:val="20"/>
              </w:rPr>
              <w:t>回收</w:t>
            </w:r>
            <w:r>
              <w:rPr>
                <w:rFonts w:ascii="Times New Roman" w:hAnsi="Times New Roman" w:eastAsia="宋体" w:cs="Times New Roman"/>
                <w:kern w:val="0"/>
                <w:szCs w:val="20"/>
              </w:rPr>
              <w:t>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煎药</w:t>
            </w:r>
          </w:p>
        </w:tc>
        <w:tc>
          <w:tcPr>
            <w:tcW w:w="2290" w:type="dxa"/>
            <w:gridSpan w:val="2"/>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煎药房</w:t>
            </w:r>
          </w:p>
        </w:tc>
        <w:tc>
          <w:tcPr>
            <w:tcW w:w="156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1.83</w:t>
            </w:r>
          </w:p>
        </w:tc>
        <w:tc>
          <w:tcPr>
            <w:tcW w:w="142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1.83</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环卫</w:t>
            </w:r>
            <w:r>
              <w:rPr>
                <w:rFonts w:ascii="Times New Roman" w:hAnsi="Times New Roman" w:eastAsia="宋体" w:cs="Times New Roman"/>
                <w:kern w:val="0"/>
                <w:szCs w:val="20"/>
              </w:rPr>
              <w:t>部门清运</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环卫</w:t>
            </w:r>
            <w:r>
              <w:rPr>
                <w:rFonts w:ascii="Times New Roman" w:hAnsi="Times New Roman" w:eastAsia="宋体" w:cs="Times New Roman"/>
                <w:kern w:val="0"/>
                <w:szCs w:val="20"/>
              </w:rPr>
              <w:t>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26"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1096" w:type="dxa"/>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软水</w:t>
            </w:r>
            <w:r>
              <w:rPr>
                <w:rFonts w:ascii="Times New Roman" w:hAnsi="Times New Roman" w:eastAsia="宋体" w:cs="Times New Roman"/>
                <w:szCs w:val="20"/>
              </w:rPr>
              <w:t>制备</w:t>
            </w:r>
          </w:p>
        </w:tc>
        <w:tc>
          <w:tcPr>
            <w:tcW w:w="2290" w:type="dxa"/>
            <w:gridSpan w:val="2"/>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废离子</w:t>
            </w:r>
            <w:r>
              <w:rPr>
                <w:rFonts w:ascii="Times New Roman" w:hAnsi="Times New Roman" w:eastAsia="宋体" w:cs="Times New Roman"/>
                <w:szCs w:val="20"/>
              </w:rPr>
              <w:t>交换树脂</w:t>
            </w:r>
          </w:p>
        </w:tc>
        <w:tc>
          <w:tcPr>
            <w:tcW w:w="156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42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p>
        </w:tc>
        <w:tc>
          <w:tcPr>
            <w:tcW w:w="1522"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w:t>
            </w:r>
          </w:p>
        </w:tc>
        <w:tc>
          <w:tcPr>
            <w:tcW w:w="181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厂家</w:t>
            </w:r>
            <w:r>
              <w:rPr>
                <w:rFonts w:ascii="Times New Roman" w:hAnsi="Times New Roman" w:eastAsia="宋体" w:cs="Times New Roman"/>
                <w:kern w:val="0"/>
                <w:szCs w:val="20"/>
              </w:rPr>
              <w:t>定期</w:t>
            </w:r>
            <w:r>
              <w:rPr>
                <w:rFonts w:hint="eastAsia" w:ascii="Times New Roman" w:hAnsi="Times New Roman" w:eastAsia="宋体" w:cs="Times New Roman"/>
                <w:kern w:val="0"/>
                <w:szCs w:val="20"/>
              </w:rPr>
              <w:t>更换</w:t>
            </w:r>
            <w:r>
              <w:rPr>
                <w:rFonts w:ascii="Times New Roman" w:hAnsi="Times New Roman" w:eastAsia="宋体" w:cs="Times New Roman"/>
                <w:kern w:val="0"/>
                <w:szCs w:val="20"/>
              </w:rPr>
              <w:t>并回收</w:t>
            </w:r>
          </w:p>
        </w:tc>
        <w:tc>
          <w:tcPr>
            <w:tcW w:w="4031"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厂家</w:t>
            </w:r>
            <w:r>
              <w:rPr>
                <w:rFonts w:ascii="Times New Roman" w:hAnsi="Times New Roman" w:eastAsia="宋体" w:cs="Times New Roman"/>
                <w:kern w:val="0"/>
                <w:szCs w:val="20"/>
              </w:rPr>
              <w:t>回收</w:t>
            </w:r>
          </w:p>
        </w:tc>
      </w:tr>
    </w:tbl>
    <w:p>
      <w:pPr>
        <w:rPr>
          <w:highlight w:val="yellow"/>
        </w:rPr>
      </w:pPr>
    </w:p>
    <w:p>
      <w:pPr>
        <w:rPr>
          <w:highlight w:val="yellow"/>
        </w:rPr>
      </w:pPr>
    </w:p>
    <w:p>
      <w:pPr>
        <w:rPr>
          <w:highlight w:val="yellow"/>
        </w:rPr>
        <w:sectPr>
          <w:headerReference r:id="rId34" w:type="default"/>
          <w:headerReference r:id="rId35" w:type="even"/>
          <w:pgSz w:w="16838" w:h="11906" w:orient="landscape"/>
          <w:pgMar w:top="1588" w:right="1418" w:bottom="1418" w:left="1418" w:header="851" w:footer="992" w:gutter="0"/>
          <w:pgNumType w:fmt="numberInDash"/>
          <w:cols w:space="425" w:num="1"/>
          <w:docGrid w:type="linesAndChars" w:linePitch="312" w:charSpace="0"/>
        </w:sectPr>
      </w:pPr>
    </w:p>
    <w:p>
      <w:pPr>
        <w:pStyle w:val="2"/>
      </w:pPr>
      <w:bookmarkStart w:id="34" w:name="_Toc113260428"/>
      <w:r>
        <w:rPr>
          <w:rFonts w:hint="eastAsia"/>
        </w:rPr>
        <w:t>环境</w:t>
      </w:r>
      <w:r>
        <w:t>现状调查与评价</w:t>
      </w:r>
      <w:bookmarkEnd w:id="34"/>
    </w:p>
    <w:p>
      <w:pPr>
        <w:pStyle w:val="3"/>
      </w:pPr>
      <w:bookmarkStart w:id="35" w:name="_Toc113260429"/>
      <w:r>
        <w:rPr>
          <w:rFonts w:hint="eastAsia"/>
        </w:rPr>
        <w:t>自然</w:t>
      </w:r>
      <w:r>
        <w:t>概况</w:t>
      </w:r>
      <w:bookmarkEnd w:id="35"/>
    </w:p>
    <w:p>
      <w:pPr>
        <w:pStyle w:val="4"/>
      </w:pPr>
      <w:r>
        <w:rPr>
          <w:rFonts w:hint="eastAsia"/>
        </w:rPr>
        <w:t>地理</w:t>
      </w:r>
      <w:r>
        <w:t>位置</w:t>
      </w:r>
    </w:p>
    <w:p>
      <w:pPr>
        <w:pStyle w:val="40"/>
        <w:ind w:firstLine="480"/>
      </w:pPr>
      <w:r>
        <w:rPr>
          <w:rFonts w:hint="eastAsia"/>
        </w:rPr>
        <w:t>安康市</w:t>
      </w:r>
      <w:r>
        <w:t>恒口示范区（试验区）位于北纬32.734151，东经108.776321，陕西省安康市月河川道，地处汉江流域的月河与恒河交汇处，恒口示范区距安康中心城区19公里。是连接安康市汉滨、汉阴、紫阳三县（区）的交通枢纽和商贸文化中心。 辖区东接荆楚、西临汉中、南达巴蜀、北通关中，紧邻正在建设的安康机场，阳安铁路和316国道，省道310公路横贯其中，包茂、十天高速在此交汇，是连接西安、汉中、安康和重庆、武汉、成都的重要交通枢纽，便利的区位立体交通网络，使恒口示范区（试验区）成为成渝、关天、武汉三大经济区的几何中心。</w:t>
      </w:r>
    </w:p>
    <w:p>
      <w:pPr>
        <w:pStyle w:val="40"/>
        <w:ind w:firstLine="480"/>
      </w:pPr>
      <w:r>
        <w:rPr>
          <w:rFonts w:hint="eastAsia"/>
        </w:rPr>
        <w:t>本项目位于安康市恒口示范区（试验区）月滨南大道</w:t>
      </w:r>
      <w:r>
        <w:t>，</w:t>
      </w:r>
      <w:r>
        <w:rPr>
          <w:rFonts w:hint="eastAsia"/>
        </w:rPr>
        <w:t>中心</w:t>
      </w:r>
      <w:r>
        <w:t>坐标</w:t>
      </w:r>
      <w:r>
        <w:rPr>
          <w:rFonts w:hint="eastAsia"/>
        </w:rPr>
        <w:t>东经</w:t>
      </w:r>
      <w:r>
        <w:rPr>
          <w:kern w:val="0"/>
        </w:rPr>
        <w:t>108.767673</w:t>
      </w:r>
      <w:r>
        <w:rPr>
          <w:rFonts w:hint="eastAsia"/>
        </w:rPr>
        <w:t>，</w:t>
      </w:r>
      <w:r>
        <w:t>北纬</w:t>
      </w:r>
      <w:r>
        <w:rPr>
          <w:kern w:val="0"/>
        </w:rPr>
        <w:t>32.729757</w:t>
      </w:r>
      <w:r>
        <w:rPr>
          <w:rFonts w:hint="eastAsia"/>
        </w:rPr>
        <w:t>，项目</w:t>
      </w:r>
      <w:r>
        <w:t>地理位置图见图3</w:t>
      </w:r>
      <w:r>
        <w:rPr>
          <w:rFonts w:hint="eastAsia"/>
        </w:rPr>
        <w:t>.1-1。</w:t>
      </w:r>
    </w:p>
    <w:p>
      <w:pPr>
        <w:pStyle w:val="4"/>
      </w:pPr>
      <w:r>
        <w:rPr>
          <w:rFonts w:hint="eastAsia"/>
        </w:rPr>
        <w:t>地形地貌</w:t>
      </w:r>
    </w:p>
    <w:p>
      <w:pPr>
        <w:pStyle w:val="40"/>
        <w:ind w:firstLine="480"/>
      </w:pPr>
      <w:r>
        <w:rPr>
          <w:rFonts w:hint="eastAsia"/>
        </w:rPr>
        <w:t>安康地区位于秦巴山区东段，以汉水—池河—月河—汉水连线为秦岭和大巴山的分界，其北为秦岭，其南为大巴山。全区地面海拔高程，白河县与湖北省交界的汉水右岸最低，海拔</w:t>
      </w:r>
      <w:r>
        <w:t>170m</w:t>
      </w:r>
      <w:r>
        <w:rPr>
          <w:rFonts w:hint="eastAsia"/>
        </w:rPr>
        <w:t>；秦岭东梁最高，海拔</w:t>
      </w:r>
      <w:r>
        <w:t>2965m</w:t>
      </w:r>
      <w:r>
        <w:rPr>
          <w:rFonts w:hint="eastAsia"/>
        </w:rPr>
        <w:t>。全区地貌的地质基础属于两个较大的构造单元，主体是大致东西走向的秦岭地槽褶皱带，石泉西部、紫阳西南角和镇坪钟宝以南地区是四川台向斜边缘弧形褶皱的一部分。其形成和发育，是漫长的地质历史时期内营力与外营力相互作用的结果。</w:t>
      </w:r>
    </w:p>
    <w:p>
      <w:pPr>
        <w:pStyle w:val="40"/>
        <w:ind w:firstLine="480"/>
      </w:pPr>
      <w:r>
        <w:rPr>
          <w:rFonts w:hint="eastAsia"/>
        </w:rPr>
        <w:t>本项目</w:t>
      </w:r>
      <w:r>
        <w:t>位于</w:t>
      </w:r>
      <w:r>
        <w:rPr>
          <w:rFonts w:hint="eastAsia"/>
        </w:rPr>
        <w:t>安康市</w:t>
      </w:r>
      <w:r>
        <w:t>恒口示范区（</w:t>
      </w:r>
      <w:r>
        <w:rPr>
          <w:rFonts w:hint="eastAsia"/>
        </w:rPr>
        <w:t>试验区</w:t>
      </w:r>
      <w:r>
        <w:t>）</w:t>
      </w:r>
      <w:r>
        <w:rPr>
          <w:rFonts w:hint="eastAsia"/>
        </w:rPr>
        <w:t>，属陕南秦巴山地丘陵沟壑区，汉江、月河穿过区境中部，以月河为界，北属秦岭山地，南沿巴山余脉。南北都有2000m以上的高大山峰，形成南北高、中间低的地貌特点，垂直高差达1900m，境内地形起伏，群山叠障，沟壑纵横，最高点为叶坪佛爷岭，海拔2141m，最低处216m，主要山脉有凤凰山、牛山、文武山、平头山等。本区主要地貌分为川道、丘陵、山地三大自然地貌，“三山夹两川”的地势轮廓。</w:t>
      </w:r>
    </w:p>
    <w:p>
      <w:pPr>
        <w:pStyle w:val="40"/>
        <w:ind w:firstLine="480"/>
      </w:pPr>
      <w:r>
        <w:rPr>
          <w:rFonts w:hint="eastAsia"/>
        </w:rPr>
        <w:t>根据现场踏勘，本项目所在地地形平坦。</w:t>
      </w:r>
    </w:p>
    <w:p>
      <w:pPr>
        <w:pStyle w:val="4"/>
      </w:pPr>
      <w:r>
        <w:rPr>
          <w:rFonts w:hint="eastAsia"/>
        </w:rPr>
        <w:t>地质</w:t>
      </w:r>
      <w:r>
        <w:t>特征</w:t>
      </w:r>
    </w:p>
    <w:p>
      <w:pPr>
        <w:pStyle w:val="40"/>
        <w:ind w:firstLine="480"/>
      </w:pPr>
      <w:r>
        <w:rPr>
          <w:rFonts w:hint="eastAsia"/>
        </w:rPr>
        <w:t>该区位于秦岭褶皱系南秦岭印支褶皱带与北大巴山加里东褶皱带的交接部位。区域地质构造稳定，结构简单，岩石较为坚硬完整，覆盖层较浅。经查阅地质资料和参考邻近区域相应建筑工程，本项目整个场地内不存在构造断裂等影响建筑物安全性的不良工程地质作用，场址区处于相对稳定地段。</w:t>
      </w:r>
    </w:p>
    <w:p>
      <w:pPr>
        <w:pStyle w:val="40"/>
        <w:ind w:firstLine="480"/>
      </w:pPr>
      <w:r>
        <w:rPr>
          <w:rFonts w:hint="eastAsia"/>
        </w:rPr>
        <w:t>根据《建筑抗震设计规范》（GB50011-2010 ）规范附录A，安康市抗震设防烈度为7度，设计基本地震加速度值为0.10g，设计地震分组为第一组，设计特征周期值为0.35s。</w:t>
      </w:r>
    </w:p>
    <w:p>
      <w:pPr>
        <w:pStyle w:val="4"/>
      </w:pPr>
      <w:r>
        <w:rPr>
          <w:rFonts w:hint="eastAsia"/>
        </w:rPr>
        <w:t>气候</w:t>
      </w:r>
      <w:r>
        <w:t>气象</w:t>
      </w:r>
    </w:p>
    <w:p>
      <w:pPr>
        <w:pStyle w:val="40"/>
        <w:ind w:firstLine="480"/>
      </w:pPr>
      <w:r>
        <w:rPr>
          <w:rFonts w:hint="eastAsia"/>
        </w:rPr>
        <w:t>安康市恒口示范区</w:t>
      </w:r>
      <w:r>
        <w:t>（</w:t>
      </w:r>
      <w:r>
        <w:rPr>
          <w:rFonts w:hint="eastAsia"/>
        </w:rPr>
        <w:t>试验区</w:t>
      </w:r>
      <w:r>
        <w:t>）</w:t>
      </w:r>
      <w:r>
        <w:rPr>
          <w:rFonts w:hint="eastAsia"/>
        </w:rPr>
        <w:t>地处北亚热带湿润季风气候区，光照适中、雨量充足，气候温和，四季分明。由于受地形的影响，气候具有明显的垂直地带性特征，南北山区气温低，中部河谷与丘陵区气温高。多年平均气温15.5℃，极端最高气温达41.7℃，极端最低气温低于-10℃。</w:t>
      </w:r>
    </w:p>
    <w:p>
      <w:pPr>
        <w:pStyle w:val="40"/>
        <w:ind w:firstLine="480"/>
      </w:pPr>
      <w:r>
        <w:rPr>
          <w:rFonts w:hint="eastAsia"/>
        </w:rPr>
        <w:t>该区自每年9月至次年5月，均以东北风向为盛行风向，6、7月为西风，8月为东风。全年以东北风为主导风向，其风向频率在初春为14，盛夏至秋季为6~9，冬季为10，平均风速以春季为最大，夏季次之，秋末与初冬最小。春季平均风速在1.4~2.0m/s，冬季为1.0~1.4m/s。</w:t>
      </w:r>
    </w:p>
    <w:p>
      <w:pPr>
        <w:pStyle w:val="40"/>
        <w:ind w:firstLine="480"/>
      </w:pPr>
      <w:r>
        <w:rPr>
          <w:rFonts w:hint="eastAsia"/>
        </w:rPr>
        <w:t>区内降水分布不均，各地差异很大，总的趋势是自北向南逐渐递增，在汉江、月河川道地区自东向西渐次增多。降水和时间的关系十分密切，降水的年际变化大，多年平均降水量799.3mm，最大降水量1109.2mm（1983年），最小降水量540.3mm（1960年）；年内变化差异明显，最低值出现在2月份，不足1.0mm ，最高值出现在6月份，为242.0mm，最高值的月份5~10月均有出现，降水量以 7、8、9 三个月为最多，占全年总降水量的10％。</w:t>
      </w:r>
    </w:p>
    <w:p>
      <w:pPr>
        <w:pStyle w:val="40"/>
        <w:ind w:firstLine="480"/>
      </w:pPr>
      <w:r>
        <w:rPr>
          <w:rFonts w:hint="eastAsia"/>
        </w:rPr>
        <w:t>区内多连阴雨和暴雨，暴雨和连阴雨又常常相伴。长期连阴雨夹暴雨，是全区滑坡、崩塌、泥石流形成的主要诱发因素之一。多数连阴雨在全区同时发生。据统计1851~1982年，全区共出现连阴雨260多次，年均8.39次，最多年达12次（1958年、1968年），最少年4次（1955年），年均连阴雨天数最长18.2天，少的也有10天；一年之中，连阴雨主要在春、夏、秋三季出现，相对集中于秋季。</w:t>
      </w:r>
    </w:p>
    <w:p>
      <w:pPr>
        <w:pStyle w:val="4"/>
      </w:pPr>
      <w:r>
        <w:rPr>
          <w:rFonts w:hint="eastAsia"/>
        </w:rPr>
        <w:t>水文特征</w:t>
      </w:r>
    </w:p>
    <w:p>
      <w:pPr>
        <w:pStyle w:val="5"/>
      </w:pPr>
      <w:r>
        <w:rPr>
          <w:rFonts w:hint="eastAsia"/>
        </w:rPr>
        <w:t>地表水</w:t>
      </w:r>
    </w:p>
    <w:p>
      <w:pPr>
        <w:pStyle w:val="40"/>
        <w:ind w:firstLine="480"/>
      </w:pPr>
      <w:r>
        <w:rPr>
          <w:rFonts w:hint="eastAsia"/>
        </w:rPr>
        <w:t>项目所在地地表水系为月河水系，位于项目北侧约</w:t>
      </w:r>
      <w:r>
        <w:t>100</w:t>
      </w:r>
      <w:r>
        <w:rPr>
          <w:rFonts w:hint="eastAsia"/>
        </w:rPr>
        <w:t>m处。月河由汉阴县双乳镇黄龙洞入安康汉滨区境，流经恒口镇、五里镇两区，于建民镇（原青峰乡）许家台注入汉江。境内流长40km，流域面积1949.34km</w:t>
      </w:r>
      <w:r>
        <w:rPr>
          <w:rFonts w:hint="eastAsia"/>
          <w:vertAlign w:val="superscript"/>
        </w:rPr>
        <w:t>2</w:t>
      </w:r>
      <w:r>
        <w:rPr>
          <w:rFonts w:hint="eastAsia"/>
        </w:rPr>
        <w:t>。</w:t>
      </w:r>
    </w:p>
    <w:p>
      <w:pPr>
        <w:pStyle w:val="40"/>
        <w:ind w:firstLine="480"/>
      </w:pPr>
      <w:r>
        <w:rPr>
          <w:rFonts w:hint="eastAsia"/>
        </w:rPr>
        <w:t>月河多年平均年径流量和输砂量，分别为9.42 亿m</w:t>
      </w:r>
      <w:r>
        <w:rPr>
          <w:rFonts w:hint="eastAsia"/>
          <w:vertAlign w:val="superscript"/>
        </w:rPr>
        <w:t>3</w:t>
      </w:r>
      <w:r>
        <w:rPr>
          <w:rFonts w:hint="eastAsia"/>
        </w:rPr>
        <w:t xml:space="preserve"> 和210.35 万t；最大年径流量19.20 亿m</w:t>
      </w:r>
      <w:r>
        <w:rPr>
          <w:rFonts w:hint="eastAsia"/>
          <w:vertAlign w:val="superscript"/>
        </w:rPr>
        <w:t>3</w:t>
      </w:r>
      <w:r>
        <w:rPr>
          <w:rFonts w:hint="eastAsia"/>
        </w:rPr>
        <w:t>，1964 年最小年径流量3.83亿m</w:t>
      </w:r>
      <w:r>
        <w:rPr>
          <w:rFonts w:hint="eastAsia"/>
          <w:vertAlign w:val="superscript"/>
        </w:rPr>
        <w:t>3</w:t>
      </w:r>
      <w:r>
        <w:rPr>
          <w:rFonts w:hint="eastAsia"/>
        </w:rPr>
        <w:t>；1966 年最大流量达3280m</w:t>
      </w:r>
      <w:r>
        <w:rPr>
          <w:rFonts w:hint="eastAsia"/>
          <w:vertAlign w:val="superscript"/>
        </w:rPr>
        <w:t>3</w:t>
      </w:r>
      <w:r>
        <w:rPr>
          <w:rFonts w:hint="eastAsia"/>
        </w:rPr>
        <w:t>/s。</w:t>
      </w:r>
    </w:p>
    <w:p>
      <w:pPr>
        <w:pStyle w:val="5"/>
      </w:pPr>
      <w:r>
        <w:rPr>
          <w:rFonts w:hint="eastAsia"/>
        </w:rPr>
        <w:t>地下</w:t>
      </w:r>
      <w:r>
        <w:t>水</w:t>
      </w:r>
    </w:p>
    <w:p>
      <w:pPr>
        <w:wordWrap w:val="0"/>
        <w:topLinePunct/>
        <w:spacing w:line="360" w:lineRule="auto"/>
        <w:ind w:firstLine="480" w:firstLineChars="200"/>
        <w:textAlignment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安康地区亚热带气候特征与丰富的降水，地下水补给条件优越。全区多年平均降水量一般在700</w:t>
      </w:r>
      <w:r>
        <w:rPr>
          <w:rFonts w:hint="eastAsia" w:ascii="Times New Roman" w:eastAsia="宋体" w:cs="Times New Roman"/>
          <w:color w:val="000000"/>
          <w:sz w:val="24"/>
          <w:szCs w:val="24"/>
        </w:rPr>
        <w:t>mm</w:t>
      </w:r>
      <w:r>
        <w:rPr>
          <w:rFonts w:ascii="Times New Roman" w:hAnsi="Times New Roman" w:eastAsia="宋体" w:cs="Times New Roman"/>
          <w:color w:val="000000"/>
          <w:sz w:val="24"/>
          <w:szCs w:val="24"/>
        </w:rPr>
        <w:t>以上，是地下水主要补偿源。境内地下水贮存广泛分布的古生代泥质碎屑岩层中，因泥质含量高，受中、深变质作用，岩性较软，过水通道狭窄，水力联系差。但在较脆的砂岩、灰岩、硅质岩分布地段，裂隙发育，地下水相对富集。其地下水赋存主要有松散岩类孔隙水</w:t>
      </w:r>
      <w:r>
        <w:rPr>
          <w:rFonts w:hint="eastAsia" w:ascii="Times New Roman" w:hAnsi="Times New Roman" w:eastAsia="宋体" w:cs="Times New Roman"/>
          <w:color w:val="000000"/>
          <w:sz w:val="24"/>
          <w:szCs w:val="24"/>
        </w:rPr>
        <w:t>、碎屑岩类裂隙孔隙水、</w:t>
      </w:r>
      <w:r>
        <w:rPr>
          <w:rFonts w:ascii="Times New Roman" w:hAnsi="Times New Roman" w:eastAsia="宋体" w:cs="Times New Roman"/>
          <w:color w:val="000000"/>
          <w:sz w:val="24"/>
          <w:szCs w:val="24"/>
        </w:rPr>
        <w:t>岩溶水</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基岩裂隙水四种类型。</w:t>
      </w:r>
    </w:p>
    <w:p>
      <w:pPr>
        <w:wordWrap w:val="0"/>
        <w:topLinePunct/>
        <w:spacing w:line="360" w:lineRule="auto"/>
        <w:ind w:firstLine="480" w:firstLineChars="200"/>
        <w:textAlignment w:val="center"/>
        <w:rPr>
          <w:rFonts w:ascii="Times New Roman" w:hAnsi="Times New Roman" w:eastAsia="宋体" w:cs="Times New Roman"/>
          <w:color w:val="000000"/>
          <w:sz w:val="24"/>
          <w:szCs w:val="24"/>
        </w:rPr>
      </w:pPr>
      <w:r>
        <w:rPr>
          <w:rFonts w:hint="eastAsia" w:ascii="Times New Roman" w:eastAsia="宋体" w:cs="Times New Roman"/>
          <w:color w:val="000000"/>
          <w:sz w:val="24"/>
          <w:szCs w:val="24"/>
        </w:rPr>
        <w:t>安康地区地下水水质较好，矿化度低，化学类型简单，大多属于弱矿化重碳酸型，矿化度一般为0.1～0.3g/L。总硬度一般为德国度4～16.8度，大多属软水和微硬水；pH值5.5～8.3，水温通常为12℃，且无色、无臭、无味。一般适用生活及工农业用水。</w:t>
      </w:r>
    </w:p>
    <w:p>
      <w:pPr>
        <w:pStyle w:val="40"/>
        <w:ind w:firstLine="480"/>
      </w:pPr>
      <w:r>
        <w:rPr>
          <w:rFonts w:hint="eastAsia"/>
        </w:rPr>
        <w:t>本项目</w:t>
      </w:r>
      <w:r>
        <w:t>所在</w:t>
      </w:r>
      <w:r>
        <w:rPr>
          <w:rFonts w:hint="eastAsia"/>
        </w:rPr>
        <w:t>地安康市</w:t>
      </w:r>
      <w:r>
        <w:t>恒口示范区</w:t>
      </w:r>
      <w:r>
        <w:rPr>
          <w:rFonts w:hint="eastAsia"/>
        </w:rPr>
        <w:t>（试验区）地下水较为丰富，水质以碳酸钙型为主，水质良好，对砼不具腐蚀。按含水层性质可分为基岩裂隙水和第四系孔隙水。</w:t>
      </w:r>
    </w:p>
    <w:p>
      <w:pPr>
        <w:pStyle w:val="40"/>
        <w:ind w:firstLine="480"/>
      </w:pPr>
      <w:r>
        <w:rPr>
          <w:rFonts w:hint="eastAsia"/>
        </w:rPr>
        <w:t>（</w:t>
      </w:r>
      <w:r>
        <w:t>1</w:t>
      </w:r>
      <w:r>
        <w:rPr>
          <w:rFonts w:hint="eastAsia"/>
        </w:rPr>
        <w:t>）基岩裂隙水：主要分布在月河两岸低山丘陵区，含水层为基岩，储水空间主要为风化裂隙和构造裂隙带。含水特征差异较大，多呈下降泉形式向沟谷排泄，水位埋深具有山高水高的特点，且受邻近沟谷切割影响。</w:t>
      </w:r>
    </w:p>
    <w:p>
      <w:pPr>
        <w:pStyle w:val="40"/>
        <w:ind w:firstLine="480"/>
      </w:pPr>
      <w:r>
        <w:rPr>
          <w:rFonts w:hint="eastAsia"/>
        </w:rPr>
        <w:t>（</w:t>
      </w:r>
      <w:r>
        <w:t>2</w:t>
      </w:r>
      <w:r>
        <w:rPr>
          <w:rFonts w:hint="eastAsia"/>
        </w:rPr>
        <w:t>）第四系孔隙水：主要分布在月河沿岸阶地、河谷漫滩及沟口洪积扇，含水层为冲积砂卵石层和洪积碎石土层。由于松散层厚度较小，透水性强，富水性一般。</w:t>
      </w:r>
    </w:p>
    <w:p>
      <w:pPr>
        <w:pStyle w:val="4"/>
      </w:pPr>
      <w:r>
        <w:rPr>
          <w:rFonts w:hint="eastAsia"/>
        </w:rPr>
        <w:t>植被</w:t>
      </w:r>
      <w:r>
        <w:t>及生物</w:t>
      </w:r>
      <w:r>
        <w:rPr>
          <w:rFonts w:hint="eastAsia"/>
        </w:rPr>
        <w:t>多样性</w:t>
      </w:r>
    </w:p>
    <w:p>
      <w:pPr>
        <w:pStyle w:val="40"/>
        <w:ind w:firstLine="480"/>
      </w:pPr>
      <w:r>
        <w:rPr>
          <w:rFonts w:hint="eastAsia"/>
        </w:rPr>
        <w:t>项目</w:t>
      </w:r>
      <w:r>
        <w:t>所在地恒口示范区（</w:t>
      </w:r>
      <w:r>
        <w:rPr>
          <w:rFonts w:hint="eastAsia"/>
        </w:rPr>
        <w:t>试验区</w:t>
      </w:r>
      <w:r>
        <w:t>）</w:t>
      </w:r>
      <w:r>
        <w:rPr>
          <w:rFonts w:hint="eastAsia"/>
        </w:rPr>
        <w:t>地处亚热带北部边缘，属亚热带常绿、落叶阔叶林地带和温带落叶阔叶林地带的分界线上，植被水平分布的过度性比较明显，主要树种有：油松、栎类、杨类、栓皮栎等；灌木有：胡颓子，黄栌等；草本有：羊胡子草、丝茅草、菊科杂草、蕨类、蒿类等。</w:t>
      </w:r>
    </w:p>
    <w:p>
      <w:pPr>
        <w:pStyle w:val="40"/>
        <w:ind w:firstLine="480"/>
      </w:pPr>
      <w:r>
        <w:rPr>
          <w:rFonts w:hint="eastAsia"/>
        </w:rPr>
        <w:t>项目所在地位于城镇农村生态系统，植被发育一般，主要为人工栽培的农作物、人工绿化、杂草。生物多样性</w:t>
      </w:r>
      <w:r>
        <w:t>一般，根据现场调查，项目周边</w:t>
      </w:r>
      <w:r>
        <w:rPr>
          <w:rFonts w:hint="eastAsia"/>
        </w:rPr>
        <w:t>区域内无古树名木等自然保护植被分布，无</w:t>
      </w:r>
      <w:r>
        <w:t>珍稀濒危保护动植物物种。</w:t>
      </w:r>
    </w:p>
    <w:p>
      <w:pPr>
        <w:pStyle w:val="3"/>
      </w:pPr>
      <w:bookmarkStart w:id="36" w:name="_Toc113260430"/>
      <w:r>
        <w:rPr>
          <w:rFonts w:hint="eastAsia"/>
        </w:rPr>
        <w:t>环境</w:t>
      </w:r>
      <w:r>
        <w:t>质量现状</w:t>
      </w:r>
      <w:bookmarkEnd w:id="36"/>
    </w:p>
    <w:p>
      <w:pPr>
        <w:pStyle w:val="4"/>
      </w:pPr>
      <w:r>
        <w:rPr>
          <w:rFonts w:hint="eastAsia"/>
        </w:rPr>
        <w:t>环境</w:t>
      </w:r>
      <w:r>
        <w:t>空气质量现状</w:t>
      </w:r>
    </w:p>
    <w:p>
      <w:pPr>
        <w:pStyle w:val="5"/>
      </w:pPr>
      <w:r>
        <w:rPr>
          <w:rFonts w:hint="eastAsia"/>
        </w:rPr>
        <w:t>基本</w:t>
      </w:r>
      <w:r>
        <w:t>污染物</w:t>
      </w:r>
    </w:p>
    <w:p>
      <w:pPr>
        <w:pStyle w:val="40"/>
        <w:ind w:firstLine="480"/>
        <w:rPr>
          <w:highlight w:val="yellow"/>
        </w:rPr>
      </w:pPr>
      <w:r>
        <w:rPr>
          <w:rFonts w:hint="eastAsia"/>
        </w:rPr>
        <w:t>项目所在区域属于安康市恒口示范区，本次环境空气质量现状调查引用陕西省</w:t>
      </w:r>
      <w:r>
        <w:t>生态环境厅办公室</w:t>
      </w:r>
      <w:r>
        <w:rPr>
          <w:rFonts w:hint="eastAsia"/>
        </w:rPr>
        <w:t>20</w:t>
      </w:r>
      <w:r>
        <w:t>22</w:t>
      </w:r>
      <w:r>
        <w:rPr>
          <w:rFonts w:hint="eastAsia"/>
        </w:rPr>
        <w:t>年1月</w:t>
      </w:r>
      <w:r>
        <w:t>13</w:t>
      </w:r>
      <w:r>
        <w:rPr>
          <w:rFonts w:hint="eastAsia"/>
        </w:rPr>
        <w:t>日发布的《2021年12月及1-12月全省环境空气质量状况》中2021年1</w:t>
      </w:r>
      <w:r>
        <w:t>~12</w:t>
      </w:r>
      <w:r>
        <w:rPr>
          <w:rFonts w:hint="eastAsia"/>
        </w:rPr>
        <w:t>月</w:t>
      </w:r>
      <w:r>
        <w:t>陕南地区</w:t>
      </w:r>
      <w:r>
        <w:rPr>
          <w:rFonts w:hint="eastAsia"/>
        </w:rPr>
        <w:t>32个</w:t>
      </w:r>
      <w:r>
        <w:t>县</w:t>
      </w:r>
      <w:r>
        <w:rPr>
          <w:rFonts w:hint="eastAsia"/>
        </w:rPr>
        <w:t>（</w:t>
      </w:r>
      <w:r>
        <w:t>区</w:t>
      </w:r>
      <w:r>
        <w:rPr>
          <w:rFonts w:hint="eastAsia"/>
        </w:rPr>
        <w:t>）环境</w:t>
      </w:r>
      <w:r>
        <w:t>质量状况统计</w:t>
      </w:r>
      <w:r>
        <w:rPr>
          <w:rFonts w:hint="eastAsia"/>
        </w:rPr>
        <w:t>表的监测数据进行分析，安康市</w:t>
      </w:r>
      <w:r>
        <w:t>汉滨区</w:t>
      </w:r>
      <w:r>
        <w:rPr>
          <w:rFonts w:hint="eastAsia"/>
        </w:rPr>
        <w:t>2021年</w:t>
      </w:r>
      <w:r>
        <w:t>优良天数为</w:t>
      </w:r>
      <w:r>
        <w:rPr>
          <w:rFonts w:hint="eastAsia"/>
        </w:rPr>
        <w:t>339天</w:t>
      </w:r>
      <w:r>
        <w:t>，优良率</w:t>
      </w:r>
      <w:r>
        <w:rPr>
          <w:rFonts w:hint="eastAsia"/>
        </w:rPr>
        <w:t>92.9</w:t>
      </w:r>
      <w:r>
        <w:t>%，</w:t>
      </w:r>
      <w:r>
        <w:rPr>
          <w:rFonts w:hint="eastAsia"/>
        </w:rPr>
        <w:t>空气</w:t>
      </w:r>
      <w:r>
        <w:t>质量综合指数</w:t>
      </w:r>
      <w:r>
        <w:rPr>
          <w:rFonts w:hint="eastAsia"/>
        </w:rPr>
        <w:t>3.31，</w:t>
      </w:r>
      <w:r>
        <w:t xml:space="preserve"> 2021</w:t>
      </w:r>
      <w:r>
        <w:rPr>
          <w:rFonts w:hint="eastAsia"/>
        </w:rPr>
        <w:t>年度安康市汉滨区环境空气质量状况统计具体统计结果见表5.2</w:t>
      </w:r>
      <w:r>
        <w:t>-</w:t>
      </w:r>
      <w:r>
        <w:rPr>
          <w:rFonts w:hint="eastAsia"/>
        </w:rPr>
        <w:t>1。</w:t>
      </w:r>
    </w:p>
    <w:p>
      <w:pPr>
        <w:pStyle w:val="22"/>
        <w:rPr>
          <w:szCs w:val="21"/>
          <w:vertAlign w:val="superscript"/>
        </w:rPr>
      </w:pPr>
      <w:bookmarkStart w:id="37" w:name="_Ref27042732"/>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1</w:t>
      </w:r>
      <w:r>
        <w:fldChar w:fldCharType="end"/>
      </w:r>
      <w:bookmarkEnd w:id="37"/>
      <w:r>
        <w:t xml:space="preserve">  2021</w:t>
      </w:r>
      <w:r>
        <w:rPr>
          <w:rFonts w:hint="eastAsia"/>
        </w:rPr>
        <w:t>年</w:t>
      </w:r>
      <w:r>
        <w:t xml:space="preserve">汉滨区区域环境质量现状评价表   </w:t>
      </w:r>
      <w:r>
        <w:rPr>
          <w:szCs w:val="21"/>
        </w:rPr>
        <w:t>单位：µg/m</w:t>
      </w:r>
      <w:r>
        <w:rPr>
          <w:szCs w:val="21"/>
          <w:vertAlign w:val="superscript"/>
        </w:rPr>
        <w:t>3</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904"/>
        <w:gridCol w:w="3035"/>
        <w:gridCol w:w="1061"/>
        <w:gridCol w:w="976"/>
        <w:gridCol w:w="937"/>
        <w:gridCol w:w="1013"/>
        <w:gridCol w:w="94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污染物</w:t>
            </w:r>
          </w:p>
        </w:tc>
        <w:tc>
          <w:tcPr>
            <w:tcW w:w="3035"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年评价指标</w:t>
            </w:r>
          </w:p>
        </w:tc>
        <w:tc>
          <w:tcPr>
            <w:tcW w:w="1061"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现状浓度</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标准值</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占标率</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达标情况</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bCs/>
                <w:kern w:val="0"/>
                <w:szCs w:val="21"/>
              </w:rPr>
            </w:pPr>
            <w:r>
              <w:rPr>
                <w:rFonts w:ascii="Times New Roman" w:hAnsi="Times New Roman" w:eastAsia="宋体" w:cs="Times New Roman"/>
                <w:bCs/>
                <w:kern w:val="0"/>
                <w:szCs w:val="21"/>
              </w:rPr>
              <w:t>超标倍数</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Cs/>
                <w:kern w:val="0"/>
                <w:szCs w:val="21"/>
              </w:rPr>
              <w:t>PM</w:t>
            </w:r>
            <w:r>
              <w:rPr>
                <w:rFonts w:ascii="Times New Roman" w:hAnsi="Times New Roman" w:eastAsia="宋体" w:cs="Times New Roman"/>
                <w:bCs/>
                <w:kern w:val="0"/>
                <w:szCs w:val="21"/>
                <w:vertAlign w:val="subscript"/>
              </w:rPr>
              <w:t>2.5</w:t>
            </w:r>
          </w:p>
        </w:tc>
        <w:tc>
          <w:tcPr>
            <w:tcW w:w="3035" w:type="dxa"/>
            <w:vMerge w:val="restart"/>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年平均质量浓度</w:t>
            </w:r>
          </w:p>
        </w:tc>
        <w:tc>
          <w:tcPr>
            <w:tcW w:w="1061" w:type="dxa"/>
            <w:tcMar>
              <w:top w:w="0" w:type="dxa"/>
              <w:left w:w="51" w:type="dxa"/>
              <w:bottom w:w="0" w:type="dxa"/>
              <w:right w:w="51" w:type="dxa"/>
            </w:tcMar>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30</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85.7%</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w:t>
            </w:r>
            <w:r>
              <w:rPr>
                <w:rFonts w:ascii="Times New Roman" w:hAnsi="Times New Roman" w:eastAsia="宋体" w:cs="Times New Roman"/>
                <w:kern w:val="0"/>
                <w:szCs w:val="21"/>
              </w:rPr>
              <w:t>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等线" w:cs="Times New Roman"/>
                <w:kern w:val="0"/>
                <w:szCs w:val="21"/>
              </w:rPr>
            </w:pPr>
            <w:r>
              <w:rPr>
                <w:rFonts w:ascii="Times New Roman" w:hAnsi="Times New Roman" w:eastAsia="宋体" w:cs="Times New Roman"/>
                <w:bCs/>
                <w:szCs w:val="21"/>
              </w:rPr>
              <w:t>PM</w:t>
            </w:r>
            <w:r>
              <w:rPr>
                <w:rFonts w:ascii="Times New Roman" w:hAnsi="Times New Roman" w:eastAsia="宋体" w:cs="Times New Roman"/>
                <w:bCs/>
                <w:szCs w:val="21"/>
                <w:vertAlign w:val="subscript"/>
              </w:rPr>
              <w:t>10</w:t>
            </w:r>
          </w:p>
        </w:tc>
        <w:tc>
          <w:tcPr>
            <w:tcW w:w="3035" w:type="dxa"/>
            <w:vMerge w:val="continue"/>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p>
        </w:tc>
        <w:tc>
          <w:tcPr>
            <w:tcW w:w="1061"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51</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70</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72.8%</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p>
        </w:tc>
        <w:tc>
          <w:tcPr>
            <w:tcW w:w="3035" w:type="dxa"/>
            <w:vMerge w:val="continue"/>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p>
        </w:tc>
        <w:tc>
          <w:tcPr>
            <w:tcW w:w="1061" w:type="dxa"/>
            <w:tcMar>
              <w:top w:w="0" w:type="dxa"/>
              <w:left w:w="51" w:type="dxa"/>
              <w:bottom w:w="0" w:type="dxa"/>
              <w:right w:w="51" w:type="dxa"/>
            </w:tcMar>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11</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60</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18.3%</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等线" w:cs="Times New Roman"/>
                <w:kern w:val="0"/>
                <w:szCs w:val="21"/>
              </w:rPr>
            </w:pPr>
            <w:r>
              <w:rPr>
                <w:rFonts w:ascii="Times New Roman" w:hAnsi="Times New Roman" w:eastAsia="宋体" w:cs="Times New Roman"/>
                <w:bCs/>
                <w:kern w:val="0"/>
                <w:szCs w:val="21"/>
              </w:rPr>
              <w:t>NO</w:t>
            </w:r>
            <w:r>
              <w:rPr>
                <w:rFonts w:ascii="Times New Roman" w:hAnsi="Times New Roman" w:eastAsia="宋体" w:cs="Times New Roman"/>
                <w:bCs/>
                <w:kern w:val="0"/>
                <w:szCs w:val="21"/>
                <w:vertAlign w:val="subscript"/>
              </w:rPr>
              <w:t>2</w:t>
            </w:r>
          </w:p>
        </w:tc>
        <w:tc>
          <w:tcPr>
            <w:tcW w:w="3035" w:type="dxa"/>
            <w:vMerge w:val="continue"/>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p>
        </w:tc>
        <w:tc>
          <w:tcPr>
            <w:tcW w:w="1061" w:type="dxa"/>
            <w:tcMar>
              <w:top w:w="0" w:type="dxa"/>
              <w:left w:w="51" w:type="dxa"/>
              <w:bottom w:w="0" w:type="dxa"/>
              <w:right w:w="51" w:type="dxa"/>
            </w:tcMar>
            <w:vAlign w:val="center"/>
          </w:tcPr>
          <w:p>
            <w:pPr>
              <w:widowControl/>
              <w:jc w:val="center"/>
              <w:rPr>
                <w:rFonts w:ascii="Times New Roman" w:hAnsi="Times New Roman" w:eastAsia="等线" w:cs="Times New Roman"/>
                <w:kern w:val="0"/>
                <w:szCs w:val="21"/>
              </w:rPr>
            </w:pPr>
            <w:r>
              <w:rPr>
                <w:rFonts w:ascii="Times New Roman" w:hAnsi="Times New Roman" w:eastAsia="等线" w:cs="Times New Roman"/>
                <w:kern w:val="0"/>
                <w:szCs w:val="21"/>
              </w:rPr>
              <w:t>20</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40</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50.0%</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w:t>
            </w:r>
            <w:r>
              <w:rPr>
                <w:rFonts w:ascii="Times New Roman" w:hAnsi="Times New Roman" w:eastAsia="宋体" w:cs="Times New Roman"/>
                <w:kern w:val="0"/>
                <w:szCs w:val="21"/>
              </w:rPr>
              <w:t>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Cs/>
                <w:kern w:val="0"/>
                <w:szCs w:val="21"/>
              </w:rPr>
              <w:t>CO</w:t>
            </w:r>
          </w:p>
        </w:tc>
        <w:tc>
          <w:tcPr>
            <w:tcW w:w="3035"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日均值的第95百分位数</w:t>
            </w:r>
          </w:p>
        </w:tc>
        <w:tc>
          <w:tcPr>
            <w:tcW w:w="1061"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1.2mg/m</w:t>
            </w:r>
            <w:r>
              <w:rPr>
                <w:rFonts w:ascii="Times New Roman" w:hAnsi="Times New Roman" w:eastAsia="宋体" w:cs="Times New Roman"/>
                <w:kern w:val="0"/>
                <w:szCs w:val="21"/>
                <w:vertAlign w:val="superscript"/>
              </w:rPr>
              <w:t>3</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 mg/m</w:t>
            </w:r>
            <w:r>
              <w:rPr>
                <w:rFonts w:ascii="Times New Roman" w:hAnsi="Times New Roman" w:eastAsia="宋体" w:cs="Times New Roman"/>
                <w:kern w:val="0"/>
                <w:szCs w:val="21"/>
                <w:vertAlign w:val="superscript"/>
              </w:rPr>
              <w:t>3</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30.0%</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达标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904" w:type="dxa"/>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Cs/>
                <w:kern w:val="0"/>
                <w:szCs w:val="21"/>
              </w:rPr>
              <w:t>O</w:t>
            </w:r>
            <w:r>
              <w:rPr>
                <w:rFonts w:ascii="Times New Roman" w:hAnsi="Times New Roman" w:eastAsia="宋体" w:cs="Times New Roman"/>
                <w:bCs/>
                <w:kern w:val="0"/>
                <w:szCs w:val="21"/>
                <w:vertAlign w:val="subscript"/>
              </w:rPr>
              <w:t>3</w:t>
            </w:r>
          </w:p>
        </w:tc>
        <w:tc>
          <w:tcPr>
            <w:tcW w:w="3035" w:type="dxa"/>
            <w:tcMar>
              <w:top w:w="0" w:type="dxa"/>
              <w:left w:w="51" w:type="dxa"/>
              <w:bottom w:w="0" w:type="dxa"/>
              <w:right w:w="51"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日最大8小时值的第90百分位数</w:t>
            </w:r>
          </w:p>
        </w:tc>
        <w:tc>
          <w:tcPr>
            <w:tcW w:w="1061" w:type="dxa"/>
            <w:tcMar>
              <w:top w:w="0" w:type="dxa"/>
              <w:left w:w="51" w:type="dxa"/>
              <w:bottom w:w="0" w:type="dxa"/>
              <w:right w:w="51" w:type="dxa"/>
            </w:tcMar>
            <w:vAlign w:val="center"/>
          </w:tcPr>
          <w:p>
            <w:pPr>
              <w:widowControl/>
              <w:jc w:val="center"/>
              <w:rPr>
                <w:rFonts w:ascii="Times New Roman" w:hAnsi="Times New Roman" w:eastAsia="等线" w:cs="Times New Roman"/>
                <w:kern w:val="0"/>
                <w:szCs w:val="21"/>
                <w:highlight w:val="yellow"/>
              </w:rPr>
            </w:pPr>
            <w:r>
              <w:rPr>
                <w:rFonts w:ascii="Times New Roman" w:hAnsi="Times New Roman" w:eastAsia="等线" w:cs="Times New Roman"/>
                <w:kern w:val="0"/>
                <w:szCs w:val="21"/>
              </w:rPr>
              <w:t>118</w:t>
            </w:r>
          </w:p>
        </w:tc>
        <w:tc>
          <w:tcPr>
            <w:tcW w:w="976"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160</w:t>
            </w:r>
          </w:p>
        </w:tc>
        <w:tc>
          <w:tcPr>
            <w:tcW w:w="937"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73.8%</w:t>
            </w:r>
          </w:p>
        </w:tc>
        <w:tc>
          <w:tcPr>
            <w:tcW w:w="1013"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达标</w:t>
            </w:r>
          </w:p>
        </w:tc>
        <w:tc>
          <w:tcPr>
            <w:tcW w:w="944" w:type="dxa"/>
            <w:tcMar>
              <w:top w:w="0" w:type="dxa"/>
              <w:left w:w="51" w:type="dxa"/>
              <w:bottom w:w="0" w:type="dxa"/>
              <w:right w:w="51"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0"/>
        <w:ind w:firstLine="480"/>
      </w:pPr>
      <w:r>
        <w:rPr>
          <w:rFonts w:hint="eastAsia"/>
        </w:rPr>
        <w:t>根据安康市汉滨区20</w:t>
      </w:r>
      <w:r>
        <w:t>21</w:t>
      </w:r>
      <w:r>
        <w:rPr>
          <w:rFonts w:hint="eastAsia"/>
        </w:rPr>
        <w:t>年度环境质量状况可知，项目所在区域汉滨区</w:t>
      </w:r>
      <w:r>
        <w:t>PM</w:t>
      </w:r>
      <w:r>
        <w:rPr>
          <w:vertAlign w:val="subscript"/>
        </w:rPr>
        <w:t>10</w:t>
      </w:r>
      <w:r>
        <w:rPr>
          <w:rFonts w:hint="eastAsia"/>
        </w:rPr>
        <w:t>、PM</w:t>
      </w:r>
      <w:r>
        <w:rPr>
          <w:rFonts w:hint="eastAsia"/>
          <w:vertAlign w:val="subscript"/>
        </w:rPr>
        <w:t>2.5</w:t>
      </w:r>
      <w:r>
        <w:rPr>
          <w:rFonts w:hint="eastAsia"/>
        </w:rPr>
        <w:t>、SO</w:t>
      </w:r>
      <w:r>
        <w:rPr>
          <w:rFonts w:hint="eastAsia"/>
          <w:vertAlign w:val="subscript"/>
        </w:rPr>
        <w:t>2</w:t>
      </w:r>
      <w:r>
        <w:rPr>
          <w:rFonts w:hint="eastAsia"/>
        </w:rPr>
        <w:t>、NO</w:t>
      </w:r>
      <w:r>
        <w:rPr>
          <w:rFonts w:hint="eastAsia"/>
          <w:vertAlign w:val="subscript"/>
        </w:rPr>
        <w:t>2</w:t>
      </w:r>
      <w:r>
        <w:rPr>
          <w:rFonts w:hint="eastAsia"/>
        </w:rPr>
        <w:t>年均浓度，CO第95百分位数日均值浓度，O</w:t>
      </w:r>
      <w:r>
        <w:rPr>
          <w:rFonts w:hint="eastAsia"/>
          <w:vertAlign w:val="subscript"/>
        </w:rPr>
        <w:t>3</w:t>
      </w:r>
      <w:r>
        <w:rPr>
          <w:rFonts w:hint="eastAsia"/>
        </w:rPr>
        <w:t>第90百分位浓度均满足《环境空气质量标准》（GB3095-2012）中二级标准，项目所在区域为达标区。</w:t>
      </w:r>
    </w:p>
    <w:p>
      <w:pPr>
        <w:pStyle w:val="5"/>
      </w:pPr>
      <w:r>
        <w:rPr>
          <w:rFonts w:hint="eastAsia"/>
        </w:rPr>
        <w:t>特征</w:t>
      </w:r>
      <w:r>
        <w:t>污染物</w:t>
      </w:r>
    </w:p>
    <w:p>
      <w:pPr>
        <w:pStyle w:val="49"/>
        <w:ind w:firstLine="480"/>
        <w:rPr>
          <w:rFonts w:cs="Times New Roman"/>
        </w:rPr>
      </w:pPr>
      <w:r>
        <w:rPr>
          <w:rFonts w:cs="Times New Roman"/>
        </w:rPr>
        <w:t>本次环评委托陕西</w:t>
      </w:r>
      <w:r>
        <w:rPr>
          <w:rFonts w:hint="eastAsia" w:cs="Times New Roman"/>
        </w:rPr>
        <w:t>华准通</w:t>
      </w:r>
      <w:r>
        <w:rPr>
          <w:rFonts w:cs="Times New Roman"/>
        </w:rPr>
        <w:t>检测技术有限公司对项目所在地其他污染物进行了监测。</w:t>
      </w:r>
      <w:r>
        <w:rPr>
          <w:rFonts w:hint="eastAsia" w:cs="Times New Roman"/>
        </w:rPr>
        <w:t>监测</w:t>
      </w:r>
      <w:r>
        <w:rPr>
          <w:rFonts w:cs="Times New Roman"/>
        </w:rPr>
        <w:t>报告见附件</w:t>
      </w:r>
      <w:r>
        <w:t>（HZT22040702-ZH）</w:t>
      </w:r>
      <w:r>
        <w:rPr>
          <w:rFonts w:cs="Times New Roman"/>
        </w:rPr>
        <w:t>。</w:t>
      </w:r>
    </w:p>
    <w:p>
      <w:pPr>
        <w:pStyle w:val="49"/>
        <w:ind w:firstLine="480"/>
        <w:rPr>
          <w:rFonts w:cs="Times New Roman"/>
        </w:rPr>
      </w:pPr>
      <w:r>
        <w:rPr>
          <w:rFonts w:cs="Times New Roman"/>
        </w:rPr>
        <w:t>（1）监测点位、项目及时间</w:t>
      </w:r>
    </w:p>
    <w:p>
      <w:pPr>
        <w:pStyle w:val="49"/>
        <w:ind w:firstLine="480"/>
        <w:rPr>
          <w:rFonts w:cs="Times New Roman"/>
        </w:rPr>
      </w:pPr>
      <w:r>
        <w:rPr>
          <w:rFonts w:cs="Times New Roman"/>
        </w:rPr>
        <w:t>根据《环境影响评价技术导则  大气环境》（HJ2.2-2018），本次监测其他污染物监测布点设置1个，项目监测点位见</w:t>
      </w:r>
      <w:r>
        <w:rPr>
          <w:rFonts w:cs="Times New Roman"/>
        </w:rPr>
        <w:fldChar w:fldCharType="begin"/>
      </w:r>
      <w:r>
        <w:rPr>
          <w:rFonts w:cs="Times New Roman"/>
        </w:rPr>
        <w:instrText xml:space="preserve"> REF _Ref26373971 \h  \* MERGEFORMAT </w:instrText>
      </w:r>
      <w:r>
        <w:rPr>
          <w:rFonts w:cs="Times New Roman"/>
        </w:rPr>
        <w:fldChar w:fldCharType="separate"/>
      </w:r>
      <w:r>
        <w:rPr>
          <w:rFonts w:cs="Times New Roman"/>
        </w:rPr>
        <w:t>表5.2</w:t>
      </w:r>
      <w:r>
        <w:rPr>
          <w:rFonts w:cs="Times New Roman"/>
        </w:rPr>
        <w:noBreakHyphen/>
      </w:r>
      <w:r>
        <w:rPr>
          <w:rFonts w:cs="Times New Roman"/>
        </w:rPr>
        <w:t>2</w:t>
      </w:r>
      <w:r>
        <w:rPr>
          <w:rFonts w:cs="Times New Roman"/>
        </w:rPr>
        <w:fldChar w:fldCharType="end"/>
      </w:r>
      <w:r>
        <w:rPr>
          <w:rFonts w:cs="Times New Roman"/>
        </w:rPr>
        <w:t xml:space="preserve">，监测点位图见图5.2-1。 </w:t>
      </w:r>
    </w:p>
    <w:p>
      <w:pPr>
        <w:pStyle w:val="22"/>
      </w:pPr>
      <w:bookmarkStart w:id="38" w:name="_Ref26373971"/>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2</w:t>
      </w:r>
      <w:r>
        <w:fldChar w:fldCharType="end"/>
      </w:r>
      <w:bookmarkEnd w:id="38"/>
      <w:r>
        <w:t xml:space="preserve">  </w:t>
      </w:r>
      <w:r>
        <w:rPr>
          <w:snapToGrid w:val="0"/>
        </w:rPr>
        <w:t>环境空气</w:t>
      </w:r>
      <w:r>
        <w:rPr>
          <w:rFonts w:hint="eastAsia"/>
          <w:snapToGrid w:val="0"/>
        </w:rPr>
        <w:t>特征</w:t>
      </w:r>
      <w:r>
        <w:rPr>
          <w:snapToGrid w:val="0"/>
        </w:rPr>
        <w:t>污染物监测点位置及监测项目</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97"/>
        <w:gridCol w:w="1842"/>
        <w:gridCol w:w="1560"/>
        <w:gridCol w:w="2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2" w:type="dxa"/>
            <w:shd w:val="clear" w:color="auto" w:fill="auto"/>
            <w:vAlign w:val="center"/>
          </w:tcPr>
          <w:p>
            <w:pPr>
              <w:pStyle w:val="43"/>
              <w:rPr>
                <w:snapToGrid w:val="0"/>
              </w:rPr>
            </w:pPr>
            <w:r>
              <w:rPr>
                <w:snapToGrid w:val="0"/>
              </w:rPr>
              <w:t>编号</w:t>
            </w:r>
          </w:p>
        </w:tc>
        <w:tc>
          <w:tcPr>
            <w:tcW w:w="1997" w:type="dxa"/>
            <w:shd w:val="clear" w:color="auto" w:fill="auto"/>
            <w:vAlign w:val="center"/>
          </w:tcPr>
          <w:p>
            <w:pPr>
              <w:pStyle w:val="43"/>
              <w:rPr>
                <w:snapToGrid w:val="0"/>
              </w:rPr>
            </w:pPr>
            <w:r>
              <w:rPr>
                <w:snapToGrid w:val="0"/>
              </w:rPr>
              <w:t>监测点位置</w:t>
            </w:r>
          </w:p>
        </w:tc>
        <w:tc>
          <w:tcPr>
            <w:tcW w:w="1842" w:type="dxa"/>
          </w:tcPr>
          <w:p>
            <w:pPr>
              <w:pStyle w:val="43"/>
              <w:rPr>
                <w:snapToGrid w:val="0"/>
                <w:highlight w:val="yellow"/>
              </w:rPr>
            </w:pPr>
            <w:r>
              <w:rPr>
                <w:snapToGrid w:val="0"/>
              </w:rPr>
              <w:t>坐标</w:t>
            </w:r>
          </w:p>
        </w:tc>
        <w:tc>
          <w:tcPr>
            <w:tcW w:w="1560" w:type="dxa"/>
            <w:shd w:val="clear" w:color="auto" w:fill="auto"/>
            <w:vAlign w:val="center"/>
          </w:tcPr>
          <w:p>
            <w:pPr>
              <w:pStyle w:val="43"/>
              <w:rPr>
                <w:snapToGrid w:val="0"/>
              </w:rPr>
            </w:pPr>
            <w:r>
              <w:rPr>
                <w:snapToGrid w:val="0"/>
              </w:rPr>
              <w:t>监测项目</w:t>
            </w:r>
          </w:p>
        </w:tc>
        <w:tc>
          <w:tcPr>
            <w:tcW w:w="2195" w:type="dxa"/>
            <w:shd w:val="clear" w:color="auto" w:fill="auto"/>
            <w:vAlign w:val="center"/>
          </w:tcPr>
          <w:p>
            <w:pPr>
              <w:pStyle w:val="43"/>
              <w:rPr>
                <w:snapToGrid w:val="0"/>
              </w:rPr>
            </w:pPr>
            <w:r>
              <w:rPr>
                <w:snapToGrid w:val="0"/>
              </w:rPr>
              <w:t>采样时间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682" w:type="dxa"/>
            <w:shd w:val="clear" w:color="auto" w:fill="auto"/>
            <w:vAlign w:val="center"/>
          </w:tcPr>
          <w:p>
            <w:pPr>
              <w:pStyle w:val="43"/>
              <w:rPr>
                <w:snapToGrid w:val="0"/>
              </w:rPr>
            </w:pPr>
            <w:r>
              <w:rPr>
                <w:snapToGrid w:val="0"/>
              </w:rPr>
              <w:t>G1</w:t>
            </w:r>
          </w:p>
        </w:tc>
        <w:tc>
          <w:tcPr>
            <w:tcW w:w="1997" w:type="dxa"/>
            <w:shd w:val="clear" w:color="auto" w:fill="auto"/>
            <w:vAlign w:val="center"/>
          </w:tcPr>
          <w:p>
            <w:pPr>
              <w:pStyle w:val="43"/>
              <w:rPr>
                <w:snapToGrid w:val="0"/>
              </w:rPr>
            </w:pPr>
            <w:r>
              <w:rPr>
                <w:snapToGrid w:val="0"/>
              </w:rPr>
              <w:t>项目所在地</w:t>
            </w:r>
            <w:r>
              <w:rPr>
                <w:rFonts w:hint="eastAsia"/>
                <w:snapToGrid w:val="0"/>
              </w:rPr>
              <w:t>下风向</w:t>
            </w:r>
            <w:r>
              <w:rPr>
                <w:snapToGrid w:val="0"/>
              </w:rPr>
              <w:t>越南村</w:t>
            </w:r>
          </w:p>
        </w:tc>
        <w:tc>
          <w:tcPr>
            <w:tcW w:w="1842" w:type="dxa"/>
          </w:tcPr>
          <w:p>
            <w:pPr>
              <w:pStyle w:val="43"/>
            </w:pPr>
            <w:r>
              <w:t>E 108.7639617</w:t>
            </w:r>
          </w:p>
          <w:p>
            <w:pPr>
              <w:pStyle w:val="43"/>
              <w:rPr>
                <w:snapToGrid w:val="0"/>
                <w:highlight w:val="yellow"/>
              </w:rPr>
            </w:pPr>
            <w:r>
              <w:t>N 32.728947</w:t>
            </w:r>
          </w:p>
        </w:tc>
        <w:tc>
          <w:tcPr>
            <w:tcW w:w="1560" w:type="dxa"/>
            <w:shd w:val="clear" w:color="auto" w:fill="auto"/>
            <w:vAlign w:val="center"/>
          </w:tcPr>
          <w:p>
            <w:pPr>
              <w:pStyle w:val="43"/>
              <w:rPr>
                <w:snapToGrid w:val="0"/>
              </w:rPr>
            </w:pPr>
            <w:r>
              <w:rPr>
                <w:rFonts w:hint="eastAsia"/>
                <w:snapToGrid w:val="0"/>
              </w:rPr>
              <w:t>NH</w:t>
            </w:r>
            <w:r>
              <w:rPr>
                <w:rFonts w:hint="eastAsia"/>
                <w:snapToGrid w:val="0"/>
                <w:vertAlign w:val="subscript"/>
              </w:rPr>
              <w:t>3</w:t>
            </w:r>
            <w:r>
              <w:rPr>
                <w:rFonts w:hint="eastAsia"/>
                <w:snapToGrid w:val="0"/>
              </w:rPr>
              <w:t>、</w:t>
            </w:r>
            <w:r>
              <w:rPr>
                <w:snapToGrid w:val="0"/>
              </w:rPr>
              <w:t>H</w:t>
            </w:r>
            <w:r>
              <w:rPr>
                <w:snapToGrid w:val="0"/>
                <w:vertAlign w:val="subscript"/>
              </w:rPr>
              <w:t>2</w:t>
            </w:r>
            <w:r>
              <w:rPr>
                <w:snapToGrid w:val="0"/>
              </w:rPr>
              <w:t>S</w:t>
            </w:r>
          </w:p>
        </w:tc>
        <w:tc>
          <w:tcPr>
            <w:tcW w:w="2195" w:type="dxa"/>
            <w:shd w:val="clear" w:color="auto" w:fill="auto"/>
            <w:vAlign w:val="center"/>
          </w:tcPr>
          <w:p>
            <w:pPr>
              <w:pStyle w:val="43"/>
              <w:rPr>
                <w:snapToGrid w:val="0"/>
              </w:rPr>
            </w:pPr>
            <w:r>
              <w:rPr>
                <w:snapToGrid w:val="0"/>
              </w:rPr>
              <w:t>2022.3.16-3.22</w:t>
            </w:r>
          </w:p>
        </w:tc>
      </w:tr>
    </w:tbl>
    <w:p>
      <w:pPr>
        <w:pStyle w:val="49"/>
        <w:ind w:firstLine="480"/>
        <w:rPr>
          <w:rFonts w:cs="Times New Roman"/>
        </w:rPr>
      </w:pPr>
      <w:r>
        <w:rPr>
          <w:rFonts w:cs="Times New Roman"/>
        </w:rPr>
        <w:t>（2）监测频次</w:t>
      </w:r>
    </w:p>
    <w:p>
      <w:pPr>
        <w:pStyle w:val="49"/>
        <w:ind w:firstLine="480"/>
        <w:rPr>
          <w:rFonts w:cs="Times New Roman"/>
        </w:rPr>
      </w:pPr>
      <w:r>
        <w:rPr>
          <w:rFonts w:cs="Times New Roman"/>
        </w:rPr>
        <w:t>连续监测7天，每天4次，每次至少有45min的采样时间。</w:t>
      </w:r>
    </w:p>
    <w:p>
      <w:pPr>
        <w:pStyle w:val="49"/>
        <w:ind w:firstLine="480"/>
        <w:rPr>
          <w:rFonts w:cs="Times New Roman"/>
        </w:rPr>
      </w:pPr>
      <w:r>
        <w:rPr>
          <w:rFonts w:cs="Times New Roman"/>
        </w:rPr>
        <w:t>（3）监测及分析方法</w:t>
      </w:r>
    </w:p>
    <w:p>
      <w:pPr>
        <w:pStyle w:val="49"/>
        <w:ind w:firstLine="480"/>
        <w:rPr>
          <w:rFonts w:cs="Times New Roman"/>
        </w:rPr>
      </w:pPr>
      <w:r>
        <w:rPr>
          <w:rFonts w:cs="Times New Roman"/>
        </w:rPr>
        <w:t>按《环境监测技术规范》（大气部分）及《空气和废气监测分析方法》的有关规定和要求执行。具体检测方法见表</w:t>
      </w:r>
      <w:r>
        <w:rPr>
          <w:rFonts w:hint="eastAsia" w:cs="Times New Roman"/>
        </w:rPr>
        <w:t>5</w:t>
      </w:r>
      <w:r>
        <w:rPr>
          <w:rFonts w:cs="Times New Roman"/>
        </w:rPr>
        <w:t>.2-3。</w:t>
      </w:r>
    </w:p>
    <w:p>
      <w:pPr>
        <w:pStyle w:val="22"/>
      </w:pPr>
      <w:bookmarkStart w:id="39" w:name="_Ref26374478"/>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3</w:t>
      </w:r>
      <w:r>
        <w:fldChar w:fldCharType="end"/>
      </w:r>
      <w:bookmarkEnd w:id="39"/>
      <w:r>
        <w:t xml:space="preserve">  环境空气监测分析方法及来源</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5091"/>
        <w:gridCol w:w="1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tblHeader/>
        </w:trPr>
        <w:tc>
          <w:tcPr>
            <w:tcW w:w="1826" w:type="dxa"/>
            <w:vAlign w:val="center"/>
          </w:tcPr>
          <w:p>
            <w:pPr>
              <w:pStyle w:val="43"/>
            </w:pPr>
            <w:r>
              <w:t>监测项目</w:t>
            </w:r>
          </w:p>
        </w:tc>
        <w:tc>
          <w:tcPr>
            <w:tcW w:w="5091" w:type="dxa"/>
            <w:vAlign w:val="center"/>
          </w:tcPr>
          <w:p>
            <w:pPr>
              <w:pStyle w:val="43"/>
            </w:pPr>
            <w:r>
              <w:rPr>
                <w:rFonts w:hint="eastAsia"/>
              </w:rPr>
              <w:t>分析</w:t>
            </w:r>
            <w:r>
              <w:t>方法</w:t>
            </w:r>
          </w:p>
        </w:tc>
        <w:tc>
          <w:tcPr>
            <w:tcW w:w="1953" w:type="dxa"/>
            <w:vAlign w:val="center"/>
          </w:tcPr>
          <w:p>
            <w:pPr>
              <w:pStyle w:val="43"/>
            </w:pPr>
            <w:r>
              <w:t>检出限（mg/m</w:t>
            </w:r>
            <w:r>
              <w:rPr>
                <w:vertAlign w:val="superscript"/>
              </w:rPr>
              <w:t>3</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26" w:type="dxa"/>
            <w:vAlign w:val="center"/>
          </w:tcPr>
          <w:p>
            <w:pPr>
              <w:pStyle w:val="43"/>
            </w:pPr>
            <w:r>
              <w:rPr>
                <w:rFonts w:hint="eastAsia"/>
              </w:rPr>
              <w:t>NH</w:t>
            </w:r>
            <w:r>
              <w:rPr>
                <w:rFonts w:hint="eastAsia"/>
                <w:vertAlign w:val="subscript"/>
              </w:rPr>
              <w:t>3</w:t>
            </w:r>
          </w:p>
        </w:tc>
        <w:tc>
          <w:tcPr>
            <w:tcW w:w="5091" w:type="dxa"/>
            <w:vAlign w:val="center"/>
          </w:tcPr>
          <w:p>
            <w:pPr>
              <w:pStyle w:val="43"/>
            </w:pPr>
            <w:r>
              <w:rPr>
                <w:rFonts w:hint="eastAsia"/>
              </w:rPr>
              <w:t>《环境</w:t>
            </w:r>
            <w:r>
              <w:t>空气和废气</w:t>
            </w:r>
            <w:r>
              <w:rPr>
                <w:rFonts w:hint="eastAsia"/>
              </w:rPr>
              <w:t xml:space="preserve">  氨</w:t>
            </w:r>
            <w:r>
              <w:t>的测定</w:t>
            </w:r>
            <w:r>
              <w:rPr>
                <w:rFonts w:hint="eastAsia"/>
              </w:rPr>
              <w:t xml:space="preserve"> 纳氏试剂</w:t>
            </w:r>
            <w:r>
              <w:t>分光光度法</w:t>
            </w:r>
            <w:r>
              <w:rPr>
                <w:rFonts w:hint="eastAsia"/>
              </w:rPr>
              <w:t>》HJ</w:t>
            </w:r>
            <w:r>
              <w:t>533-2009</w:t>
            </w:r>
          </w:p>
        </w:tc>
        <w:tc>
          <w:tcPr>
            <w:tcW w:w="1953" w:type="dxa"/>
            <w:vAlign w:val="center"/>
          </w:tcPr>
          <w:p>
            <w:pPr>
              <w:pStyle w:val="43"/>
            </w:pPr>
            <w:r>
              <w:rPr>
                <w:rFonts w:hint="eastAsia"/>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26" w:type="dxa"/>
            <w:vAlign w:val="center"/>
          </w:tcPr>
          <w:p>
            <w:pPr>
              <w:pStyle w:val="43"/>
            </w:pPr>
            <w:r>
              <w:rPr>
                <w:rFonts w:hint="eastAsia"/>
              </w:rPr>
              <w:t>H</w:t>
            </w:r>
            <w:r>
              <w:rPr>
                <w:rFonts w:hint="eastAsia"/>
                <w:vertAlign w:val="subscript"/>
              </w:rPr>
              <w:t>2</w:t>
            </w:r>
            <w:r>
              <w:rPr>
                <w:rFonts w:hint="eastAsia"/>
              </w:rPr>
              <w:t>S</w:t>
            </w:r>
          </w:p>
        </w:tc>
        <w:tc>
          <w:tcPr>
            <w:tcW w:w="5091" w:type="dxa"/>
            <w:vAlign w:val="center"/>
          </w:tcPr>
          <w:p>
            <w:pPr>
              <w:pStyle w:val="43"/>
            </w:pPr>
            <w:r>
              <w:rPr>
                <w:rFonts w:hint="eastAsia"/>
              </w:rPr>
              <w:t>亚甲基</w:t>
            </w:r>
            <w:r>
              <w:t>蓝分光光度法（</w:t>
            </w:r>
            <w:r>
              <w:rPr>
                <w:rFonts w:hint="eastAsia"/>
              </w:rPr>
              <w:t>B</w:t>
            </w:r>
            <w:r>
              <w:t>）</w:t>
            </w:r>
          </w:p>
          <w:p>
            <w:pPr>
              <w:pStyle w:val="43"/>
            </w:pPr>
            <w:r>
              <w:rPr>
                <w:rFonts w:hint="eastAsia"/>
              </w:rPr>
              <w:t>《空气</w:t>
            </w:r>
            <w:r>
              <w:t>和废气监测分析方法</w:t>
            </w:r>
            <w:r>
              <w:rPr>
                <w:rFonts w:hint="eastAsia"/>
              </w:rPr>
              <w:t>》（第四版</w:t>
            </w:r>
            <w:r>
              <w:t>增补版</w:t>
            </w:r>
            <w:r>
              <w:rPr>
                <w:rFonts w:hint="eastAsia"/>
              </w:rPr>
              <w:t>）国家</w:t>
            </w:r>
            <w:r>
              <w:t>环境保护总局（</w:t>
            </w:r>
            <w:r>
              <w:rPr>
                <w:rFonts w:hint="eastAsia"/>
              </w:rPr>
              <w:t>2003年</w:t>
            </w:r>
            <w:r>
              <w:t>）</w:t>
            </w:r>
            <w:r>
              <w:rPr>
                <w:rFonts w:hint="eastAsia"/>
              </w:rPr>
              <w:t>3.1.11.2</w:t>
            </w:r>
          </w:p>
        </w:tc>
        <w:tc>
          <w:tcPr>
            <w:tcW w:w="1953" w:type="dxa"/>
            <w:vAlign w:val="center"/>
          </w:tcPr>
          <w:p>
            <w:pPr>
              <w:pStyle w:val="43"/>
            </w:pPr>
            <w:r>
              <w:rPr>
                <w:rFonts w:hint="eastAsia"/>
              </w:rPr>
              <w:t>0.001</w:t>
            </w:r>
          </w:p>
        </w:tc>
      </w:tr>
    </w:tbl>
    <w:p>
      <w:pPr>
        <w:pStyle w:val="49"/>
        <w:ind w:firstLine="480"/>
        <w:rPr>
          <w:rFonts w:cs="Times New Roman"/>
        </w:rPr>
      </w:pPr>
      <w:r>
        <w:rPr>
          <w:rFonts w:cs="Times New Roman"/>
        </w:rPr>
        <w:t>（4）评价方法</w:t>
      </w:r>
    </w:p>
    <w:p>
      <w:pPr>
        <w:pStyle w:val="49"/>
        <w:ind w:firstLine="480"/>
        <w:rPr>
          <w:rFonts w:cs="Times New Roman"/>
          <w:bCs/>
        </w:rPr>
      </w:pPr>
      <w:r>
        <w:rPr>
          <w:rFonts w:cs="Times New Roman"/>
          <w:bCs/>
        </w:rPr>
        <w:t>采用单因子指数法对评价区各污染物进行评价，公式如下：</w:t>
      </w:r>
    </w:p>
    <w:p>
      <w:pPr>
        <w:pStyle w:val="49"/>
        <w:ind w:firstLine="480"/>
        <w:jc w:val="center"/>
        <w:rPr>
          <w:rFonts w:cs="Times New Roman"/>
          <w:bCs/>
        </w:rPr>
      </w:pPr>
      <w:r>
        <w:rPr>
          <w:rFonts w:cs="Times New Roman"/>
          <w:bCs/>
        </w:rPr>
        <w:t>P</w:t>
      </w:r>
      <w:r>
        <w:rPr>
          <w:rFonts w:cs="Times New Roman"/>
          <w:bCs/>
          <w:vertAlign w:val="subscript"/>
        </w:rPr>
        <w:t>i</w:t>
      </w:r>
      <w:r>
        <w:rPr>
          <w:rFonts w:cs="Times New Roman"/>
          <w:bCs/>
        </w:rPr>
        <w:t>=C</w:t>
      </w:r>
      <w:r>
        <w:rPr>
          <w:rFonts w:cs="Times New Roman"/>
          <w:bCs/>
          <w:vertAlign w:val="subscript"/>
        </w:rPr>
        <w:t>i</w:t>
      </w:r>
      <w:r>
        <w:rPr>
          <w:rFonts w:cs="Times New Roman"/>
          <w:bCs/>
        </w:rPr>
        <w:t>/S</w:t>
      </w:r>
      <w:r>
        <w:rPr>
          <w:rFonts w:cs="Times New Roman"/>
          <w:bCs/>
          <w:vertAlign w:val="subscript"/>
        </w:rPr>
        <w:t>i</w:t>
      </w:r>
    </w:p>
    <w:p>
      <w:pPr>
        <w:pStyle w:val="49"/>
        <w:ind w:firstLine="480"/>
        <w:rPr>
          <w:rFonts w:cs="Times New Roman"/>
          <w:bCs/>
        </w:rPr>
      </w:pPr>
      <w:r>
        <w:rPr>
          <w:rFonts w:cs="Times New Roman"/>
          <w:bCs/>
        </w:rPr>
        <w:t>式中：P</w:t>
      </w:r>
      <w:r>
        <w:rPr>
          <w:rFonts w:cs="Times New Roman"/>
          <w:bCs/>
          <w:vertAlign w:val="subscript"/>
        </w:rPr>
        <w:t>i</w:t>
      </w:r>
      <w:r>
        <w:rPr>
          <w:rFonts w:cs="Times New Roman"/>
          <w:bCs/>
        </w:rPr>
        <w:t>——污染物i的单项质量指数；</w:t>
      </w:r>
    </w:p>
    <w:p>
      <w:pPr>
        <w:pStyle w:val="49"/>
        <w:ind w:firstLine="1200" w:firstLineChars="500"/>
        <w:rPr>
          <w:rFonts w:cs="Times New Roman"/>
          <w:bCs/>
        </w:rPr>
      </w:pPr>
      <w:r>
        <w:rPr>
          <w:rFonts w:cs="Times New Roman"/>
          <w:bCs/>
        </w:rPr>
        <w:t>C</w:t>
      </w:r>
      <w:r>
        <w:rPr>
          <w:rFonts w:cs="Times New Roman"/>
          <w:bCs/>
          <w:vertAlign w:val="subscript"/>
        </w:rPr>
        <w:t>i</w:t>
      </w:r>
      <w:r>
        <w:rPr>
          <w:rFonts w:cs="Times New Roman"/>
          <w:bCs/>
        </w:rPr>
        <w:t>——污染物i的实测浓度平均值，mg/m</w:t>
      </w:r>
      <w:r>
        <w:rPr>
          <w:rFonts w:cs="Times New Roman"/>
          <w:bCs/>
          <w:vertAlign w:val="superscript"/>
        </w:rPr>
        <w:t>3</w:t>
      </w:r>
      <w:r>
        <w:rPr>
          <w:rFonts w:cs="Times New Roman"/>
          <w:bCs/>
        </w:rPr>
        <w:t>；</w:t>
      </w:r>
    </w:p>
    <w:p>
      <w:pPr>
        <w:pStyle w:val="49"/>
        <w:ind w:firstLine="1200" w:firstLineChars="500"/>
        <w:rPr>
          <w:rFonts w:cs="Times New Roman"/>
          <w:bCs/>
        </w:rPr>
      </w:pPr>
      <w:r>
        <w:rPr>
          <w:rFonts w:cs="Times New Roman"/>
          <w:bCs/>
        </w:rPr>
        <w:t>S</w:t>
      </w:r>
      <w:r>
        <w:rPr>
          <w:rFonts w:cs="Times New Roman"/>
          <w:bCs/>
          <w:vertAlign w:val="subscript"/>
        </w:rPr>
        <w:t>i</w:t>
      </w:r>
      <w:r>
        <w:rPr>
          <w:rFonts w:cs="Times New Roman"/>
          <w:bCs/>
        </w:rPr>
        <w:t>——污染物i的浓度标准值，mg/m</w:t>
      </w:r>
      <w:r>
        <w:rPr>
          <w:rFonts w:cs="Times New Roman"/>
          <w:bCs/>
          <w:vertAlign w:val="superscript"/>
        </w:rPr>
        <w:t>3</w:t>
      </w:r>
      <w:r>
        <w:rPr>
          <w:rFonts w:cs="Times New Roman"/>
          <w:bCs/>
        </w:rPr>
        <w:t>。</w:t>
      </w:r>
    </w:p>
    <w:p>
      <w:pPr>
        <w:pStyle w:val="49"/>
        <w:ind w:firstLine="480"/>
        <w:rPr>
          <w:rFonts w:cs="Times New Roman"/>
        </w:rPr>
      </w:pPr>
      <w:r>
        <w:rPr>
          <w:rFonts w:cs="Times New Roman"/>
        </w:rPr>
        <w:t>（5）监测结果及评价结果</w:t>
      </w:r>
    </w:p>
    <w:p>
      <w:pPr>
        <w:pStyle w:val="49"/>
        <w:ind w:firstLine="480"/>
        <w:rPr>
          <w:rFonts w:cs="Times New Roman"/>
        </w:rPr>
      </w:pPr>
      <w:r>
        <w:rPr>
          <w:rFonts w:cs="Times New Roman"/>
        </w:rPr>
        <w:t>监测结果见</w:t>
      </w:r>
      <w:r>
        <w:rPr>
          <w:rFonts w:cs="Times New Roman"/>
        </w:rPr>
        <w:fldChar w:fldCharType="begin"/>
      </w:r>
      <w:r>
        <w:rPr>
          <w:rFonts w:cs="Times New Roman"/>
        </w:rPr>
        <w:instrText xml:space="preserve"> REF _Ref26430909 \h  \* MERGEFORMAT </w:instrText>
      </w:r>
      <w:r>
        <w:rPr>
          <w:rFonts w:cs="Times New Roman"/>
        </w:rPr>
        <w:fldChar w:fldCharType="separate"/>
      </w:r>
      <w:r>
        <w:rPr>
          <w:rFonts w:cs="Times New Roman"/>
        </w:rPr>
        <w:t>表5.2</w:t>
      </w:r>
      <w:r>
        <w:rPr>
          <w:rFonts w:cs="Times New Roman"/>
        </w:rPr>
        <w:noBreakHyphen/>
      </w:r>
      <w:r>
        <w:rPr>
          <w:rFonts w:cs="Times New Roman"/>
        </w:rPr>
        <w:t>4</w:t>
      </w:r>
      <w:r>
        <w:rPr>
          <w:rFonts w:cs="Times New Roman"/>
        </w:rPr>
        <w:fldChar w:fldCharType="end"/>
      </w:r>
      <w:r>
        <w:rPr>
          <w:rFonts w:cs="Times New Roman"/>
        </w:rPr>
        <w:t>。</w:t>
      </w:r>
    </w:p>
    <w:p>
      <w:pPr>
        <w:pStyle w:val="22"/>
      </w:pPr>
      <w:bookmarkStart w:id="40" w:name="_Ref26430909"/>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4</w:t>
      </w:r>
      <w:r>
        <w:fldChar w:fldCharType="end"/>
      </w:r>
      <w:bookmarkEnd w:id="40"/>
      <w:r>
        <w:t xml:space="preserve">  项目其他污染物监测结果统计表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209"/>
        <w:gridCol w:w="1578"/>
        <w:gridCol w:w="934"/>
        <w:gridCol w:w="1207"/>
        <w:gridCol w:w="1484"/>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065" w:type="dxa"/>
            <w:vAlign w:val="center"/>
          </w:tcPr>
          <w:p>
            <w:pPr>
              <w:pStyle w:val="47"/>
            </w:pPr>
            <w:r>
              <w:t>监测点位</w:t>
            </w:r>
          </w:p>
        </w:tc>
        <w:tc>
          <w:tcPr>
            <w:tcW w:w="1209" w:type="dxa"/>
            <w:vAlign w:val="center"/>
          </w:tcPr>
          <w:p>
            <w:pPr>
              <w:pStyle w:val="47"/>
            </w:pPr>
            <w:r>
              <w:t>监测项目</w:t>
            </w:r>
          </w:p>
        </w:tc>
        <w:tc>
          <w:tcPr>
            <w:tcW w:w="1578" w:type="dxa"/>
            <w:vAlign w:val="center"/>
          </w:tcPr>
          <w:p>
            <w:pPr>
              <w:pStyle w:val="47"/>
            </w:pPr>
            <w:r>
              <w:t>浓度范围</w:t>
            </w:r>
          </w:p>
          <w:p>
            <w:pPr>
              <w:pStyle w:val="47"/>
            </w:pPr>
            <w:r>
              <w:t>（</w:t>
            </w:r>
            <w:r>
              <w:rPr>
                <w:rFonts w:hAnsi="Times New Roman"/>
              </w:rPr>
              <w:t>m</w:t>
            </w:r>
            <w:r>
              <w:t>g/m</w:t>
            </w:r>
            <w:r>
              <w:rPr>
                <w:vertAlign w:val="superscript"/>
              </w:rPr>
              <w:t>3</w:t>
            </w:r>
            <w:r>
              <w:t>）</w:t>
            </w:r>
          </w:p>
        </w:tc>
        <w:tc>
          <w:tcPr>
            <w:tcW w:w="934" w:type="dxa"/>
            <w:vAlign w:val="center"/>
          </w:tcPr>
          <w:p>
            <w:pPr>
              <w:pStyle w:val="47"/>
            </w:pPr>
            <w:r>
              <w:t>超标率（%）</w:t>
            </w:r>
          </w:p>
        </w:tc>
        <w:tc>
          <w:tcPr>
            <w:tcW w:w="1207" w:type="dxa"/>
            <w:vAlign w:val="center"/>
          </w:tcPr>
          <w:p>
            <w:pPr>
              <w:pStyle w:val="47"/>
            </w:pPr>
            <w:r>
              <w:t>最大</w:t>
            </w:r>
          </w:p>
          <w:p>
            <w:pPr>
              <w:pStyle w:val="47"/>
            </w:pPr>
            <w:r>
              <w:t>超标倍数</w:t>
            </w:r>
          </w:p>
        </w:tc>
        <w:tc>
          <w:tcPr>
            <w:tcW w:w="1484" w:type="dxa"/>
            <w:vAlign w:val="center"/>
          </w:tcPr>
          <w:p>
            <w:pPr>
              <w:pStyle w:val="47"/>
            </w:pPr>
            <w:r>
              <w:t>标准指数</w:t>
            </w:r>
          </w:p>
          <w:p>
            <w:pPr>
              <w:pStyle w:val="47"/>
            </w:pPr>
            <w:r>
              <w:t>Pi</w:t>
            </w:r>
          </w:p>
        </w:tc>
        <w:tc>
          <w:tcPr>
            <w:tcW w:w="1393" w:type="dxa"/>
            <w:vAlign w:val="center"/>
          </w:tcPr>
          <w:p>
            <w:pPr>
              <w:pStyle w:val="47"/>
            </w:pPr>
            <w:r>
              <w:t>评价标准（</w:t>
            </w:r>
            <w:r>
              <w:rPr>
                <w:rFonts w:hAnsi="Times New Roman"/>
              </w:rPr>
              <w:t>m</w:t>
            </w:r>
            <w:r>
              <w:t>g/m</w:t>
            </w:r>
            <w:r>
              <w:rPr>
                <w:vertAlign w:val="superscript"/>
              </w:rPr>
              <w:t>3</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5" w:type="dxa"/>
            <w:vMerge w:val="restart"/>
            <w:vAlign w:val="center"/>
          </w:tcPr>
          <w:p>
            <w:pPr>
              <w:pStyle w:val="47"/>
            </w:pPr>
            <w:r>
              <w:t>G1</w:t>
            </w:r>
          </w:p>
        </w:tc>
        <w:tc>
          <w:tcPr>
            <w:tcW w:w="1209" w:type="dxa"/>
            <w:vAlign w:val="center"/>
          </w:tcPr>
          <w:p>
            <w:pPr>
              <w:pStyle w:val="47"/>
            </w:pPr>
            <w:r>
              <w:rPr>
                <w:rFonts w:hint="eastAsia"/>
              </w:rPr>
              <w:t>NH</w:t>
            </w:r>
            <w:r>
              <w:rPr>
                <w:rFonts w:hint="eastAsia"/>
                <w:vertAlign w:val="subscript"/>
              </w:rPr>
              <w:t>3</w:t>
            </w:r>
          </w:p>
        </w:tc>
        <w:tc>
          <w:tcPr>
            <w:tcW w:w="1578" w:type="dxa"/>
            <w:vAlign w:val="center"/>
          </w:tcPr>
          <w:p>
            <w:pPr>
              <w:pStyle w:val="47"/>
            </w:pPr>
            <w:r>
              <w:t>0.01ND~0.03</w:t>
            </w:r>
          </w:p>
        </w:tc>
        <w:tc>
          <w:tcPr>
            <w:tcW w:w="934" w:type="dxa"/>
            <w:vAlign w:val="center"/>
          </w:tcPr>
          <w:p>
            <w:pPr>
              <w:pStyle w:val="47"/>
            </w:pPr>
            <w:r>
              <w:t>0.0</w:t>
            </w:r>
          </w:p>
        </w:tc>
        <w:tc>
          <w:tcPr>
            <w:tcW w:w="1207" w:type="dxa"/>
            <w:vAlign w:val="center"/>
          </w:tcPr>
          <w:p>
            <w:pPr>
              <w:pStyle w:val="47"/>
            </w:pPr>
            <w:r>
              <w:t>0.0</w:t>
            </w:r>
          </w:p>
        </w:tc>
        <w:tc>
          <w:tcPr>
            <w:tcW w:w="1484" w:type="dxa"/>
            <w:vAlign w:val="center"/>
          </w:tcPr>
          <w:p>
            <w:pPr>
              <w:pStyle w:val="47"/>
            </w:pPr>
            <w:r>
              <w:t>/~0.15</w:t>
            </w:r>
          </w:p>
        </w:tc>
        <w:tc>
          <w:tcPr>
            <w:tcW w:w="1393" w:type="dxa"/>
            <w:vAlign w:val="center"/>
          </w:tcPr>
          <w:p>
            <w:pPr>
              <w:pStyle w:val="47"/>
            </w:pPr>
            <w: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65" w:type="dxa"/>
            <w:vMerge w:val="continue"/>
            <w:vAlign w:val="center"/>
          </w:tcPr>
          <w:p>
            <w:pPr>
              <w:pStyle w:val="47"/>
              <w:rPr>
                <w:highlight w:val="yellow"/>
              </w:rPr>
            </w:pPr>
          </w:p>
        </w:tc>
        <w:tc>
          <w:tcPr>
            <w:tcW w:w="1209" w:type="dxa"/>
            <w:vAlign w:val="center"/>
          </w:tcPr>
          <w:p>
            <w:pPr>
              <w:pStyle w:val="47"/>
            </w:pPr>
            <w:r>
              <w:rPr>
                <w:rFonts w:hint="eastAsia"/>
              </w:rPr>
              <w:t>H</w:t>
            </w:r>
            <w:r>
              <w:rPr>
                <w:rFonts w:hint="eastAsia"/>
                <w:vertAlign w:val="subscript"/>
              </w:rPr>
              <w:t>2</w:t>
            </w:r>
            <w:r>
              <w:rPr>
                <w:rFonts w:hint="eastAsia"/>
              </w:rPr>
              <w:t>S</w:t>
            </w:r>
          </w:p>
        </w:tc>
        <w:tc>
          <w:tcPr>
            <w:tcW w:w="1578" w:type="dxa"/>
            <w:vAlign w:val="center"/>
          </w:tcPr>
          <w:p>
            <w:pPr>
              <w:pStyle w:val="47"/>
            </w:pPr>
            <w:r>
              <w:rPr>
                <w:rFonts w:hint="eastAsia"/>
              </w:rPr>
              <w:t>0.001</w:t>
            </w:r>
            <w:r>
              <w:t>ND~0.003</w:t>
            </w:r>
          </w:p>
        </w:tc>
        <w:tc>
          <w:tcPr>
            <w:tcW w:w="934" w:type="dxa"/>
            <w:vAlign w:val="center"/>
          </w:tcPr>
          <w:p>
            <w:pPr>
              <w:pStyle w:val="47"/>
            </w:pPr>
            <w:r>
              <w:rPr>
                <w:rFonts w:hint="eastAsia"/>
              </w:rPr>
              <w:t>0.0</w:t>
            </w:r>
          </w:p>
        </w:tc>
        <w:tc>
          <w:tcPr>
            <w:tcW w:w="1207" w:type="dxa"/>
            <w:vAlign w:val="center"/>
          </w:tcPr>
          <w:p>
            <w:pPr>
              <w:pStyle w:val="47"/>
            </w:pPr>
            <w:r>
              <w:rPr>
                <w:rFonts w:hint="eastAsia"/>
              </w:rPr>
              <w:t>0.0</w:t>
            </w:r>
          </w:p>
        </w:tc>
        <w:tc>
          <w:tcPr>
            <w:tcW w:w="1484" w:type="dxa"/>
            <w:vAlign w:val="center"/>
          </w:tcPr>
          <w:p>
            <w:pPr>
              <w:pStyle w:val="47"/>
            </w:pPr>
            <w:r>
              <w:t>/~0.3</w:t>
            </w:r>
          </w:p>
        </w:tc>
        <w:tc>
          <w:tcPr>
            <w:tcW w:w="1393" w:type="dxa"/>
            <w:vAlign w:val="center"/>
          </w:tcPr>
          <w:p>
            <w:pPr>
              <w:pStyle w:val="47"/>
            </w:pPr>
            <w:r>
              <w:t>0.01</w:t>
            </w:r>
          </w:p>
        </w:tc>
      </w:tr>
    </w:tbl>
    <w:p>
      <w:pPr>
        <w:pStyle w:val="49"/>
        <w:ind w:firstLine="480"/>
        <w:rPr>
          <w:rFonts w:cs="Times New Roman"/>
        </w:rPr>
      </w:pPr>
      <w:r>
        <w:rPr>
          <w:rFonts w:cs="Times New Roman"/>
        </w:rPr>
        <w:t>由监测统计结果可以看出，监测点位</w:t>
      </w:r>
      <w:r>
        <w:rPr>
          <w:rFonts w:hint="eastAsia" w:cs="Times New Roman"/>
        </w:rPr>
        <w:t>NH</w:t>
      </w:r>
      <w:r>
        <w:rPr>
          <w:rFonts w:cs="Times New Roman"/>
          <w:vertAlign w:val="subscript"/>
        </w:rPr>
        <w:t>3</w:t>
      </w:r>
      <w:r>
        <w:rPr>
          <w:rFonts w:hint="eastAsia" w:cs="Times New Roman"/>
        </w:rPr>
        <w:t>、</w:t>
      </w:r>
      <w:r>
        <w:rPr>
          <w:rFonts w:cs="Times New Roman"/>
        </w:rPr>
        <w:t>H</w:t>
      </w:r>
      <w:r>
        <w:rPr>
          <w:rFonts w:cs="Times New Roman"/>
          <w:vertAlign w:val="subscript"/>
        </w:rPr>
        <w:t>2</w:t>
      </w:r>
      <w:r>
        <w:rPr>
          <w:rFonts w:cs="Times New Roman"/>
        </w:rPr>
        <w:t>S</w:t>
      </w:r>
      <w:r>
        <w:rPr>
          <w:rFonts w:hint="eastAsia" w:cs="Times New Roman"/>
        </w:rPr>
        <w:t>浓度</w:t>
      </w:r>
      <w:r>
        <w:rPr>
          <w:rFonts w:cs="Times New Roman"/>
        </w:rPr>
        <w:t>满足《环境影响评价技术导则 大气环境》（HJ2.2-2018）表D.1中其他污染物空气质量浓度参考限值。项目建址地周边特征污染物环境背景值现状质量良好。</w:t>
      </w:r>
    </w:p>
    <w:p>
      <w:pPr>
        <w:pStyle w:val="4"/>
      </w:pPr>
      <w:r>
        <w:rPr>
          <w:rFonts w:hint="eastAsia"/>
        </w:rPr>
        <w:t>声环境</w:t>
      </w:r>
      <w:r>
        <w:t>质量现状</w:t>
      </w:r>
    </w:p>
    <w:p>
      <w:pPr>
        <w:pStyle w:val="40"/>
        <w:ind w:firstLine="480"/>
      </w:pPr>
      <w:r>
        <w:t>本次声环境质量现状监测委托陕西</w:t>
      </w:r>
      <w:r>
        <w:rPr>
          <w:rFonts w:hint="eastAsia"/>
        </w:rPr>
        <w:t>华准通</w:t>
      </w:r>
      <w:r>
        <w:t>检测技术有限公司进行监测，监测报告见附件（HZT22040702-ZH）。</w:t>
      </w:r>
    </w:p>
    <w:p>
      <w:pPr>
        <w:pStyle w:val="40"/>
        <w:ind w:firstLine="480"/>
      </w:pPr>
      <w:r>
        <w:t>（1）监测点位</w:t>
      </w:r>
    </w:p>
    <w:p>
      <w:pPr>
        <w:pStyle w:val="40"/>
        <w:ind w:firstLine="480"/>
      </w:pPr>
      <w:r>
        <w:t>在本项目厂界四周及敏感点共布设噪声监测点6个，监测点位图见图5.2-1。</w:t>
      </w:r>
    </w:p>
    <w:p>
      <w:pPr>
        <w:pStyle w:val="40"/>
        <w:ind w:firstLine="480"/>
      </w:pPr>
      <w:r>
        <w:t>（2）监测时间和频次</w:t>
      </w:r>
    </w:p>
    <w:p>
      <w:pPr>
        <w:pStyle w:val="40"/>
        <w:ind w:firstLine="480"/>
      </w:pPr>
      <w:r>
        <w:t>2022年3月16日~3月17日连续监测2天，昼夜各一次。</w:t>
      </w:r>
    </w:p>
    <w:p>
      <w:pPr>
        <w:pStyle w:val="40"/>
        <w:ind w:firstLine="480"/>
      </w:pPr>
      <w:r>
        <w:t>（3）监测因子和监测方法</w:t>
      </w:r>
    </w:p>
    <w:p>
      <w:pPr>
        <w:pStyle w:val="40"/>
        <w:ind w:firstLine="480"/>
      </w:pPr>
      <w:r>
        <w:t>监测因子为连续等效声级Leq（A）。</w:t>
      </w:r>
    </w:p>
    <w:p>
      <w:pPr>
        <w:pStyle w:val="40"/>
        <w:ind w:firstLine="480"/>
      </w:pPr>
      <w:r>
        <w:t>监测方法按《</w:t>
      </w:r>
      <w:r>
        <w:rPr>
          <w:rFonts w:hint="eastAsia"/>
        </w:rPr>
        <w:t>声环境质量</w:t>
      </w:r>
      <w:r>
        <w:t>标准》</w:t>
      </w:r>
      <w:r>
        <w:rPr>
          <w:rFonts w:hint="eastAsia"/>
        </w:rPr>
        <w:t>（GB3096-2008）</w:t>
      </w:r>
      <w:r>
        <w:t>中有关规定进行，监测仪器为 AWA5688 噪声统计分析仪，详细见</w:t>
      </w:r>
      <w:r>
        <w:fldChar w:fldCharType="begin"/>
      </w:r>
      <w:r>
        <w:instrText xml:space="preserve"> REF _Ref26461791 \h  \* MERGEFORMAT </w:instrText>
      </w:r>
      <w:r>
        <w:fldChar w:fldCharType="separate"/>
      </w:r>
      <w:r>
        <w:t>表5.2</w:t>
      </w:r>
      <w:r>
        <w:noBreakHyphen/>
      </w:r>
      <w:r>
        <w:t>5</w:t>
      </w:r>
      <w:r>
        <w:fldChar w:fldCharType="end"/>
      </w:r>
      <w:r>
        <w:rPr>
          <w:rFonts w:hint="eastAsia"/>
        </w:rPr>
        <w:t>。</w:t>
      </w:r>
    </w:p>
    <w:p>
      <w:pPr>
        <w:pStyle w:val="22"/>
      </w:pPr>
      <w:bookmarkStart w:id="41" w:name="_Ref26461791"/>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5</w:t>
      </w:r>
      <w:r>
        <w:fldChar w:fldCharType="end"/>
      </w:r>
      <w:bookmarkEnd w:id="41"/>
      <w:r>
        <w:rPr>
          <w:kern w:val="0"/>
        </w:rPr>
        <w:t xml:space="preserve">   </w:t>
      </w:r>
      <w:r>
        <w:t>噪声监测分析方法及来源</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3646"/>
        <w:gridCol w:w="3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40" w:hRule="atLeast"/>
        </w:trPr>
        <w:tc>
          <w:tcPr>
            <w:tcW w:w="2073" w:type="dxa"/>
            <w:vAlign w:val="center"/>
          </w:tcPr>
          <w:p>
            <w:pPr>
              <w:pStyle w:val="43"/>
            </w:pPr>
            <w:r>
              <w:t>监测项目</w:t>
            </w:r>
          </w:p>
        </w:tc>
        <w:tc>
          <w:tcPr>
            <w:tcW w:w="3646" w:type="dxa"/>
            <w:vAlign w:val="center"/>
          </w:tcPr>
          <w:p>
            <w:pPr>
              <w:pStyle w:val="43"/>
            </w:pPr>
            <w:r>
              <w:t>分析方法</w:t>
            </w:r>
          </w:p>
        </w:tc>
        <w:tc>
          <w:tcPr>
            <w:tcW w:w="3151" w:type="dxa"/>
            <w:vAlign w:val="center"/>
          </w:tcPr>
          <w:p>
            <w:pPr>
              <w:pStyle w:val="43"/>
            </w:pPr>
            <w:r>
              <w:t>标准号</w:t>
            </w:r>
          </w:p>
        </w:tc>
      </w:tr>
      <w:tr>
        <w:tblPrEx>
          <w:tblLayout w:type="fixed"/>
          <w:tblCellMar>
            <w:top w:w="0" w:type="dxa"/>
            <w:left w:w="108" w:type="dxa"/>
            <w:bottom w:w="0" w:type="dxa"/>
            <w:right w:w="108" w:type="dxa"/>
          </w:tblCellMar>
        </w:tblPrEx>
        <w:trPr>
          <w:trHeight w:val="340" w:hRule="atLeast"/>
        </w:trPr>
        <w:tc>
          <w:tcPr>
            <w:tcW w:w="2073" w:type="dxa"/>
            <w:vAlign w:val="center"/>
          </w:tcPr>
          <w:p>
            <w:pPr>
              <w:pStyle w:val="43"/>
            </w:pPr>
            <w:r>
              <w:t>声环境</w:t>
            </w:r>
          </w:p>
        </w:tc>
        <w:tc>
          <w:tcPr>
            <w:tcW w:w="3646" w:type="dxa"/>
            <w:vAlign w:val="center"/>
          </w:tcPr>
          <w:p>
            <w:pPr>
              <w:pStyle w:val="43"/>
            </w:pPr>
            <w:r>
              <w:t>声环境质量标准</w:t>
            </w:r>
          </w:p>
        </w:tc>
        <w:tc>
          <w:tcPr>
            <w:tcW w:w="3151" w:type="dxa"/>
            <w:vAlign w:val="center"/>
          </w:tcPr>
          <w:p>
            <w:pPr>
              <w:pStyle w:val="43"/>
            </w:pPr>
            <w:r>
              <w:t>GB 3096-2008</w:t>
            </w:r>
          </w:p>
        </w:tc>
      </w:tr>
    </w:tbl>
    <w:p>
      <w:pPr>
        <w:pStyle w:val="40"/>
        <w:ind w:firstLine="480"/>
      </w:pPr>
      <w:r>
        <w:t>（4）评价标准</w:t>
      </w:r>
    </w:p>
    <w:p>
      <w:pPr>
        <w:pStyle w:val="40"/>
        <w:ind w:firstLine="480"/>
      </w:pPr>
      <w:r>
        <w:t>本项目位于</w:t>
      </w:r>
      <w:r>
        <w:rPr>
          <w:rFonts w:hint="eastAsia"/>
        </w:rPr>
        <w:t>安康市恒口示范区（试验区）</w:t>
      </w:r>
      <w:r>
        <w:t>，厂界执行《声环境质量标准》（GB3096-2008）中的2类标准。</w:t>
      </w:r>
    </w:p>
    <w:p>
      <w:pPr>
        <w:pStyle w:val="40"/>
        <w:ind w:firstLine="480"/>
      </w:pPr>
      <w:r>
        <w:t>（5）监测结果</w:t>
      </w:r>
    </w:p>
    <w:p>
      <w:pPr>
        <w:pStyle w:val="40"/>
        <w:ind w:firstLine="480"/>
      </w:pPr>
      <w:r>
        <w:t>噪声监测结果见</w:t>
      </w:r>
      <w:r>
        <w:fldChar w:fldCharType="begin"/>
      </w:r>
      <w:r>
        <w:instrText xml:space="preserve"> REF _Ref26777771 \h  \* MERGEFORMAT </w:instrText>
      </w:r>
      <w:r>
        <w:fldChar w:fldCharType="separate"/>
      </w:r>
      <w:r>
        <w:t>表5.2</w:t>
      </w:r>
      <w:r>
        <w:noBreakHyphen/>
      </w:r>
      <w:r>
        <w:t>6</w:t>
      </w:r>
      <w:r>
        <w:fldChar w:fldCharType="end"/>
      </w:r>
      <w:r>
        <w:t>。</w:t>
      </w:r>
    </w:p>
    <w:p>
      <w:pPr>
        <w:pStyle w:val="22"/>
      </w:pPr>
      <w:bookmarkStart w:id="42" w:name="_Ref26777771"/>
      <w:r>
        <w:t>表</w:t>
      </w:r>
      <w:r>
        <w:fldChar w:fldCharType="begin"/>
      </w:r>
      <w:r>
        <w:instrText xml:space="preserve"> STYLEREF 2 \s </w:instrText>
      </w:r>
      <w:r>
        <w:fldChar w:fldCharType="separate"/>
      </w:r>
      <w:r>
        <w:t>5.2</w:t>
      </w:r>
      <w:r>
        <w:fldChar w:fldCharType="end"/>
      </w:r>
      <w:r>
        <w:noBreakHyphen/>
      </w:r>
      <w:r>
        <w:fldChar w:fldCharType="begin"/>
      </w:r>
      <w:r>
        <w:instrText xml:space="preserve"> SEQ 表 \* ARABIC \s 2 </w:instrText>
      </w:r>
      <w:r>
        <w:fldChar w:fldCharType="separate"/>
      </w:r>
      <w:r>
        <w:t>6</w:t>
      </w:r>
      <w:r>
        <w:fldChar w:fldCharType="end"/>
      </w:r>
      <w:bookmarkEnd w:id="42"/>
      <w:r>
        <w:t xml:space="preserve">  厂界环境噪声监测结果</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164"/>
        <w:gridCol w:w="1520"/>
        <w:gridCol w:w="1368"/>
        <w:gridCol w:w="1464"/>
        <w:gridCol w:w="13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009" w:type="dxa"/>
            <w:vMerge w:val="restart"/>
            <w:vAlign w:val="center"/>
          </w:tcPr>
          <w:p>
            <w:pPr>
              <w:pStyle w:val="43"/>
            </w:pPr>
            <w:r>
              <w:t>编号</w:t>
            </w:r>
          </w:p>
        </w:tc>
        <w:tc>
          <w:tcPr>
            <w:tcW w:w="2164" w:type="dxa"/>
            <w:vMerge w:val="restart"/>
            <w:vAlign w:val="center"/>
          </w:tcPr>
          <w:p>
            <w:pPr>
              <w:pStyle w:val="43"/>
            </w:pPr>
            <w:r>
              <w:t>监测点位</w:t>
            </w:r>
          </w:p>
        </w:tc>
        <w:tc>
          <w:tcPr>
            <w:tcW w:w="5697" w:type="dxa"/>
            <w:gridSpan w:val="4"/>
            <w:vAlign w:val="center"/>
          </w:tcPr>
          <w:p>
            <w:pPr>
              <w:pStyle w:val="43"/>
            </w:pPr>
            <w:r>
              <w:t>监测结果L</w:t>
            </w:r>
            <w:r>
              <w:rPr>
                <w:vertAlign w:val="subscript"/>
              </w:rPr>
              <w:t xml:space="preserve">Aeq </w:t>
            </w:r>
            <w:r>
              <w:t xml:space="preserve"> dB（A）</w:t>
            </w:r>
          </w:p>
        </w:tc>
      </w:tr>
      <w:tr>
        <w:tblPrEx>
          <w:tblLayout w:type="fixed"/>
          <w:tblCellMar>
            <w:top w:w="0" w:type="dxa"/>
            <w:left w:w="108" w:type="dxa"/>
            <w:bottom w:w="0" w:type="dxa"/>
            <w:right w:w="108" w:type="dxa"/>
          </w:tblCellMar>
        </w:tblPrEx>
        <w:trPr>
          <w:trHeight w:val="340" w:hRule="atLeast"/>
          <w:tblHeader/>
        </w:trPr>
        <w:tc>
          <w:tcPr>
            <w:tcW w:w="1009" w:type="dxa"/>
            <w:vMerge w:val="continue"/>
            <w:vAlign w:val="center"/>
          </w:tcPr>
          <w:p>
            <w:pPr>
              <w:pStyle w:val="43"/>
            </w:pPr>
          </w:p>
        </w:tc>
        <w:tc>
          <w:tcPr>
            <w:tcW w:w="2164" w:type="dxa"/>
            <w:vMerge w:val="continue"/>
            <w:vAlign w:val="center"/>
          </w:tcPr>
          <w:p>
            <w:pPr>
              <w:pStyle w:val="43"/>
            </w:pPr>
          </w:p>
        </w:tc>
        <w:tc>
          <w:tcPr>
            <w:tcW w:w="2888" w:type="dxa"/>
            <w:gridSpan w:val="2"/>
            <w:vAlign w:val="center"/>
          </w:tcPr>
          <w:p>
            <w:pPr>
              <w:pStyle w:val="43"/>
            </w:pPr>
            <w:r>
              <w:t>3月16日</w:t>
            </w:r>
          </w:p>
        </w:tc>
        <w:tc>
          <w:tcPr>
            <w:tcW w:w="2809" w:type="dxa"/>
            <w:gridSpan w:val="2"/>
            <w:vAlign w:val="center"/>
          </w:tcPr>
          <w:p>
            <w:pPr>
              <w:pStyle w:val="43"/>
            </w:pPr>
            <w:r>
              <w:t>3月17日</w:t>
            </w:r>
          </w:p>
        </w:tc>
      </w:tr>
      <w:tr>
        <w:tblPrEx>
          <w:tblLayout w:type="fixed"/>
          <w:tblCellMar>
            <w:top w:w="0" w:type="dxa"/>
            <w:left w:w="108" w:type="dxa"/>
            <w:bottom w:w="0" w:type="dxa"/>
            <w:right w:w="108" w:type="dxa"/>
          </w:tblCellMar>
        </w:tblPrEx>
        <w:trPr>
          <w:trHeight w:val="340" w:hRule="atLeast"/>
          <w:tblHeader/>
        </w:trPr>
        <w:tc>
          <w:tcPr>
            <w:tcW w:w="1009" w:type="dxa"/>
            <w:vMerge w:val="continue"/>
            <w:vAlign w:val="center"/>
          </w:tcPr>
          <w:p>
            <w:pPr>
              <w:pStyle w:val="43"/>
            </w:pPr>
          </w:p>
        </w:tc>
        <w:tc>
          <w:tcPr>
            <w:tcW w:w="2164" w:type="dxa"/>
            <w:vMerge w:val="continue"/>
            <w:vAlign w:val="center"/>
          </w:tcPr>
          <w:p>
            <w:pPr>
              <w:pStyle w:val="43"/>
            </w:pPr>
          </w:p>
        </w:tc>
        <w:tc>
          <w:tcPr>
            <w:tcW w:w="1520" w:type="dxa"/>
            <w:vAlign w:val="center"/>
          </w:tcPr>
          <w:p>
            <w:pPr>
              <w:pStyle w:val="43"/>
            </w:pPr>
            <w:r>
              <w:t>昼间（L</w:t>
            </w:r>
            <w:r>
              <w:rPr>
                <w:vertAlign w:val="subscript"/>
              </w:rPr>
              <w:t>d</w:t>
            </w:r>
            <w:r>
              <w:t>）</w:t>
            </w:r>
          </w:p>
        </w:tc>
        <w:tc>
          <w:tcPr>
            <w:tcW w:w="1368" w:type="dxa"/>
            <w:vAlign w:val="center"/>
          </w:tcPr>
          <w:p>
            <w:pPr>
              <w:pStyle w:val="43"/>
            </w:pPr>
            <w:r>
              <w:t>夜间（L</w:t>
            </w:r>
            <w:r>
              <w:rPr>
                <w:vertAlign w:val="subscript"/>
              </w:rPr>
              <w:t>n</w:t>
            </w:r>
            <w:r>
              <w:t>）</w:t>
            </w:r>
          </w:p>
        </w:tc>
        <w:tc>
          <w:tcPr>
            <w:tcW w:w="1464" w:type="dxa"/>
            <w:vAlign w:val="center"/>
          </w:tcPr>
          <w:p>
            <w:pPr>
              <w:pStyle w:val="43"/>
            </w:pPr>
            <w:r>
              <w:t>昼间（L</w:t>
            </w:r>
            <w:r>
              <w:rPr>
                <w:vertAlign w:val="subscript"/>
              </w:rPr>
              <w:t>d</w:t>
            </w:r>
            <w:r>
              <w:t>）</w:t>
            </w:r>
          </w:p>
        </w:tc>
        <w:tc>
          <w:tcPr>
            <w:tcW w:w="1345" w:type="dxa"/>
            <w:vAlign w:val="center"/>
          </w:tcPr>
          <w:p>
            <w:pPr>
              <w:pStyle w:val="43"/>
            </w:pPr>
            <w:r>
              <w:t>夜间（L</w:t>
            </w:r>
            <w:r>
              <w:rPr>
                <w:vertAlign w:val="subscript"/>
              </w:rPr>
              <w:t>n</w:t>
            </w:r>
            <w:r>
              <w:t>）</w:t>
            </w:r>
          </w:p>
        </w:tc>
      </w:tr>
      <w:tr>
        <w:tblPrEx>
          <w:tblLayout w:type="fixed"/>
          <w:tblCellMar>
            <w:top w:w="0" w:type="dxa"/>
            <w:left w:w="108" w:type="dxa"/>
            <w:bottom w:w="0" w:type="dxa"/>
            <w:right w:w="108" w:type="dxa"/>
          </w:tblCellMar>
        </w:tblPrEx>
        <w:trPr>
          <w:trHeight w:val="340" w:hRule="atLeast"/>
        </w:trPr>
        <w:tc>
          <w:tcPr>
            <w:tcW w:w="1009" w:type="dxa"/>
            <w:vAlign w:val="center"/>
          </w:tcPr>
          <w:p>
            <w:pPr>
              <w:pStyle w:val="43"/>
            </w:pPr>
            <w:r>
              <w:t>1#</w:t>
            </w:r>
          </w:p>
        </w:tc>
        <w:tc>
          <w:tcPr>
            <w:tcW w:w="2164" w:type="dxa"/>
            <w:vAlign w:val="center"/>
          </w:tcPr>
          <w:p>
            <w:pPr>
              <w:pStyle w:val="43"/>
            </w:pPr>
            <w:r>
              <w:t>项目厂界东</w:t>
            </w:r>
            <w:r>
              <w:rPr>
                <w:rFonts w:hint="eastAsia"/>
              </w:rPr>
              <w:t>侧</w:t>
            </w:r>
          </w:p>
        </w:tc>
        <w:tc>
          <w:tcPr>
            <w:tcW w:w="1520" w:type="dxa"/>
            <w:vAlign w:val="center"/>
          </w:tcPr>
          <w:p>
            <w:pPr>
              <w:pStyle w:val="43"/>
              <w:rPr>
                <w:szCs w:val="21"/>
              </w:rPr>
            </w:pPr>
            <w:r>
              <w:rPr>
                <w:rFonts w:hint="eastAsia"/>
                <w:szCs w:val="21"/>
              </w:rPr>
              <w:t>54</w:t>
            </w:r>
          </w:p>
        </w:tc>
        <w:tc>
          <w:tcPr>
            <w:tcW w:w="1368" w:type="dxa"/>
            <w:vAlign w:val="center"/>
          </w:tcPr>
          <w:p>
            <w:pPr>
              <w:pStyle w:val="43"/>
              <w:rPr>
                <w:szCs w:val="21"/>
              </w:rPr>
            </w:pPr>
            <w:r>
              <w:rPr>
                <w:rFonts w:hint="eastAsia"/>
                <w:szCs w:val="21"/>
              </w:rPr>
              <w:t>45</w:t>
            </w:r>
          </w:p>
        </w:tc>
        <w:tc>
          <w:tcPr>
            <w:tcW w:w="1464" w:type="dxa"/>
            <w:vAlign w:val="center"/>
          </w:tcPr>
          <w:p>
            <w:pPr>
              <w:pStyle w:val="43"/>
              <w:rPr>
                <w:szCs w:val="21"/>
              </w:rPr>
            </w:pPr>
            <w:r>
              <w:rPr>
                <w:rFonts w:hint="eastAsia"/>
                <w:szCs w:val="21"/>
              </w:rPr>
              <w:t>53</w:t>
            </w:r>
          </w:p>
        </w:tc>
        <w:tc>
          <w:tcPr>
            <w:tcW w:w="1345" w:type="dxa"/>
            <w:vAlign w:val="center"/>
          </w:tcPr>
          <w:p>
            <w:pPr>
              <w:pStyle w:val="43"/>
              <w:rPr>
                <w:szCs w:val="21"/>
              </w:rPr>
            </w:pPr>
            <w:r>
              <w:rPr>
                <w:rFonts w:hint="eastAsia"/>
                <w:szCs w:val="21"/>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9" w:type="dxa"/>
            <w:vAlign w:val="center"/>
          </w:tcPr>
          <w:p>
            <w:pPr>
              <w:pStyle w:val="43"/>
            </w:pPr>
            <w:r>
              <w:t>2#</w:t>
            </w:r>
          </w:p>
        </w:tc>
        <w:tc>
          <w:tcPr>
            <w:tcW w:w="2164" w:type="dxa"/>
            <w:vAlign w:val="center"/>
          </w:tcPr>
          <w:p>
            <w:pPr>
              <w:pStyle w:val="43"/>
            </w:pPr>
            <w:r>
              <w:t>项目厂界南侧</w:t>
            </w:r>
          </w:p>
        </w:tc>
        <w:tc>
          <w:tcPr>
            <w:tcW w:w="1520" w:type="dxa"/>
            <w:vAlign w:val="center"/>
          </w:tcPr>
          <w:p>
            <w:pPr>
              <w:pStyle w:val="43"/>
              <w:rPr>
                <w:szCs w:val="21"/>
              </w:rPr>
            </w:pPr>
            <w:r>
              <w:rPr>
                <w:rFonts w:hint="eastAsia"/>
                <w:szCs w:val="21"/>
              </w:rPr>
              <w:t>53</w:t>
            </w:r>
          </w:p>
        </w:tc>
        <w:tc>
          <w:tcPr>
            <w:tcW w:w="1368" w:type="dxa"/>
            <w:vAlign w:val="center"/>
          </w:tcPr>
          <w:p>
            <w:pPr>
              <w:pStyle w:val="43"/>
              <w:rPr>
                <w:szCs w:val="21"/>
              </w:rPr>
            </w:pPr>
            <w:r>
              <w:rPr>
                <w:rFonts w:hint="eastAsia"/>
                <w:szCs w:val="21"/>
              </w:rPr>
              <w:t>43</w:t>
            </w:r>
          </w:p>
        </w:tc>
        <w:tc>
          <w:tcPr>
            <w:tcW w:w="1464" w:type="dxa"/>
            <w:vAlign w:val="center"/>
          </w:tcPr>
          <w:p>
            <w:pPr>
              <w:pStyle w:val="43"/>
              <w:rPr>
                <w:szCs w:val="21"/>
              </w:rPr>
            </w:pPr>
            <w:r>
              <w:rPr>
                <w:rFonts w:hint="eastAsia"/>
                <w:szCs w:val="21"/>
              </w:rPr>
              <w:t>53</w:t>
            </w:r>
          </w:p>
        </w:tc>
        <w:tc>
          <w:tcPr>
            <w:tcW w:w="1345" w:type="dxa"/>
            <w:vAlign w:val="center"/>
          </w:tcPr>
          <w:p>
            <w:pPr>
              <w:pStyle w:val="43"/>
              <w:rPr>
                <w:szCs w:val="21"/>
              </w:rPr>
            </w:pPr>
            <w:r>
              <w:rPr>
                <w:rFonts w:hint="eastAsia"/>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9" w:type="dxa"/>
            <w:vAlign w:val="center"/>
          </w:tcPr>
          <w:p>
            <w:pPr>
              <w:pStyle w:val="43"/>
            </w:pPr>
            <w:r>
              <w:t>3#</w:t>
            </w:r>
          </w:p>
        </w:tc>
        <w:tc>
          <w:tcPr>
            <w:tcW w:w="2164" w:type="dxa"/>
            <w:vAlign w:val="center"/>
          </w:tcPr>
          <w:p>
            <w:pPr>
              <w:pStyle w:val="43"/>
            </w:pPr>
            <w:r>
              <w:t>项目厂界西侧</w:t>
            </w:r>
          </w:p>
        </w:tc>
        <w:tc>
          <w:tcPr>
            <w:tcW w:w="1520" w:type="dxa"/>
            <w:vAlign w:val="center"/>
          </w:tcPr>
          <w:p>
            <w:pPr>
              <w:pStyle w:val="43"/>
            </w:pPr>
            <w:r>
              <w:rPr>
                <w:rFonts w:hint="eastAsia"/>
              </w:rPr>
              <w:t>52</w:t>
            </w:r>
          </w:p>
        </w:tc>
        <w:tc>
          <w:tcPr>
            <w:tcW w:w="1368" w:type="dxa"/>
            <w:vAlign w:val="center"/>
          </w:tcPr>
          <w:p>
            <w:pPr>
              <w:pStyle w:val="43"/>
              <w:rPr>
                <w:szCs w:val="21"/>
              </w:rPr>
            </w:pPr>
            <w:r>
              <w:rPr>
                <w:rFonts w:hint="eastAsia"/>
                <w:szCs w:val="21"/>
              </w:rPr>
              <w:t>43</w:t>
            </w:r>
          </w:p>
        </w:tc>
        <w:tc>
          <w:tcPr>
            <w:tcW w:w="1464" w:type="dxa"/>
            <w:vAlign w:val="center"/>
          </w:tcPr>
          <w:p>
            <w:pPr>
              <w:pStyle w:val="43"/>
            </w:pPr>
            <w:r>
              <w:rPr>
                <w:rFonts w:hint="eastAsia"/>
              </w:rPr>
              <w:t>53</w:t>
            </w:r>
          </w:p>
        </w:tc>
        <w:tc>
          <w:tcPr>
            <w:tcW w:w="1345" w:type="dxa"/>
            <w:vAlign w:val="center"/>
          </w:tcPr>
          <w:p>
            <w:pPr>
              <w:pStyle w:val="43"/>
              <w:rPr>
                <w:szCs w:val="21"/>
              </w:rPr>
            </w:pPr>
            <w:r>
              <w:rPr>
                <w:rFonts w:hint="eastAsia"/>
                <w:szCs w:val="21"/>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9" w:type="dxa"/>
            <w:vAlign w:val="center"/>
          </w:tcPr>
          <w:p>
            <w:pPr>
              <w:pStyle w:val="43"/>
            </w:pPr>
            <w:r>
              <w:t>4#</w:t>
            </w:r>
          </w:p>
        </w:tc>
        <w:tc>
          <w:tcPr>
            <w:tcW w:w="2164" w:type="dxa"/>
            <w:vAlign w:val="center"/>
          </w:tcPr>
          <w:p>
            <w:pPr>
              <w:pStyle w:val="43"/>
            </w:pPr>
            <w:r>
              <w:t>项目厂界北侧</w:t>
            </w:r>
          </w:p>
        </w:tc>
        <w:tc>
          <w:tcPr>
            <w:tcW w:w="1520" w:type="dxa"/>
            <w:vAlign w:val="center"/>
          </w:tcPr>
          <w:p>
            <w:pPr>
              <w:pStyle w:val="43"/>
            </w:pPr>
            <w:r>
              <w:rPr>
                <w:rFonts w:hint="eastAsia"/>
              </w:rPr>
              <w:t>53</w:t>
            </w:r>
          </w:p>
        </w:tc>
        <w:tc>
          <w:tcPr>
            <w:tcW w:w="1368" w:type="dxa"/>
            <w:vAlign w:val="center"/>
          </w:tcPr>
          <w:p>
            <w:pPr>
              <w:pStyle w:val="43"/>
              <w:rPr>
                <w:szCs w:val="21"/>
              </w:rPr>
            </w:pPr>
            <w:r>
              <w:rPr>
                <w:rFonts w:hint="eastAsia"/>
                <w:szCs w:val="21"/>
              </w:rPr>
              <w:t>42</w:t>
            </w:r>
          </w:p>
        </w:tc>
        <w:tc>
          <w:tcPr>
            <w:tcW w:w="1464" w:type="dxa"/>
            <w:vAlign w:val="center"/>
          </w:tcPr>
          <w:p>
            <w:pPr>
              <w:pStyle w:val="43"/>
            </w:pPr>
            <w:r>
              <w:rPr>
                <w:rFonts w:hint="eastAsia"/>
              </w:rPr>
              <w:t>54</w:t>
            </w:r>
          </w:p>
        </w:tc>
        <w:tc>
          <w:tcPr>
            <w:tcW w:w="1345" w:type="dxa"/>
            <w:vAlign w:val="center"/>
          </w:tcPr>
          <w:p>
            <w:pPr>
              <w:pStyle w:val="43"/>
              <w:rPr>
                <w:szCs w:val="21"/>
              </w:rPr>
            </w:pPr>
            <w:r>
              <w:rPr>
                <w:rFonts w:hint="eastAsia"/>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9" w:type="dxa"/>
            <w:vAlign w:val="center"/>
          </w:tcPr>
          <w:p>
            <w:pPr>
              <w:pStyle w:val="43"/>
            </w:pPr>
            <w:r>
              <w:t>5#</w:t>
            </w:r>
          </w:p>
        </w:tc>
        <w:tc>
          <w:tcPr>
            <w:tcW w:w="2164" w:type="dxa"/>
            <w:vAlign w:val="center"/>
          </w:tcPr>
          <w:p>
            <w:pPr>
              <w:pStyle w:val="43"/>
            </w:pPr>
            <w:r>
              <w:rPr>
                <w:rFonts w:hint="eastAsia"/>
              </w:rPr>
              <w:t>越南村</w:t>
            </w:r>
          </w:p>
        </w:tc>
        <w:tc>
          <w:tcPr>
            <w:tcW w:w="1520" w:type="dxa"/>
            <w:vAlign w:val="center"/>
          </w:tcPr>
          <w:p>
            <w:pPr>
              <w:pStyle w:val="43"/>
              <w:rPr>
                <w:szCs w:val="21"/>
              </w:rPr>
            </w:pPr>
            <w:r>
              <w:rPr>
                <w:rFonts w:hint="eastAsia"/>
                <w:szCs w:val="21"/>
              </w:rPr>
              <w:t>53</w:t>
            </w:r>
          </w:p>
        </w:tc>
        <w:tc>
          <w:tcPr>
            <w:tcW w:w="1368" w:type="dxa"/>
            <w:vAlign w:val="center"/>
          </w:tcPr>
          <w:p>
            <w:pPr>
              <w:pStyle w:val="43"/>
              <w:rPr>
                <w:szCs w:val="21"/>
              </w:rPr>
            </w:pPr>
            <w:r>
              <w:rPr>
                <w:rFonts w:hint="eastAsia"/>
                <w:szCs w:val="21"/>
              </w:rPr>
              <w:t>42</w:t>
            </w:r>
          </w:p>
        </w:tc>
        <w:tc>
          <w:tcPr>
            <w:tcW w:w="1464" w:type="dxa"/>
            <w:vAlign w:val="center"/>
          </w:tcPr>
          <w:p>
            <w:pPr>
              <w:pStyle w:val="43"/>
              <w:rPr>
                <w:szCs w:val="21"/>
              </w:rPr>
            </w:pPr>
            <w:r>
              <w:rPr>
                <w:rFonts w:hint="eastAsia"/>
                <w:szCs w:val="21"/>
              </w:rPr>
              <w:t>5</w:t>
            </w:r>
            <w:r>
              <w:rPr>
                <w:szCs w:val="21"/>
              </w:rPr>
              <w:t>2</w:t>
            </w:r>
          </w:p>
        </w:tc>
        <w:tc>
          <w:tcPr>
            <w:tcW w:w="1345" w:type="dxa"/>
            <w:vAlign w:val="center"/>
          </w:tcPr>
          <w:p>
            <w:pPr>
              <w:pStyle w:val="43"/>
              <w:rPr>
                <w:szCs w:val="21"/>
              </w:rPr>
            </w:pPr>
            <w:r>
              <w:rPr>
                <w:rFonts w:hint="eastAsia"/>
                <w:szCs w:val="21"/>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9" w:type="dxa"/>
            <w:vAlign w:val="center"/>
          </w:tcPr>
          <w:p>
            <w:pPr>
              <w:pStyle w:val="43"/>
            </w:pPr>
            <w:r>
              <w:rPr>
                <w:rFonts w:hint="eastAsia"/>
              </w:rPr>
              <w:t>6</w:t>
            </w:r>
            <w:r>
              <w:t>#</w:t>
            </w:r>
          </w:p>
        </w:tc>
        <w:tc>
          <w:tcPr>
            <w:tcW w:w="2164" w:type="dxa"/>
            <w:vAlign w:val="center"/>
          </w:tcPr>
          <w:p>
            <w:pPr>
              <w:pStyle w:val="43"/>
            </w:pPr>
            <w:r>
              <w:rPr>
                <w:rFonts w:hint="eastAsia"/>
              </w:rPr>
              <w:t>刘</w:t>
            </w:r>
            <w:r>
              <w:t>星耀小学</w:t>
            </w:r>
          </w:p>
        </w:tc>
        <w:tc>
          <w:tcPr>
            <w:tcW w:w="1520" w:type="dxa"/>
            <w:vAlign w:val="center"/>
          </w:tcPr>
          <w:p>
            <w:pPr>
              <w:pStyle w:val="43"/>
              <w:rPr>
                <w:szCs w:val="21"/>
              </w:rPr>
            </w:pPr>
            <w:r>
              <w:rPr>
                <w:rFonts w:hint="eastAsia"/>
                <w:szCs w:val="21"/>
              </w:rPr>
              <w:t>53</w:t>
            </w:r>
          </w:p>
        </w:tc>
        <w:tc>
          <w:tcPr>
            <w:tcW w:w="1368" w:type="dxa"/>
            <w:vAlign w:val="center"/>
          </w:tcPr>
          <w:p>
            <w:pPr>
              <w:pStyle w:val="43"/>
              <w:rPr>
                <w:szCs w:val="21"/>
              </w:rPr>
            </w:pPr>
            <w:r>
              <w:rPr>
                <w:rFonts w:hint="eastAsia"/>
                <w:szCs w:val="21"/>
              </w:rPr>
              <w:t>41</w:t>
            </w:r>
          </w:p>
        </w:tc>
        <w:tc>
          <w:tcPr>
            <w:tcW w:w="1464" w:type="dxa"/>
            <w:vAlign w:val="center"/>
          </w:tcPr>
          <w:p>
            <w:pPr>
              <w:pStyle w:val="43"/>
              <w:rPr>
                <w:szCs w:val="21"/>
              </w:rPr>
            </w:pPr>
            <w:r>
              <w:rPr>
                <w:rFonts w:hint="eastAsia"/>
                <w:szCs w:val="21"/>
              </w:rPr>
              <w:t>52</w:t>
            </w:r>
          </w:p>
        </w:tc>
        <w:tc>
          <w:tcPr>
            <w:tcW w:w="1345" w:type="dxa"/>
            <w:vAlign w:val="center"/>
          </w:tcPr>
          <w:p>
            <w:pPr>
              <w:pStyle w:val="43"/>
              <w:rPr>
                <w:szCs w:val="21"/>
              </w:rPr>
            </w:pPr>
            <w:r>
              <w:rPr>
                <w:rFonts w:hint="eastAsia"/>
                <w:szCs w:val="21"/>
              </w:rPr>
              <w:t>42</w:t>
            </w:r>
          </w:p>
        </w:tc>
      </w:tr>
    </w:tbl>
    <w:p>
      <w:pPr>
        <w:pStyle w:val="40"/>
        <w:ind w:firstLine="480"/>
      </w:pPr>
      <w:r>
        <w:t>由表5.2-6可见，项目所在区域声环境现状良好，厂界四周和敏感点</w:t>
      </w:r>
      <w:r>
        <w:rPr>
          <w:rFonts w:hint="eastAsia"/>
        </w:rPr>
        <w:t>越南村</w:t>
      </w:r>
      <w:r>
        <w:t>、刘星耀小学昼间、夜间监测值均满足《声环境质量标准》中2类标准要求，周围声环境质量较好。</w:t>
      </w:r>
    </w:p>
    <w:p>
      <w:pPr>
        <w:rPr>
          <w:highlight w:val="yellow"/>
        </w:rPr>
        <w:sectPr>
          <w:headerReference r:id="rId36" w:type="default"/>
          <w:footerReference r:id="rId38" w:type="default"/>
          <w:headerReference r:id="rId37" w:type="even"/>
          <w:footerReference r:id="rId39" w:type="even"/>
          <w:pgSz w:w="11906" w:h="16838"/>
          <w:pgMar w:top="1418" w:right="1418" w:bottom="1418" w:left="1588" w:header="851" w:footer="992" w:gutter="0"/>
          <w:pgNumType w:fmt="numberInDash"/>
          <w:cols w:space="425" w:num="1"/>
          <w:docGrid w:type="linesAndChars" w:linePitch="312" w:charSpace="0"/>
        </w:sectPr>
      </w:pPr>
    </w:p>
    <w:p>
      <w:pPr>
        <w:pStyle w:val="2"/>
      </w:pPr>
      <w:bookmarkStart w:id="43" w:name="_Toc113260431"/>
      <w:r>
        <w:rPr>
          <w:rFonts w:hint="eastAsia"/>
        </w:rPr>
        <w:t>环境</w:t>
      </w:r>
      <w:r>
        <w:t>影响预测</w:t>
      </w:r>
      <w:r>
        <w:rPr>
          <w:rFonts w:hint="eastAsia"/>
        </w:rPr>
        <w:t>与</w:t>
      </w:r>
      <w:r>
        <w:t>评价</w:t>
      </w:r>
      <w:bookmarkEnd w:id="43"/>
    </w:p>
    <w:p>
      <w:pPr>
        <w:pStyle w:val="3"/>
        <w:adjustRightInd w:val="0"/>
        <w:snapToGrid w:val="0"/>
      </w:pPr>
      <w:bookmarkStart w:id="44" w:name="_Toc488102172"/>
      <w:bookmarkStart w:id="45" w:name="_Toc40184310"/>
      <w:bookmarkStart w:id="46" w:name="_Toc113260432"/>
      <w:r>
        <w:rPr>
          <w:rFonts w:hint="eastAsia"/>
        </w:rPr>
        <w:t>施工期环境影响分析</w:t>
      </w:r>
      <w:bookmarkEnd w:id="44"/>
      <w:bookmarkEnd w:id="45"/>
      <w:bookmarkEnd w:id="46"/>
    </w:p>
    <w:p>
      <w:pPr>
        <w:pStyle w:val="40"/>
        <w:adjustRightInd w:val="0"/>
        <w:snapToGrid w:val="0"/>
        <w:ind w:firstLine="480"/>
      </w:pPr>
      <w:r>
        <w:t>本项目属新建工程，施工期的工程内容可分为两类，一类是土建工程，另一类是电气、给排水等安装工程。土建工程包括</w:t>
      </w:r>
      <w:r>
        <w:rPr>
          <w:rFonts w:hint="eastAsia"/>
        </w:rPr>
        <w:t>医疗综合楼、发热门诊楼、后勤辅助楼、液氧站等</w:t>
      </w:r>
      <w:r>
        <w:t>建筑。安装工程包括设备安装、电缆安装和给排水管网等安装。</w:t>
      </w:r>
    </w:p>
    <w:p>
      <w:pPr>
        <w:pStyle w:val="40"/>
        <w:adjustRightInd w:val="0"/>
        <w:snapToGrid w:val="0"/>
        <w:ind w:firstLine="480"/>
      </w:pPr>
      <w:r>
        <w:rPr>
          <w:rFonts w:hint="eastAsia"/>
        </w:rPr>
        <w:t>项目施工期影响主要包括施工扬尘、施工机械及车辆废气，施工机械、运输物料车辆噪声影响、施工固体废物和施工废水等对周围环境的影响。</w:t>
      </w:r>
    </w:p>
    <w:p>
      <w:pPr>
        <w:pStyle w:val="4"/>
        <w:adjustRightInd w:val="0"/>
        <w:snapToGrid w:val="0"/>
      </w:pPr>
      <w:bookmarkStart w:id="47" w:name="_Toc28082"/>
      <w:r>
        <w:t>施工期环境空气影响分析</w:t>
      </w:r>
      <w:bookmarkEnd w:id="47"/>
    </w:p>
    <w:p>
      <w:pPr>
        <w:pStyle w:val="40"/>
        <w:adjustRightInd w:val="0"/>
        <w:snapToGrid w:val="0"/>
        <w:ind w:firstLine="480"/>
        <w:rPr>
          <w:bCs/>
          <w:highlight w:val="yellow"/>
        </w:rPr>
      </w:pPr>
      <w:r>
        <w:rPr>
          <w:rFonts w:hint="eastAsia"/>
        </w:rPr>
        <w:t>施工期对大气环境的影响主要为综合楼、</w:t>
      </w:r>
      <w:r>
        <w:t>污水处理</w:t>
      </w:r>
      <w:r>
        <w:rPr>
          <w:rFonts w:hint="eastAsia"/>
        </w:rPr>
        <w:t>站</w:t>
      </w:r>
      <w:r>
        <w:t>建设过程中</w:t>
      </w:r>
      <w:r>
        <w:rPr>
          <w:rFonts w:hint="eastAsia"/>
        </w:rPr>
        <w:t>地基开挖，装运土石方和建筑材料搬运、堆放产生的扬尘和运输车辆及施工机械排放的废气。污染大气的主要因子是</w:t>
      </w:r>
      <w:r>
        <w:t>CO</w:t>
      </w:r>
      <w:r>
        <w:rPr>
          <w:rFonts w:hint="eastAsia"/>
        </w:rPr>
        <w:t>、</w:t>
      </w:r>
      <w:r>
        <w:t>SO</w:t>
      </w:r>
      <w:r>
        <w:rPr>
          <w:vertAlign w:val="subscript"/>
        </w:rPr>
        <w:t>2</w:t>
      </w:r>
      <w:r>
        <w:rPr>
          <w:rFonts w:hint="eastAsia"/>
        </w:rPr>
        <w:t>和扬尘，尤其扬尘污染最为严重。扬尘的排放与施工场地的面积和施工活动频率成正比，与土壤的泥沙颗粒含量成正比，同时与当地气象条件如风速、湿度、日照等有很大关系。</w:t>
      </w:r>
      <w:r>
        <w:rPr>
          <w:rFonts w:hint="eastAsia"/>
          <w:bCs/>
        </w:rPr>
        <w:t>现场调查可知，项目四周</w:t>
      </w:r>
      <w:r>
        <w:rPr>
          <w:bCs/>
        </w:rPr>
        <w:t>厂界</w:t>
      </w:r>
      <w:r>
        <w:rPr>
          <w:rFonts w:hint="eastAsia"/>
          <w:bCs/>
        </w:rPr>
        <w:t>距离最近</w:t>
      </w:r>
      <w:r>
        <w:rPr>
          <w:bCs/>
        </w:rPr>
        <w:t>为</w:t>
      </w:r>
      <w:r>
        <w:rPr>
          <w:rFonts w:hint="eastAsia"/>
          <w:bCs/>
        </w:rPr>
        <w:t>南侧的</w:t>
      </w:r>
      <w:r>
        <w:rPr>
          <w:bCs/>
        </w:rPr>
        <w:t>越南村</w:t>
      </w:r>
      <w:r>
        <w:rPr>
          <w:rFonts w:hint="eastAsia"/>
          <w:bCs/>
        </w:rPr>
        <w:t>。</w:t>
      </w:r>
    </w:p>
    <w:p>
      <w:pPr>
        <w:pStyle w:val="40"/>
        <w:ind w:firstLine="482"/>
        <w:rPr>
          <w:b/>
        </w:rPr>
      </w:pPr>
      <w:r>
        <w:rPr>
          <w:rFonts w:hint="eastAsia"/>
          <w:b/>
        </w:rPr>
        <w:t>1、施工</w:t>
      </w:r>
      <w:r>
        <w:rPr>
          <w:b/>
        </w:rPr>
        <w:t>扬尘</w:t>
      </w:r>
    </w:p>
    <w:p>
      <w:pPr>
        <w:pStyle w:val="40"/>
        <w:ind w:firstLine="480"/>
      </w:pPr>
      <w:r>
        <w:rPr>
          <w:rFonts w:hint="eastAsia"/>
        </w:rPr>
        <w:t>（</w:t>
      </w:r>
      <w:r>
        <w:t>1</w:t>
      </w:r>
      <w:r>
        <w:rPr>
          <w:rFonts w:hint="eastAsia"/>
        </w:rPr>
        <w:t>）扬尘来源</w:t>
      </w:r>
    </w:p>
    <w:p>
      <w:pPr>
        <w:pStyle w:val="40"/>
        <w:ind w:firstLine="480"/>
      </w:pPr>
      <w:r>
        <w:rPr>
          <w:rFonts w:hint="eastAsia"/>
        </w:rPr>
        <w:t>本项目医疗综合楼</w:t>
      </w:r>
      <w:r>
        <w:t>、</w:t>
      </w:r>
      <w:r>
        <w:rPr>
          <w:rFonts w:hint="eastAsia"/>
        </w:rPr>
        <w:t>发热</w:t>
      </w:r>
      <w:r>
        <w:t>门诊楼、后勤辅助楼、</w:t>
      </w:r>
      <w:r>
        <w:rPr>
          <w:rFonts w:hint="eastAsia"/>
        </w:rPr>
        <w:t>液氧站</w:t>
      </w:r>
      <w:r>
        <w:t>等建设过程中</w:t>
      </w:r>
      <w:r>
        <w:rPr>
          <w:rFonts w:hint="eastAsia"/>
        </w:rPr>
        <w:t>场地平整、基础开挖，材料及设备运输车辆产生扬尘。施工扬尘是施工作业中重要的污染源，其造成环境污染的程度和范围随施工季节、施工管理水平不同而差别很大。</w:t>
      </w:r>
    </w:p>
    <w:p>
      <w:pPr>
        <w:pStyle w:val="40"/>
        <w:ind w:firstLine="480"/>
      </w:pPr>
      <w:r>
        <w:rPr>
          <w:rFonts w:hint="eastAsia"/>
        </w:rPr>
        <w:t>（</w:t>
      </w:r>
      <w:r>
        <w:t>2</w:t>
      </w:r>
      <w:r>
        <w:rPr>
          <w:rFonts w:hint="eastAsia"/>
        </w:rPr>
        <w:t>）扬尘影响分析</w:t>
      </w:r>
    </w:p>
    <w:p>
      <w:pPr>
        <w:pStyle w:val="40"/>
        <w:ind w:firstLine="480"/>
      </w:pPr>
      <w:r>
        <w:rPr>
          <w:rFonts w:hint="eastAsia"/>
        </w:rPr>
        <w:t>①裸露地面扬尘及堆场扬尘</w:t>
      </w:r>
    </w:p>
    <w:p>
      <w:pPr>
        <w:pStyle w:val="40"/>
        <w:ind w:firstLine="480"/>
      </w:pPr>
      <w:r>
        <w:rPr>
          <w:rFonts w:hint="eastAsia"/>
        </w:rPr>
        <w:t>项目施工期间整地、挖填土等会形成裸露地面，使各种沉降在地表上气溶胶粒子等成为扬尘天然来源，在进行施工时极易形成扬尘颗粒物并进入大气环境中，对周围环境空气质量造成影响。</w:t>
      </w:r>
    </w:p>
    <w:p>
      <w:pPr>
        <w:pStyle w:val="40"/>
        <w:ind w:firstLine="480"/>
      </w:pPr>
      <w:r>
        <w:rPr>
          <w:rFonts w:hint="eastAsia"/>
        </w:rPr>
        <w:t>施工期扬尘的另一个主要原因是露天堆场。由于施工的需要，一些建材需露天堆放，堆场起尘的经验计算公式为：</w:t>
      </w:r>
    </w:p>
    <w:p>
      <w:pPr>
        <w:jc w:val="center"/>
      </w:pPr>
      <w:r>
        <w:object>
          <v:shape id="_x0000_i1029" o:spt="75" type="#_x0000_t75" style="height:22.1pt;width:129.75pt;" o:ole="t" filled="f" o:preferrelative="t" stroked="f" coordsize="21600,21600">
            <v:path/>
            <v:fill on="f" focussize="0,0"/>
            <v:stroke on="f" joinstyle="miter"/>
            <v:imagedata r:id="rId78" o:title=""/>
            <o:lock v:ext="edit" aspectratio="t"/>
            <w10:wrap type="none"/>
            <w10:anchorlock/>
          </v:shape>
          <o:OLEObject Type="Embed" ProgID="Equation.3" ShapeID="_x0000_i1029" DrawAspect="Content" ObjectID="_1468075729" r:id="rId77">
            <o:LockedField>false</o:LockedField>
          </o:OLEObject>
        </w:object>
      </w:r>
    </w:p>
    <w:p>
      <w:pPr>
        <w:pStyle w:val="40"/>
        <w:ind w:firstLine="480"/>
      </w:pPr>
      <w:r>
        <w:rPr>
          <w:rFonts w:hint="eastAsia"/>
        </w:rPr>
        <w:t>其中：</w:t>
      </w:r>
      <w:r>
        <w:t>Q——</w:t>
      </w:r>
      <w:r>
        <w:rPr>
          <w:rFonts w:hint="eastAsia"/>
        </w:rPr>
        <w:t>起尘量，</w:t>
      </w:r>
      <w:r>
        <w:t>kg/t·a</w:t>
      </w:r>
      <w:r>
        <w:rPr>
          <w:rFonts w:hint="eastAsia"/>
        </w:rPr>
        <w:t>；</w:t>
      </w:r>
      <w:r>
        <w:t xml:space="preserve">   </w:t>
      </w:r>
    </w:p>
    <w:p>
      <w:pPr>
        <w:pStyle w:val="40"/>
        <w:ind w:firstLine="480"/>
      </w:pPr>
      <w:r>
        <w:t>V</w:t>
      </w:r>
      <w:r>
        <w:rPr>
          <w:vertAlign w:val="subscript"/>
        </w:rPr>
        <w:t>50</w:t>
      </w:r>
      <w:r>
        <w:t>——</w:t>
      </w:r>
      <w:r>
        <w:rPr>
          <w:rFonts w:hint="eastAsia"/>
        </w:rPr>
        <w:t>距地面</w:t>
      </w:r>
      <w:r>
        <w:t>50m</w:t>
      </w:r>
      <w:r>
        <w:rPr>
          <w:rFonts w:hint="eastAsia"/>
        </w:rPr>
        <w:t>处风速，</w:t>
      </w:r>
      <w:r>
        <w:t>m/s</w:t>
      </w:r>
      <w:r>
        <w:rPr>
          <w:rFonts w:hint="eastAsia"/>
        </w:rPr>
        <w:t>；</w:t>
      </w:r>
    </w:p>
    <w:p>
      <w:pPr>
        <w:pStyle w:val="40"/>
        <w:ind w:firstLine="480"/>
      </w:pPr>
      <w:r>
        <w:t>V</w:t>
      </w:r>
      <w:r>
        <w:rPr>
          <w:vertAlign w:val="subscript"/>
        </w:rPr>
        <w:t>0</w:t>
      </w:r>
      <w:r>
        <w:t>——</w:t>
      </w:r>
      <w:r>
        <w:rPr>
          <w:rFonts w:hint="eastAsia"/>
        </w:rPr>
        <w:t>起尘</w:t>
      </w:r>
      <w:bookmarkStart w:id="48" w:name="_Hlt9132753"/>
      <w:bookmarkEnd w:id="48"/>
      <w:r>
        <w:rPr>
          <w:rFonts w:hint="eastAsia"/>
        </w:rPr>
        <w:t>风速，</w:t>
      </w:r>
      <w:r>
        <w:t>m/s</w:t>
      </w:r>
      <w:r>
        <w:rPr>
          <w:rFonts w:hint="eastAsia"/>
        </w:rPr>
        <w:t>；</w:t>
      </w:r>
      <w:r>
        <w:t xml:space="preserve">          </w:t>
      </w:r>
    </w:p>
    <w:p>
      <w:pPr>
        <w:pStyle w:val="40"/>
        <w:ind w:firstLine="480"/>
      </w:pPr>
      <w:r>
        <w:t>W——</w:t>
      </w:r>
      <w:r>
        <w:rPr>
          <w:rFonts w:hint="eastAsia"/>
        </w:rPr>
        <w:t>尘粒的含水率，</w:t>
      </w:r>
      <w:r>
        <w:t>%</w:t>
      </w:r>
      <w:r>
        <w:rPr>
          <w:rFonts w:hint="eastAsia"/>
        </w:rPr>
        <w:t>。</w:t>
      </w:r>
    </w:p>
    <w:p>
      <w:pPr>
        <w:pStyle w:val="40"/>
        <w:ind w:firstLine="480"/>
      </w:pPr>
      <w:r>
        <w:rPr>
          <w:rFonts w:hint="eastAsia"/>
        </w:rPr>
        <w:t>尘粒在空气中的传播扩散情况与风速等气象条件有关，也与尘粒本身的沉降速度有关。不同粒径的尘粒的沉降速度见</w:t>
      </w:r>
      <w:r>
        <w:fldChar w:fldCharType="begin"/>
      </w:r>
      <w:r>
        <w:instrText xml:space="preserve"> REF _Ref25679353 \h  \* MERGEFORMAT </w:instrText>
      </w:r>
      <w:r>
        <w:fldChar w:fldCharType="separate"/>
      </w:r>
      <w:r>
        <w:rPr>
          <w:rFonts w:hint="eastAsia"/>
        </w:rPr>
        <w:t>表</w:t>
      </w:r>
      <w:r>
        <w:t>6.1</w:t>
      </w:r>
      <w:r>
        <w:noBreakHyphen/>
      </w:r>
      <w:r>
        <w:t>1</w:t>
      </w:r>
      <w:r>
        <w:fldChar w:fldCharType="end"/>
      </w:r>
      <w:r>
        <w:rPr>
          <w:rFonts w:hint="eastAsia"/>
        </w:rPr>
        <w:t>。</w:t>
      </w:r>
    </w:p>
    <w:p>
      <w:pPr>
        <w:pStyle w:val="22"/>
        <w:rPr>
          <w:szCs w:val="20"/>
        </w:rPr>
      </w:pPr>
      <w:bookmarkStart w:id="49" w:name="_Ref25679353"/>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bookmarkEnd w:id="49"/>
      <w:r>
        <w:rPr>
          <w:lang w:val="zh-CN" w:eastAsia="zh-CN"/>
        </w:rPr>
        <w:t xml:space="preserve">  </w:t>
      </w:r>
      <w:r>
        <w:rPr>
          <w:rFonts w:hint="eastAsia"/>
          <w:lang w:val="zh-CN" w:eastAsia="zh-CN"/>
        </w:rPr>
        <w:t>不同粒径尘粒的沉降速度</w:t>
      </w:r>
    </w:p>
    <w:tbl>
      <w:tblPr>
        <w:tblStyle w:val="25"/>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9"/>
        <w:gridCol w:w="1058"/>
        <w:gridCol w:w="983"/>
        <w:gridCol w:w="867"/>
        <w:gridCol w:w="867"/>
        <w:gridCol w:w="867"/>
        <w:gridCol w:w="925"/>
        <w:gridCol w:w="1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12" w:space="0"/>
              <w:left w:val="single" w:color="auto" w:sz="12" w:space="0"/>
              <w:bottom w:val="single" w:color="auto" w:sz="6" w:space="0"/>
              <w:right w:val="single" w:color="auto" w:sz="6" w:space="0"/>
            </w:tcBorders>
            <w:vAlign w:val="center"/>
          </w:tcPr>
          <w:p>
            <w:pPr>
              <w:pStyle w:val="47"/>
              <w:rPr>
                <w:rFonts w:hAnsi="Times New Roman"/>
              </w:rPr>
            </w:pPr>
            <w:r>
              <w:rPr>
                <w:rFonts w:hAnsi="Times New Roman"/>
              </w:rPr>
              <w:t>粒径，μm</w:t>
            </w:r>
          </w:p>
        </w:tc>
        <w:tc>
          <w:tcPr>
            <w:tcW w:w="1058"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10</w:t>
            </w:r>
          </w:p>
        </w:tc>
        <w:tc>
          <w:tcPr>
            <w:tcW w:w="983"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20</w:t>
            </w:r>
          </w:p>
        </w:tc>
        <w:tc>
          <w:tcPr>
            <w:tcW w:w="867"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30</w:t>
            </w:r>
          </w:p>
        </w:tc>
        <w:tc>
          <w:tcPr>
            <w:tcW w:w="867"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40</w:t>
            </w:r>
          </w:p>
        </w:tc>
        <w:tc>
          <w:tcPr>
            <w:tcW w:w="867"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50</w:t>
            </w:r>
          </w:p>
        </w:tc>
        <w:tc>
          <w:tcPr>
            <w:tcW w:w="925" w:type="dxa"/>
            <w:tcBorders>
              <w:top w:val="single" w:color="auto" w:sz="12"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60</w:t>
            </w:r>
          </w:p>
        </w:tc>
        <w:tc>
          <w:tcPr>
            <w:tcW w:w="1010" w:type="dxa"/>
            <w:tcBorders>
              <w:top w:val="single" w:color="auto" w:sz="12" w:space="0"/>
              <w:left w:val="single" w:color="auto" w:sz="6" w:space="0"/>
              <w:bottom w:val="single" w:color="auto" w:sz="6" w:space="0"/>
              <w:right w:val="single" w:color="auto" w:sz="12" w:space="0"/>
            </w:tcBorders>
            <w:vAlign w:val="center"/>
          </w:tcPr>
          <w:p>
            <w:pPr>
              <w:pStyle w:val="47"/>
              <w:rPr>
                <w:rFonts w:hAnsi="Times New Roman"/>
              </w:rPr>
            </w:pPr>
            <w:r>
              <w:rPr>
                <w:rFonts w:hAnsi="Times New Roman"/>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6" w:space="0"/>
              <w:left w:val="single" w:color="auto" w:sz="12" w:space="0"/>
              <w:bottom w:val="single" w:color="auto" w:sz="6" w:space="0"/>
              <w:right w:val="single" w:color="auto" w:sz="6" w:space="0"/>
            </w:tcBorders>
            <w:vAlign w:val="center"/>
          </w:tcPr>
          <w:p>
            <w:pPr>
              <w:pStyle w:val="47"/>
              <w:rPr>
                <w:rFonts w:hAnsi="Times New Roman"/>
              </w:rPr>
            </w:pPr>
            <w:r>
              <w:rPr>
                <w:rFonts w:hAnsi="Times New Roman"/>
              </w:rPr>
              <w:t>沉降速度，m/s</w:t>
            </w:r>
          </w:p>
        </w:tc>
        <w:tc>
          <w:tcPr>
            <w:tcW w:w="1058"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0.003</w:t>
            </w:r>
          </w:p>
        </w:tc>
        <w:tc>
          <w:tcPr>
            <w:tcW w:w="983"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0.012</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0.027</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0.048</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0.075</w:t>
            </w:r>
          </w:p>
        </w:tc>
        <w:tc>
          <w:tcPr>
            <w:tcW w:w="925"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0.108</w:t>
            </w:r>
          </w:p>
        </w:tc>
        <w:tc>
          <w:tcPr>
            <w:tcW w:w="1010" w:type="dxa"/>
            <w:tcBorders>
              <w:top w:val="single" w:color="auto" w:sz="6" w:space="0"/>
              <w:left w:val="single" w:color="auto" w:sz="6" w:space="0"/>
              <w:bottom w:val="single" w:color="auto" w:sz="6" w:space="0"/>
              <w:right w:val="single" w:color="auto" w:sz="12" w:space="0"/>
            </w:tcBorders>
            <w:vAlign w:val="center"/>
          </w:tcPr>
          <w:p>
            <w:pPr>
              <w:pStyle w:val="47"/>
              <w:rPr>
                <w:rFonts w:hAnsi="Times New Roman"/>
              </w:rPr>
            </w:pPr>
            <w:r>
              <w:rPr>
                <w:rFonts w:hAnsi="Times New Roman"/>
              </w:rPr>
              <w:t>0.147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6" w:space="0"/>
              <w:left w:val="single" w:color="auto" w:sz="12" w:space="0"/>
              <w:bottom w:val="single" w:color="auto" w:sz="6" w:space="0"/>
              <w:right w:val="single" w:color="auto" w:sz="6" w:space="0"/>
            </w:tcBorders>
            <w:vAlign w:val="center"/>
          </w:tcPr>
          <w:p>
            <w:pPr>
              <w:pStyle w:val="47"/>
              <w:rPr>
                <w:rFonts w:hAnsi="Times New Roman"/>
              </w:rPr>
            </w:pPr>
            <w:r>
              <w:rPr>
                <w:rFonts w:hAnsi="Times New Roman"/>
              </w:rPr>
              <w:t>粒径，μm</w:t>
            </w:r>
          </w:p>
        </w:tc>
        <w:tc>
          <w:tcPr>
            <w:tcW w:w="1058"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80</w:t>
            </w:r>
          </w:p>
        </w:tc>
        <w:tc>
          <w:tcPr>
            <w:tcW w:w="983"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90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100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150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200</w:t>
            </w:r>
          </w:p>
        </w:tc>
        <w:tc>
          <w:tcPr>
            <w:tcW w:w="925"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250</w:t>
            </w:r>
          </w:p>
        </w:tc>
        <w:tc>
          <w:tcPr>
            <w:tcW w:w="1010" w:type="dxa"/>
            <w:tcBorders>
              <w:top w:val="single" w:color="auto" w:sz="6" w:space="0"/>
              <w:left w:val="single" w:color="auto" w:sz="6" w:space="0"/>
              <w:bottom w:val="single" w:color="auto" w:sz="6" w:space="0"/>
              <w:right w:val="single" w:color="auto" w:sz="12" w:space="0"/>
            </w:tcBorders>
            <w:vAlign w:val="center"/>
          </w:tcPr>
          <w:p>
            <w:pPr>
              <w:pStyle w:val="47"/>
              <w:rPr>
                <w:rFonts w:hAnsi="Times New Roman"/>
              </w:rPr>
            </w:pPr>
            <w:r>
              <w:rPr>
                <w:rFonts w:hAnsi="Times New Roman"/>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6" w:space="0"/>
              <w:left w:val="single" w:color="auto" w:sz="12" w:space="0"/>
              <w:bottom w:val="single" w:color="auto" w:sz="6" w:space="0"/>
              <w:right w:val="single" w:color="auto" w:sz="6" w:space="0"/>
            </w:tcBorders>
            <w:vAlign w:val="center"/>
          </w:tcPr>
          <w:p>
            <w:pPr>
              <w:pStyle w:val="47"/>
              <w:rPr>
                <w:rFonts w:hAnsi="Times New Roman"/>
              </w:rPr>
            </w:pPr>
            <w:r>
              <w:rPr>
                <w:rFonts w:hAnsi="Times New Roman"/>
              </w:rPr>
              <w:t>沉降速度，m/s</w:t>
            </w:r>
          </w:p>
        </w:tc>
        <w:tc>
          <w:tcPr>
            <w:tcW w:w="1058"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0.158</w:t>
            </w:r>
          </w:p>
        </w:tc>
        <w:tc>
          <w:tcPr>
            <w:tcW w:w="983"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0.170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0.182</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0.239</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0.804</w:t>
            </w:r>
          </w:p>
        </w:tc>
        <w:tc>
          <w:tcPr>
            <w:tcW w:w="925"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1.005</w:t>
            </w:r>
          </w:p>
        </w:tc>
        <w:tc>
          <w:tcPr>
            <w:tcW w:w="1010" w:type="dxa"/>
            <w:tcBorders>
              <w:top w:val="single" w:color="auto" w:sz="6" w:space="0"/>
              <w:left w:val="single" w:color="auto" w:sz="6" w:space="0"/>
              <w:bottom w:val="single" w:color="auto" w:sz="6" w:space="0"/>
              <w:right w:val="single" w:color="auto" w:sz="12" w:space="0"/>
            </w:tcBorders>
            <w:vAlign w:val="center"/>
          </w:tcPr>
          <w:p>
            <w:pPr>
              <w:pStyle w:val="47"/>
              <w:rPr>
                <w:rFonts w:hAnsi="Times New Roman"/>
              </w:rPr>
            </w:pPr>
            <w:r>
              <w:rPr>
                <w:rFonts w:hAnsi="Times New Roman"/>
              </w:rPr>
              <w:t>1.829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6" w:space="0"/>
              <w:left w:val="single" w:color="auto" w:sz="12" w:space="0"/>
              <w:bottom w:val="single" w:color="auto" w:sz="6" w:space="0"/>
              <w:right w:val="single" w:color="auto" w:sz="6" w:space="0"/>
            </w:tcBorders>
            <w:vAlign w:val="center"/>
          </w:tcPr>
          <w:p>
            <w:pPr>
              <w:pStyle w:val="47"/>
              <w:rPr>
                <w:rFonts w:hAnsi="Times New Roman"/>
              </w:rPr>
            </w:pPr>
            <w:r>
              <w:rPr>
                <w:rFonts w:hAnsi="Times New Roman"/>
              </w:rPr>
              <w:t>粒径，μm</w:t>
            </w:r>
          </w:p>
        </w:tc>
        <w:tc>
          <w:tcPr>
            <w:tcW w:w="1058"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450</w:t>
            </w:r>
          </w:p>
        </w:tc>
        <w:tc>
          <w:tcPr>
            <w:tcW w:w="983"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550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650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750</w:t>
            </w:r>
          </w:p>
        </w:tc>
        <w:tc>
          <w:tcPr>
            <w:tcW w:w="867"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850</w:t>
            </w:r>
          </w:p>
        </w:tc>
        <w:tc>
          <w:tcPr>
            <w:tcW w:w="925" w:type="dxa"/>
            <w:tcBorders>
              <w:top w:val="single" w:color="auto" w:sz="6" w:space="0"/>
              <w:left w:val="single" w:color="auto" w:sz="6" w:space="0"/>
              <w:bottom w:val="single" w:color="auto" w:sz="6" w:space="0"/>
              <w:right w:val="single" w:color="auto" w:sz="6" w:space="0"/>
            </w:tcBorders>
            <w:vAlign w:val="center"/>
          </w:tcPr>
          <w:p>
            <w:pPr>
              <w:pStyle w:val="47"/>
              <w:rPr>
                <w:rFonts w:hAnsi="Times New Roman"/>
              </w:rPr>
            </w:pPr>
            <w:r>
              <w:rPr>
                <w:rFonts w:hAnsi="Times New Roman"/>
              </w:rPr>
              <w:t>950</w:t>
            </w:r>
          </w:p>
        </w:tc>
        <w:tc>
          <w:tcPr>
            <w:tcW w:w="1010" w:type="dxa"/>
            <w:tcBorders>
              <w:top w:val="single" w:color="auto" w:sz="6" w:space="0"/>
              <w:left w:val="single" w:color="auto" w:sz="6" w:space="0"/>
              <w:bottom w:val="single" w:color="auto" w:sz="6" w:space="0"/>
              <w:right w:val="single" w:color="auto" w:sz="12" w:space="0"/>
            </w:tcBorders>
            <w:vAlign w:val="center"/>
          </w:tcPr>
          <w:p>
            <w:pPr>
              <w:pStyle w:val="47"/>
              <w:rPr>
                <w:rFonts w:hAnsi="Times New Roman"/>
              </w:rPr>
            </w:pPr>
            <w:r>
              <w:rPr>
                <w:rFonts w:hAnsi="Times New Roman"/>
              </w:rPr>
              <w:t>1050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99" w:type="dxa"/>
            <w:tcBorders>
              <w:top w:val="single" w:color="auto" w:sz="6" w:space="0"/>
              <w:left w:val="single" w:color="auto" w:sz="12" w:space="0"/>
              <w:bottom w:val="single" w:color="auto" w:sz="12" w:space="0"/>
              <w:right w:val="single" w:color="auto" w:sz="6" w:space="0"/>
            </w:tcBorders>
            <w:vAlign w:val="center"/>
          </w:tcPr>
          <w:p>
            <w:pPr>
              <w:pStyle w:val="47"/>
              <w:rPr>
                <w:rFonts w:hAnsi="Times New Roman"/>
              </w:rPr>
            </w:pPr>
            <w:r>
              <w:rPr>
                <w:rFonts w:hAnsi="Times New Roman"/>
              </w:rPr>
              <w:t>沉降速度，m/s</w:t>
            </w:r>
          </w:p>
        </w:tc>
        <w:tc>
          <w:tcPr>
            <w:tcW w:w="1058"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2.211</w:t>
            </w:r>
          </w:p>
        </w:tc>
        <w:tc>
          <w:tcPr>
            <w:tcW w:w="983"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2.614</w:t>
            </w:r>
          </w:p>
        </w:tc>
        <w:tc>
          <w:tcPr>
            <w:tcW w:w="867"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3.016</w:t>
            </w:r>
          </w:p>
        </w:tc>
        <w:tc>
          <w:tcPr>
            <w:tcW w:w="867"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3.418</w:t>
            </w:r>
          </w:p>
        </w:tc>
        <w:tc>
          <w:tcPr>
            <w:tcW w:w="867"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3.820</w:t>
            </w:r>
          </w:p>
        </w:tc>
        <w:tc>
          <w:tcPr>
            <w:tcW w:w="925" w:type="dxa"/>
            <w:tcBorders>
              <w:top w:val="single" w:color="auto" w:sz="6" w:space="0"/>
              <w:left w:val="single" w:color="auto" w:sz="6" w:space="0"/>
              <w:bottom w:val="single" w:color="auto" w:sz="12" w:space="0"/>
              <w:right w:val="single" w:color="auto" w:sz="6" w:space="0"/>
            </w:tcBorders>
            <w:vAlign w:val="center"/>
          </w:tcPr>
          <w:p>
            <w:pPr>
              <w:pStyle w:val="47"/>
              <w:rPr>
                <w:rFonts w:hAnsi="Times New Roman"/>
              </w:rPr>
            </w:pPr>
            <w:r>
              <w:rPr>
                <w:rFonts w:hAnsi="Times New Roman"/>
              </w:rPr>
              <w:t>4.222</w:t>
            </w:r>
          </w:p>
        </w:tc>
        <w:tc>
          <w:tcPr>
            <w:tcW w:w="1010" w:type="dxa"/>
            <w:tcBorders>
              <w:top w:val="single" w:color="auto" w:sz="6" w:space="0"/>
              <w:left w:val="single" w:color="auto" w:sz="6" w:space="0"/>
              <w:bottom w:val="single" w:color="auto" w:sz="12" w:space="0"/>
              <w:right w:val="single" w:color="auto" w:sz="12" w:space="0"/>
            </w:tcBorders>
            <w:vAlign w:val="center"/>
          </w:tcPr>
          <w:p>
            <w:pPr>
              <w:pStyle w:val="47"/>
              <w:rPr>
                <w:rFonts w:hAnsi="Times New Roman"/>
              </w:rPr>
            </w:pPr>
            <w:r>
              <w:rPr>
                <w:rFonts w:hAnsi="Times New Roman"/>
              </w:rPr>
              <w:t>4.624</w:t>
            </w:r>
          </w:p>
        </w:tc>
      </w:tr>
    </w:tbl>
    <w:p>
      <w:pPr>
        <w:pStyle w:val="40"/>
        <w:ind w:firstLine="480"/>
      </w:pPr>
      <w:r>
        <w:rPr>
          <w:rFonts w:hint="eastAsia"/>
        </w:rPr>
        <w:t>从</w:t>
      </w:r>
      <w:r>
        <w:fldChar w:fldCharType="begin"/>
      </w:r>
      <w:r>
        <w:instrText xml:space="preserve"> REF _Ref25679353 \h  \* MERGEFORMAT </w:instrText>
      </w:r>
      <w:r>
        <w:fldChar w:fldCharType="separate"/>
      </w:r>
      <w:r>
        <w:rPr>
          <w:rFonts w:hint="eastAsia"/>
        </w:rPr>
        <w:t>表</w:t>
      </w:r>
      <w:r>
        <w:t>6.1</w:t>
      </w:r>
      <w:r>
        <w:noBreakHyphen/>
      </w:r>
      <w:r>
        <w:t>1</w:t>
      </w:r>
      <w:r>
        <w:fldChar w:fldCharType="end"/>
      </w:r>
      <w:r>
        <w:rPr>
          <w:rFonts w:hint="eastAsia"/>
        </w:rPr>
        <w:t>可以看出，尘粒的沉降速度随粒径的增大而迅速增大。当粒径为</w:t>
      </w:r>
      <w:r>
        <w:t>250μm</w:t>
      </w:r>
      <w:r>
        <w:rPr>
          <w:rFonts w:hint="eastAsia"/>
        </w:rPr>
        <w:t>时，沉降速度为</w:t>
      </w:r>
      <w:r>
        <w:t>1.005m/s</w:t>
      </w:r>
      <w:r>
        <w:rPr>
          <w:rFonts w:hint="eastAsia"/>
        </w:rPr>
        <w:t>，因此可以认为当尘粒大于</w:t>
      </w:r>
      <w:r>
        <w:t>250μm</w:t>
      </w:r>
      <w:r>
        <w:rPr>
          <w:rFonts w:hint="eastAsia"/>
        </w:rPr>
        <w:t>时，主要影响范围在扬尘点下风向近距离范围内，而真正对外环境产生影响的是一些微小尘粒。在有风的情况下，施工扬尘会对该区域造成一定的影响。由起尘计算公式可知，</w:t>
      </w:r>
      <w:r>
        <w:t>V</w:t>
      </w:r>
      <w:r>
        <w:rPr>
          <w:vertAlign w:val="subscript"/>
        </w:rPr>
        <w:t>0</w:t>
      </w:r>
      <w:r>
        <w:rPr>
          <w:rFonts w:hint="eastAsia"/>
        </w:rPr>
        <w:t>与粒径和含水率有关，含水率越高，风速越小，起尘量越小。</w:t>
      </w:r>
    </w:p>
    <w:p>
      <w:pPr>
        <w:pStyle w:val="40"/>
        <w:ind w:firstLine="480"/>
        <w:rPr>
          <w:rFonts w:cs="宋体"/>
          <w:kern w:val="0"/>
          <w:szCs w:val="20"/>
        </w:rPr>
      </w:pPr>
      <w:r>
        <w:rPr>
          <w:rFonts w:hint="eastAsia" w:cs="宋体"/>
          <w:kern w:val="0"/>
          <w:szCs w:val="20"/>
        </w:rPr>
        <w:t>②施工建筑扬尘</w:t>
      </w:r>
    </w:p>
    <w:p>
      <w:pPr>
        <w:pStyle w:val="40"/>
        <w:ind w:firstLine="480"/>
      </w:pPr>
      <w:r>
        <w:rPr>
          <w:rFonts w:hint="eastAsia"/>
        </w:rPr>
        <w:t>项目施工场地建筑、堆料及运输抛洒等建筑尘在施工高峰期会不断增多，是造成扬尘污染主要原因之一。施工过程如果环境管理不够完善，进行粗放式施工，现场建筑垃圾、渣土不及时清理、覆盖、洒水灭尘，出入场地运输车辆不及时冲洗、篷布遮盖等，均易产生建筑扬尘。</w:t>
      </w:r>
    </w:p>
    <w:p>
      <w:pPr>
        <w:pStyle w:val="40"/>
        <w:ind w:firstLine="480"/>
      </w:pPr>
      <w:r>
        <w:rPr>
          <w:rFonts w:hint="eastAsia"/>
        </w:rPr>
        <w:t>施工扬尘粒径较大、沉降快，一般影响范围较小。对无组织排放施工扬尘本次环境影响评价采用类比法。从某施工场地实测资料（</w:t>
      </w:r>
      <w:r>
        <w:fldChar w:fldCharType="begin"/>
      </w:r>
      <w:r>
        <w:instrText xml:space="preserve"> REF _Ref25679491 \h  \* MERGEFORMAT </w:instrText>
      </w:r>
      <w:r>
        <w:fldChar w:fldCharType="separate"/>
      </w:r>
      <w:r>
        <w:rPr>
          <w:rFonts w:hint="eastAsia"/>
        </w:rPr>
        <w:t>表</w:t>
      </w:r>
      <w:r>
        <w:t>6.1</w:t>
      </w:r>
      <w:r>
        <w:noBreakHyphen/>
      </w:r>
      <w:r>
        <w:t>2</w:t>
      </w:r>
      <w:r>
        <w:fldChar w:fldCharType="end"/>
      </w:r>
      <w:r>
        <w:rPr>
          <w:rFonts w:hint="eastAsia"/>
        </w:rPr>
        <w:t>）可以看出：</w:t>
      </w:r>
    </w:p>
    <w:p>
      <w:pPr>
        <w:pStyle w:val="22"/>
        <w:rPr>
          <w:szCs w:val="20"/>
        </w:rPr>
      </w:pPr>
      <w:bookmarkStart w:id="50" w:name="_Ref25679491"/>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bookmarkEnd w:id="50"/>
      <w:r>
        <w:t xml:space="preserve">  </w:t>
      </w:r>
      <w:r>
        <w:rPr>
          <w:rFonts w:hint="eastAsia"/>
        </w:rPr>
        <w:t>施工期环境空气中</w:t>
      </w:r>
      <w:r>
        <w:t>TSP</w:t>
      </w:r>
      <w:r>
        <w:rPr>
          <w:rFonts w:hint="eastAsia"/>
        </w:rPr>
        <w:t>监测结果</w:t>
      </w:r>
    </w:p>
    <w:tbl>
      <w:tblPr>
        <w:tblStyle w:val="25"/>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3"/>
        <w:gridCol w:w="1337"/>
        <w:gridCol w:w="1339"/>
        <w:gridCol w:w="1339"/>
        <w:gridCol w:w="1339"/>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83" w:type="dxa"/>
            <w:vMerge w:val="restart"/>
            <w:tcBorders>
              <w:top w:val="single" w:color="auto" w:sz="12" w:space="0"/>
              <w:left w:val="single" w:color="auto" w:sz="12" w:space="0"/>
              <w:bottom w:val="single" w:color="auto" w:sz="4" w:space="0"/>
              <w:right w:val="single" w:color="auto" w:sz="4" w:space="0"/>
            </w:tcBorders>
            <w:vAlign w:val="center"/>
          </w:tcPr>
          <w:p>
            <w:pPr>
              <w:pStyle w:val="47"/>
            </w:pPr>
            <w:r>
              <w:rPr>
                <w:rFonts w:hint="eastAsia"/>
              </w:rPr>
              <w:t>监测点位</w:t>
            </w:r>
          </w:p>
        </w:tc>
        <w:tc>
          <w:tcPr>
            <w:tcW w:w="1337" w:type="dxa"/>
            <w:tcBorders>
              <w:top w:val="single" w:color="auto" w:sz="12" w:space="0"/>
              <w:left w:val="single" w:color="auto" w:sz="4" w:space="0"/>
              <w:bottom w:val="single" w:color="auto" w:sz="4" w:space="0"/>
              <w:right w:val="single" w:color="auto" w:sz="4" w:space="0"/>
            </w:tcBorders>
            <w:vAlign w:val="center"/>
          </w:tcPr>
          <w:p>
            <w:pPr>
              <w:pStyle w:val="47"/>
            </w:pPr>
            <w:r>
              <w:rPr>
                <w:rFonts w:hint="eastAsia"/>
              </w:rPr>
              <w:t>上风向</w:t>
            </w:r>
          </w:p>
        </w:tc>
        <w:tc>
          <w:tcPr>
            <w:tcW w:w="5356" w:type="dxa"/>
            <w:gridSpan w:val="4"/>
            <w:tcBorders>
              <w:top w:val="single" w:color="auto" w:sz="12" w:space="0"/>
              <w:left w:val="single" w:color="auto" w:sz="4" w:space="0"/>
              <w:bottom w:val="single" w:color="auto" w:sz="4" w:space="0"/>
              <w:right w:val="single" w:color="auto" w:sz="12" w:space="0"/>
            </w:tcBorders>
            <w:vAlign w:val="center"/>
          </w:tcPr>
          <w:p>
            <w:pPr>
              <w:pStyle w:val="47"/>
            </w:pPr>
            <w:r>
              <w:rPr>
                <w:rFonts w:hint="eastAsia"/>
              </w:rPr>
              <w:t>下风向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83" w:type="dxa"/>
            <w:vMerge w:val="continue"/>
            <w:tcBorders>
              <w:top w:val="single" w:color="auto" w:sz="12" w:space="0"/>
              <w:left w:val="single" w:color="auto" w:sz="12" w:space="0"/>
              <w:bottom w:val="single" w:color="auto" w:sz="4" w:space="0"/>
              <w:right w:val="single" w:color="auto" w:sz="4" w:space="0"/>
            </w:tcBorders>
            <w:vAlign w:val="center"/>
          </w:tcPr>
          <w:p>
            <w:pPr>
              <w:pStyle w:val="47"/>
            </w:pPr>
          </w:p>
        </w:tc>
        <w:tc>
          <w:tcPr>
            <w:tcW w:w="1337" w:type="dxa"/>
            <w:tcBorders>
              <w:top w:val="single" w:color="auto" w:sz="4" w:space="0"/>
              <w:left w:val="single" w:color="auto" w:sz="4" w:space="0"/>
              <w:bottom w:val="single" w:color="auto" w:sz="4" w:space="0"/>
              <w:right w:val="single" w:color="auto" w:sz="4" w:space="0"/>
            </w:tcBorders>
            <w:vAlign w:val="center"/>
          </w:tcPr>
          <w:p>
            <w:pPr>
              <w:pStyle w:val="47"/>
            </w:pPr>
            <w:r>
              <w:t>1</w:t>
            </w:r>
            <w:r>
              <w:rPr>
                <w:rFonts w:hint="eastAsia"/>
              </w:rPr>
              <w:t>号点</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2</w:t>
            </w:r>
            <w:r>
              <w:rPr>
                <w:rFonts w:hint="eastAsia"/>
              </w:rPr>
              <w:t>号点</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3</w:t>
            </w:r>
            <w:r>
              <w:rPr>
                <w:rFonts w:hint="eastAsia"/>
              </w:rPr>
              <w:t>号点</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4</w:t>
            </w:r>
            <w:r>
              <w:rPr>
                <w:rFonts w:hint="eastAsia"/>
              </w:rPr>
              <w:t>号点</w:t>
            </w:r>
          </w:p>
        </w:tc>
        <w:tc>
          <w:tcPr>
            <w:tcW w:w="1339" w:type="dxa"/>
            <w:tcBorders>
              <w:top w:val="single" w:color="auto" w:sz="4" w:space="0"/>
              <w:left w:val="single" w:color="auto" w:sz="4" w:space="0"/>
              <w:bottom w:val="single" w:color="auto" w:sz="4" w:space="0"/>
              <w:right w:val="single" w:color="auto" w:sz="12" w:space="0"/>
            </w:tcBorders>
            <w:vAlign w:val="center"/>
          </w:tcPr>
          <w:p>
            <w:pPr>
              <w:pStyle w:val="47"/>
            </w:pPr>
            <w:r>
              <w:t>5</w:t>
            </w:r>
            <w:r>
              <w:rPr>
                <w:rFonts w:hint="eastAsia"/>
              </w:rPr>
              <w:t>号点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83" w:type="dxa"/>
            <w:tcBorders>
              <w:top w:val="single" w:color="auto" w:sz="4" w:space="0"/>
              <w:left w:val="single" w:color="auto" w:sz="12" w:space="0"/>
              <w:bottom w:val="single" w:color="auto" w:sz="4" w:space="0"/>
              <w:right w:val="single" w:color="auto" w:sz="4" w:space="0"/>
            </w:tcBorders>
            <w:vAlign w:val="center"/>
          </w:tcPr>
          <w:p>
            <w:pPr>
              <w:pStyle w:val="47"/>
            </w:pPr>
            <w:r>
              <w:rPr>
                <w:rFonts w:hint="eastAsia"/>
              </w:rPr>
              <w:t>距尘源距离</w:t>
            </w:r>
          </w:p>
        </w:tc>
        <w:tc>
          <w:tcPr>
            <w:tcW w:w="1337" w:type="dxa"/>
            <w:tcBorders>
              <w:top w:val="single" w:color="auto" w:sz="4" w:space="0"/>
              <w:left w:val="single" w:color="auto" w:sz="4" w:space="0"/>
              <w:bottom w:val="single" w:color="auto" w:sz="4" w:space="0"/>
              <w:right w:val="single" w:color="auto" w:sz="4" w:space="0"/>
            </w:tcBorders>
            <w:vAlign w:val="center"/>
          </w:tcPr>
          <w:p>
            <w:pPr>
              <w:pStyle w:val="47"/>
            </w:pPr>
            <w:r>
              <w:t>20m</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10m</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50m</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100m</w:t>
            </w:r>
          </w:p>
        </w:tc>
        <w:tc>
          <w:tcPr>
            <w:tcW w:w="1339" w:type="dxa"/>
            <w:tcBorders>
              <w:top w:val="single" w:color="auto" w:sz="4" w:space="0"/>
              <w:left w:val="single" w:color="auto" w:sz="4" w:space="0"/>
              <w:bottom w:val="single" w:color="auto" w:sz="4" w:space="0"/>
              <w:right w:val="single" w:color="auto" w:sz="12" w:space="0"/>
            </w:tcBorders>
            <w:vAlign w:val="center"/>
          </w:tcPr>
          <w:p>
            <w:pPr>
              <w:pStyle w:val="47"/>
            </w:pPr>
            <w: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83" w:type="dxa"/>
            <w:tcBorders>
              <w:top w:val="single" w:color="auto" w:sz="4" w:space="0"/>
              <w:left w:val="single" w:color="auto" w:sz="12" w:space="0"/>
              <w:bottom w:val="single" w:color="auto" w:sz="4" w:space="0"/>
              <w:right w:val="single" w:color="auto" w:sz="4" w:space="0"/>
            </w:tcBorders>
            <w:vAlign w:val="center"/>
          </w:tcPr>
          <w:p>
            <w:pPr>
              <w:pStyle w:val="47"/>
            </w:pPr>
            <w:r>
              <w:rPr>
                <w:rFonts w:hint="eastAsia"/>
              </w:rPr>
              <w:t>浓度（</w:t>
            </w:r>
            <w:r>
              <w:t>mg/m</w:t>
            </w:r>
            <w:r>
              <w:rPr>
                <w:vertAlign w:val="superscript"/>
              </w:rPr>
              <w:t>3</w:t>
            </w:r>
            <w:r>
              <w:rPr>
                <w:rFonts w:hint="eastAsia"/>
              </w:rPr>
              <w:t>）</w:t>
            </w:r>
          </w:p>
        </w:tc>
        <w:tc>
          <w:tcPr>
            <w:tcW w:w="1337" w:type="dxa"/>
            <w:tcBorders>
              <w:top w:val="single" w:color="auto" w:sz="4" w:space="0"/>
              <w:left w:val="single" w:color="auto" w:sz="4" w:space="0"/>
              <w:bottom w:val="single" w:color="auto" w:sz="4" w:space="0"/>
              <w:right w:val="single" w:color="auto" w:sz="4" w:space="0"/>
            </w:tcBorders>
            <w:vAlign w:val="center"/>
          </w:tcPr>
          <w:p>
            <w:pPr>
              <w:pStyle w:val="47"/>
            </w:pPr>
            <w:r>
              <w:t>0.244</w:t>
            </w:r>
            <w:r>
              <w:rPr>
                <w:rFonts w:hint="eastAsia"/>
              </w:rPr>
              <w:t>～</w:t>
            </w:r>
            <w:r>
              <w:t>0.269</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2.176</w:t>
            </w:r>
            <w:r>
              <w:rPr>
                <w:rFonts w:hint="eastAsia"/>
              </w:rPr>
              <w:t>～</w:t>
            </w:r>
            <w:r>
              <w:t>3.435</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0.856</w:t>
            </w:r>
            <w:r>
              <w:rPr>
                <w:rFonts w:hint="eastAsia"/>
              </w:rPr>
              <w:t>～</w:t>
            </w:r>
            <w:r>
              <w:t>1.491</w:t>
            </w:r>
          </w:p>
        </w:tc>
        <w:tc>
          <w:tcPr>
            <w:tcW w:w="1339" w:type="dxa"/>
            <w:tcBorders>
              <w:top w:val="single" w:color="auto" w:sz="4" w:space="0"/>
              <w:left w:val="single" w:color="auto" w:sz="4" w:space="0"/>
              <w:bottom w:val="single" w:color="auto" w:sz="4" w:space="0"/>
              <w:right w:val="single" w:color="auto" w:sz="4" w:space="0"/>
            </w:tcBorders>
            <w:vAlign w:val="center"/>
          </w:tcPr>
          <w:p>
            <w:pPr>
              <w:pStyle w:val="47"/>
            </w:pPr>
            <w:r>
              <w:t>0.416</w:t>
            </w:r>
            <w:r>
              <w:rPr>
                <w:rFonts w:hint="eastAsia"/>
              </w:rPr>
              <w:t>～</w:t>
            </w:r>
            <w:r>
              <w:t>0.513</w:t>
            </w:r>
          </w:p>
        </w:tc>
        <w:tc>
          <w:tcPr>
            <w:tcW w:w="1339" w:type="dxa"/>
            <w:tcBorders>
              <w:top w:val="single" w:color="auto" w:sz="4" w:space="0"/>
              <w:left w:val="single" w:color="auto" w:sz="4" w:space="0"/>
              <w:bottom w:val="single" w:color="auto" w:sz="4" w:space="0"/>
              <w:right w:val="single" w:color="auto" w:sz="12" w:space="0"/>
            </w:tcBorders>
            <w:vAlign w:val="center"/>
          </w:tcPr>
          <w:p>
            <w:pPr>
              <w:pStyle w:val="47"/>
            </w:pPr>
            <w:r>
              <w:t>0.250</w:t>
            </w:r>
            <w:r>
              <w:rPr>
                <w:rFonts w:hint="eastAsia"/>
              </w:rPr>
              <w:t>～</w:t>
            </w:r>
            <w:r>
              <w:t>0.258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583" w:type="dxa"/>
            <w:tcBorders>
              <w:top w:val="single" w:color="auto" w:sz="4" w:space="0"/>
              <w:left w:val="single" w:color="auto" w:sz="12" w:space="0"/>
              <w:bottom w:val="single" w:color="auto" w:sz="12" w:space="0"/>
              <w:right w:val="single" w:color="auto" w:sz="4" w:space="0"/>
            </w:tcBorders>
            <w:vAlign w:val="center"/>
          </w:tcPr>
          <w:p>
            <w:pPr>
              <w:pStyle w:val="47"/>
            </w:pPr>
            <w:r>
              <w:rPr>
                <w:rFonts w:hint="eastAsia"/>
              </w:rPr>
              <w:t>参考标准值</w:t>
            </w:r>
          </w:p>
        </w:tc>
        <w:tc>
          <w:tcPr>
            <w:tcW w:w="6693" w:type="dxa"/>
            <w:gridSpan w:val="5"/>
            <w:tcBorders>
              <w:top w:val="single" w:color="auto" w:sz="4" w:space="0"/>
              <w:left w:val="single" w:color="auto" w:sz="4" w:space="0"/>
              <w:bottom w:val="single" w:color="auto" w:sz="12" w:space="0"/>
              <w:right w:val="single" w:color="auto" w:sz="12" w:space="0"/>
            </w:tcBorders>
            <w:vAlign w:val="center"/>
          </w:tcPr>
          <w:p>
            <w:pPr>
              <w:pStyle w:val="47"/>
            </w:pPr>
            <w:r>
              <w:rPr>
                <w:szCs w:val="21"/>
              </w:rPr>
              <w:t>0.8mg/m</w:t>
            </w:r>
            <w:r>
              <w:rPr>
                <w:szCs w:val="21"/>
                <w:vertAlign w:val="superscript"/>
              </w:rPr>
              <w:t>3</w:t>
            </w:r>
            <w:r>
              <w:rPr>
                <w:rFonts w:hint="eastAsia"/>
                <w:szCs w:val="21"/>
              </w:rPr>
              <w:t>（土方及地基处理工程）、</w:t>
            </w:r>
            <w:r>
              <w:rPr>
                <w:szCs w:val="21"/>
              </w:rPr>
              <w:t>0.7mg/m</w:t>
            </w:r>
            <w:r>
              <w:rPr>
                <w:szCs w:val="21"/>
                <w:vertAlign w:val="superscript"/>
              </w:rPr>
              <w:t>3</w:t>
            </w:r>
            <w:r>
              <w:rPr>
                <w:rFonts w:hint="eastAsia"/>
                <w:szCs w:val="21"/>
              </w:rPr>
              <w:t>（基础、主体结构工程）</w:t>
            </w:r>
          </w:p>
        </w:tc>
      </w:tr>
    </w:tbl>
    <w:p>
      <w:pPr>
        <w:pStyle w:val="40"/>
        <w:ind w:firstLine="480"/>
        <w:rPr>
          <w:highlight w:val="yellow"/>
        </w:rPr>
      </w:pPr>
      <w:r>
        <w:rPr>
          <w:rFonts w:hint="eastAsia"/>
        </w:rPr>
        <w:t>根据《陕西省施工场界扬尘排放限值》（</w:t>
      </w:r>
      <w:r>
        <w:t>DB61/1078-2017</w:t>
      </w:r>
      <w:r>
        <w:rPr>
          <w:rFonts w:hint="eastAsia"/>
        </w:rPr>
        <w:t>）中周界外浓度最高点</w:t>
      </w:r>
      <w:r>
        <w:t>TSP</w:t>
      </w:r>
      <w:r>
        <w:rPr>
          <w:rFonts w:hint="eastAsia"/>
        </w:rPr>
        <w:t>浓度标准限值，从</w:t>
      </w:r>
      <w:r>
        <w:fldChar w:fldCharType="begin"/>
      </w:r>
      <w:r>
        <w:instrText xml:space="preserve"> REF _Ref25679491 \h  \* MERGEFORMAT </w:instrText>
      </w:r>
      <w:r>
        <w:fldChar w:fldCharType="separate"/>
      </w:r>
      <w:r>
        <w:rPr>
          <w:rFonts w:hint="eastAsia"/>
        </w:rPr>
        <w:t>表</w:t>
      </w:r>
      <w:r>
        <w:t>6.1</w:t>
      </w:r>
      <w:r>
        <w:noBreakHyphen/>
      </w:r>
      <w:r>
        <w:t>2</w:t>
      </w:r>
      <w:r>
        <w:fldChar w:fldCharType="end"/>
      </w:r>
      <w:r>
        <w:rPr>
          <w:rFonts w:hint="eastAsia"/>
        </w:rPr>
        <w:t>可以看出：</w:t>
      </w:r>
    </w:p>
    <w:p>
      <w:pPr>
        <w:pStyle w:val="40"/>
        <w:ind w:firstLine="480"/>
      </w:pPr>
      <w:r>
        <w:t>a</w:t>
      </w:r>
      <w:r>
        <w:rPr>
          <w:rFonts w:hint="eastAsia"/>
        </w:rPr>
        <w:t>、施工场地及其下风向距离</w:t>
      </w:r>
      <w:r>
        <w:t>50m</w:t>
      </w:r>
      <w:r>
        <w:rPr>
          <w:rFonts w:hint="eastAsia"/>
        </w:rPr>
        <w:t>范围内，环境空气中</w:t>
      </w:r>
      <w:r>
        <w:t>TSP</w:t>
      </w:r>
      <w:r>
        <w:rPr>
          <w:rFonts w:hint="eastAsia"/>
        </w:rPr>
        <w:t>超标</w:t>
      </w:r>
      <w:r>
        <w:t>0.22</w:t>
      </w:r>
      <w:r>
        <w:rPr>
          <w:rFonts w:hint="eastAsia"/>
        </w:rPr>
        <w:t>～</w:t>
      </w:r>
      <w:r>
        <w:t>1.13</w:t>
      </w:r>
      <w:r>
        <w:rPr>
          <w:rFonts w:hint="eastAsia"/>
        </w:rPr>
        <w:t>倍。</w:t>
      </w:r>
    </w:p>
    <w:p>
      <w:pPr>
        <w:pStyle w:val="40"/>
        <w:ind w:firstLine="480"/>
        <w:rPr>
          <w:color w:val="FF0000"/>
        </w:rPr>
      </w:pPr>
      <w:r>
        <w:t>b</w:t>
      </w:r>
      <w:r>
        <w:rPr>
          <w:rFonts w:hint="eastAsia"/>
        </w:rPr>
        <w:t>、施工场地至下风向距离</w:t>
      </w:r>
      <w:r>
        <w:t>50m</w:t>
      </w:r>
      <w:r>
        <w:rPr>
          <w:rFonts w:hint="eastAsia"/>
        </w:rPr>
        <w:t>～</w:t>
      </w:r>
      <w:r>
        <w:t>100m</w:t>
      </w:r>
      <w:r>
        <w:rPr>
          <w:rFonts w:hint="eastAsia"/>
        </w:rPr>
        <w:t>内，环境空气中</w:t>
      </w:r>
      <w:r>
        <w:t>TSP</w:t>
      </w:r>
      <w:r>
        <w:rPr>
          <w:rFonts w:hint="eastAsia"/>
        </w:rPr>
        <w:t>含量是其上风向监测结果的</w:t>
      </w:r>
      <w:r>
        <w:t>1.55</w:t>
      </w:r>
      <w:r>
        <w:rPr>
          <w:rFonts w:hint="eastAsia"/>
        </w:rPr>
        <w:t>～</w:t>
      </w:r>
      <w:r>
        <w:t>2.1</w:t>
      </w:r>
      <w:r>
        <w:rPr>
          <w:rFonts w:hint="eastAsia"/>
        </w:rPr>
        <w:t>倍；</w:t>
      </w:r>
      <w:r>
        <w:rPr>
          <w:rFonts w:hint="eastAsia"/>
          <w:color w:val="FF0000"/>
        </w:rPr>
        <w:t>下风向60</w:t>
      </w:r>
      <w:r>
        <w:rPr>
          <w:color w:val="FF0000"/>
        </w:rPr>
        <w:t>m</w:t>
      </w:r>
      <w:r>
        <w:rPr>
          <w:rFonts w:hint="eastAsia"/>
          <w:color w:val="FF0000"/>
        </w:rPr>
        <w:t>~82</w:t>
      </w:r>
      <w:r>
        <w:rPr>
          <w:color w:val="FF0000"/>
        </w:rPr>
        <w:t>m</w:t>
      </w:r>
      <w:r>
        <w:rPr>
          <w:rFonts w:hint="eastAsia"/>
          <w:color w:val="FF0000"/>
        </w:rPr>
        <w:t>外可</w:t>
      </w:r>
      <w:r>
        <w:rPr>
          <w:color w:val="FF0000"/>
        </w:rPr>
        <w:t>满足《</w:t>
      </w:r>
      <w:r>
        <w:rPr>
          <w:rFonts w:hint="eastAsia"/>
          <w:color w:val="FF0000"/>
        </w:rPr>
        <w:t>陕西</w:t>
      </w:r>
      <w:r>
        <w:rPr>
          <w:color w:val="FF0000"/>
        </w:rPr>
        <w:t>省施工场界扬尘排放限值》</w:t>
      </w:r>
      <w:r>
        <w:rPr>
          <w:rFonts w:hint="eastAsia"/>
          <w:color w:val="FF0000"/>
        </w:rPr>
        <w:t>（GB61</w:t>
      </w:r>
      <w:r>
        <w:rPr>
          <w:color w:val="FF0000"/>
        </w:rPr>
        <w:t>/1078-2017</w:t>
      </w:r>
      <w:r>
        <w:rPr>
          <w:rFonts w:hint="eastAsia"/>
          <w:color w:val="FF0000"/>
        </w:rPr>
        <w:t>）标准</w:t>
      </w:r>
      <w:r>
        <w:rPr>
          <w:color w:val="FF0000"/>
        </w:rPr>
        <w:t>要求，</w:t>
      </w:r>
      <w:r>
        <w:t>100m</w:t>
      </w:r>
      <w:r>
        <w:rPr>
          <w:rFonts w:hint="eastAsia"/>
        </w:rPr>
        <w:t>至下风向距离</w:t>
      </w:r>
      <w:r>
        <w:t>200m</w:t>
      </w:r>
      <w:r>
        <w:rPr>
          <w:rFonts w:hint="eastAsia"/>
        </w:rPr>
        <w:t>处环境空气中</w:t>
      </w:r>
      <w:r>
        <w:t>TSP</w:t>
      </w:r>
      <w:r>
        <w:rPr>
          <w:rFonts w:hint="eastAsia"/>
        </w:rPr>
        <w:t>含量趋近于其上风向背景，。</w:t>
      </w:r>
    </w:p>
    <w:p>
      <w:pPr>
        <w:pStyle w:val="40"/>
        <w:ind w:firstLine="480"/>
        <w:rPr>
          <w:color w:val="FF0000"/>
        </w:rPr>
      </w:pPr>
      <w:r>
        <w:rPr>
          <w:rFonts w:hint="eastAsia"/>
        </w:rPr>
        <w:t>由此可见，施工扬尘环境空气影响主要在下风向距</w:t>
      </w:r>
      <w:r>
        <w:rPr>
          <w:rFonts w:hint="eastAsia"/>
          <w:color w:val="FF0000"/>
        </w:rPr>
        <w:t>离</w:t>
      </w:r>
      <w:r>
        <w:rPr>
          <w:color w:val="FF0000"/>
        </w:rPr>
        <w:t>100m</w:t>
      </w:r>
      <w:r>
        <w:rPr>
          <w:rFonts w:hint="eastAsia"/>
          <w:color w:val="FF0000"/>
        </w:rPr>
        <w:t>范围内，最大超标影响在下风向距离</w:t>
      </w:r>
      <w:r>
        <w:rPr>
          <w:color w:val="FF0000"/>
        </w:rPr>
        <w:t>82m</w:t>
      </w:r>
      <w:r>
        <w:rPr>
          <w:rFonts w:hint="eastAsia"/>
          <w:color w:val="FF0000"/>
        </w:rPr>
        <w:t>范围内。</w:t>
      </w:r>
    </w:p>
    <w:p>
      <w:pPr>
        <w:pStyle w:val="40"/>
        <w:ind w:firstLine="480"/>
        <w:rPr>
          <w:rFonts w:cs="宋体"/>
          <w:szCs w:val="20"/>
        </w:rPr>
      </w:pPr>
      <w:r>
        <w:rPr>
          <w:rFonts w:hint="eastAsia" w:cs="宋体"/>
          <w:szCs w:val="20"/>
        </w:rPr>
        <w:t>结合拟建场地周边状况可知，施工扬尘</w:t>
      </w:r>
      <w:r>
        <w:rPr>
          <w:rFonts w:cs="宋体"/>
          <w:szCs w:val="20"/>
        </w:rPr>
        <w:t>将会</w:t>
      </w:r>
      <w:r>
        <w:rPr>
          <w:rFonts w:hint="eastAsia" w:cs="宋体"/>
          <w:szCs w:val="20"/>
        </w:rPr>
        <w:t>对场地</w:t>
      </w:r>
      <w:r>
        <w:rPr>
          <w:rFonts w:cs="宋体"/>
          <w:szCs w:val="20"/>
        </w:rPr>
        <w:t>下风向</w:t>
      </w:r>
      <w:r>
        <w:rPr>
          <w:rFonts w:hint="eastAsia" w:cs="宋体"/>
          <w:szCs w:val="20"/>
        </w:rPr>
        <w:t>越南</w:t>
      </w:r>
      <w:r>
        <w:rPr>
          <w:rFonts w:hint="eastAsia" w:cs="宋体"/>
          <w:color w:val="FF0000"/>
          <w:szCs w:val="20"/>
        </w:rPr>
        <w:t>刘星耀</w:t>
      </w:r>
      <w:r>
        <w:rPr>
          <w:rFonts w:cs="宋体"/>
          <w:color w:val="FF0000"/>
          <w:szCs w:val="20"/>
        </w:rPr>
        <w:t>小学</w:t>
      </w:r>
      <w:r>
        <w:rPr>
          <w:rFonts w:hint="eastAsia" w:cs="宋体"/>
          <w:szCs w:val="20"/>
        </w:rPr>
        <w:t>产生一定的影响。</w:t>
      </w:r>
    </w:p>
    <w:p>
      <w:pPr>
        <w:pStyle w:val="40"/>
        <w:ind w:firstLine="480"/>
      </w:pPr>
      <w:r>
        <w:rPr>
          <w:rFonts w:hint="eastAsia"/>
        </w:rPr>
        <w:t>③道路扬尘</w:t>
      </w:r>
    </w:p>
    <w:p>
      <w:pPr>
        <w:pStyle w:val="40"/>
        <w:ind w:firstLine="480"/>
      </w:pPr>
      <w:r>
        <w:rPr>
          <w:rFonts w:hint="eastAsia"/>
        </w:rPr>
        <w:t>物料运输过程中车辆沿途洒落于道路上的沙、土、灰、渣和建筑垃圾，以及沉积在道路上其它排放源排放的颗粒物，经来往车辆碾压后也会导致粒径较小的颗粒物进入空气，形成二次扬尘。一般施工场地道路如不及时采取路面硬化等措施，在施工物料、土石方运输过程会造成路面沉积颗粒物反复扬起、沉降，极易造成新的污染。</w:t>
      </w:r>
    </w:p>
    <w:p>
      <w:pPr>
        <w:pStyle w:val="40"/>
        <w:ind w:firstLine="480"/>
      </w:pPr>
      <w:r>
        <w:rPr>
          <w:rFonts w:hint="eastAsia"/>
        </w:rPr>
        <w:t>据有关文献资料介绍，车辆行驶产生的扬尘占总扬尘的</w:t>
      </w:r>
      <w:r>
        <w:t>60%</w:t>
      </w:r>
      <w:r>
        <w:rPr>
          <w:rFonts w:hint="eastAsia"/>
        </w:rPr>
        <w:t>以上。在完全干燥情况下的经验计算公式为：</w:t>
      </w:r>
    </w:p>
    <w:p>
      <w:pPr>
        <w:pStyle w:val="40"/>
        <w:ind w:firstLine="480"/>
        <w:jc w:val="center"/>
      </w:pPr>
      <w:r>
        <w:object>
          <v:shape id="_x0000_i1030" o:spt="75" type="#_x0000_t75" style="height:14.25pt;width:173.25pt;" o:ole="t" filled="f" o:preferrelative="t" stroked="f" coordsize="21600,21600">
            <v:path/>
            <v:fill on="f" focussize="0,0"/>
            <v:stroke on="f" joinstyle="miter"/>
            <v:imagedata r:id="rId80" o:title=""/>
            <o:lock v:ext="edit" aspectratio="t"/>
            <w10:wrap type="none"/>
            <w10:anchorlock/>
          </v:shape>
          <o:OLEObject Type="Embed" ProgID="Equation.3" ShapeID="_x0000_i1030" DrawAspect="Content" ObjectID="_1468075730" r:id="rId79">
            <o:LockedField>false</o:LockedField>
          </o:OLEObject>
        </w:object>
      </w:r>
    </w:p>
    <w:p>
      <w:pPr>
        <w:pStyle w:val="40"/>
        <w:ind w:firstLine="480"/>
      </w:pPr>
      <w:r>
        <w:rPr>
          <w:rFonts w:hint="eastAsia"/>
        </w:rPr>
        <w:t>式中：</w:t>
      </w:r>
      <w:r>
        <w:t>Q——</w:t>
      </w:r>
      <w:r>
        <w:rPr>
          <w:rFonts w:hint="eastAsia"/>
        </w:rPr>
        <w:t>汽车行驶的扬尘，</w:t>
      </w:r>
      <w:r>
        <w:t>Kg/km·</w:t>
      </w:r>
      <w:r>
        <w:rPr>
          <w:rFonts w:hint="eastAsia"/>
        </w:rPr>
        <w:t>辆；</w:t>
      </w:r>
      <w:r>
        <w:t>V——</w:t>
      </w:r>
      <w:r>
        <w:rPr>
          <w:rFonts w:hint="eastAsia"/>
        </w:rPr>
        <w:t>汽车速度，</w:t>
      </w:r>
      <w:r>
        <w:t>km/h</w:t>
      </w:r>
      <w:r>
        <w:rPr>
          <w:rFonts w:hint="eastAsia"/>
        </w:rPr>
        <w:t>；</w:t>
      </w:r>
    </w:p>
    <w:p>
      <w:pPr>
        <w:pStyle w:val="40"/>
        <w:ind w:firstLine="480"/>
      </w:pPr>
      <w:r>
        <w:t>W——</w:t>
      </w:r>
      <w:r>
        <w:rPr>
          <w:rFonts w:hint="eastAsia"/>
        </w:rPr>
        <w:t>汽车载重量，吨；</w:t>
      </w:r>
      <w:r>
        <w:t>P——</w:t>
      </w:r>
      <w:r>
        <w:rPr>
          <w:rFonts w:hint="eastAsia"/>
        </w:rPr>
        <w:t>道路表面粉尘量，</w:t>
      </w:r>
      <w:r>
        <w:t>kg/m</w:t>
      </w:r>
      <w:r>
        <w:rPr>
          <w:vertAlign w:val="superscript"/>
        </w:rPr>
        <w:t>2</w:t>
      </w:r>
      <w:r>
        <w:rPr>
          <w:rFonts w:hint="eastAsia"/>
        </w:rPr>
        <w:t>。</w:t>
      </w:r>
    </w:p>
    <w:p>
      <w:pPr>
        <w:pStyle w:val="40"/>
        <w:ind w:firstLine="480"/>
      </w:pPr>
      <w:r>
        <w:fldChar w:fldCharType="begin"/>
      </w:r>
      <w:r>
        <w:instrText xml:space="preserve"> REF _Ref25680064 \h  \* MERGEFORMAT </w:instrText>
      </w:r>
      <w:r>
        <w:fldChar w:fldCharType="separate"/>
      </w:r>
      <w:r>
        <w:rPr>
          <w:rFonts w:hint="eastAsia"/>
        </w:rPr>
        <w:t>表</w:t>
      </w:r>
      <w:r>
        <w:t>6.1</w:t>
      </w:r>
      <w:r>
        <w:noBreakHyphen/>
      </w:r>
      <w:r>
        <w:t>3</w:t>
      </w:r>
      <w:r>
        <w:fldChar w:fldCharType="end"/>
      </w:r>
      <w:r>
        <w:rPr>
          <w:rFonts w:hint="eastAsia"/>
        </w:rPr>
        <w:t>为一辆</w:t>
      </w:r>
      <w:r>
        <w:t>10</w:t>
      </w:r>
      <w:r>
        <w:rPr>
          <w:rFonts w:hint="eastAsia"/>
        </w:rPr>
        <w:t>吨卡车，通过一段长度为</w:t>
      </w:r>
      <w:r>
        <w:t>1km</w:t>
      </w:r>
      <w:r>
        <w:rPr>
          <w:rFonts w:hint="eastAsia"/>
        </w:rPr>
        <w:t>的路面时，不同路面清洁程度，不同行驶速度情况下的扬尘量。由此可见，在同样路面清洁程度条件下，车速越快，扬尘量越大；而在同样车速情况下，路面越脏，则扬尘量越大。因此，可以通过采取限速行驶及保持路面的清洁等措施后，减小汽车扬尘对环境的影响。</w:t>
      </w:r>
    </w:p>
    <w:p>
      <w:pPr>
        <w:pStyle w:val="44"/>
      </w:pPr>
      <w:bookmarkStart w:id="51" w:name="_Ref25680064"/>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3</w:t>
      </w:r>
      <w:r>
        <w:fldChar w:fldCharType="end"/>
      </w:r>
      <w:bookmarkEnd w:id="51"/>
      <w:r>
        <w:t xml:space="preserve">  </w:t>
      </w:r>
      <w:r>
        <w:rPr>
          <w:rFonts w:hint="eastAsia"/>
        </w:rPr>
        <w:t>不同车速和地面清洁程度的汽车扬尘</w:t>
      </w:r>
      <w:r>
        <w:t xml:space="preserve">    </w:t>
      </w:r>
      <w:r>
        <w:rPr>
          <w:rFonts w:hint="eastAsia"/>
        </w:rPr>
        <w:t>单位：</w:t>
      </w:r>
      <w:r>
        <w:t>kg/</w:t>
      </w:r>
      <w:r>
        <w:rPr>
          <w:rFonts w:hint="eastAsia"/>
        </w:rPr>
        <w:t>辆·</w:t>
      </w:r>
      <w:r>
        <w:t>km</w:t>
      </w:r>
    </w:p>
    <w:tbl>
      <w:tblPr>
        <w:tblStyle w:val="25"/>
        <w:tblW w:w="827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1"/>
        <w:gridCol w:w="1183"/>
        <w:gridCol w:w="1182"/>
        <w:gridCol w:w="1182"/>
        <w:gridCol w:w="1182"/>
        <w:gridCol w:w="1183"/>
        <w:gridCol w:w="11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81" w:type="dxa"/>
            <w:tcBorders>
              <w:top w:val="single" w:color="auto" w:sz="12" w:space="0"/>
              <w:left w:val="single" w:color="auto" w:sz="12" w:space="0"/>
              <w:bottom w:val="single" w:color="auto" w:sz="6" w:space="0"/>
              <w:right w:val="single" w:color="auto" w:sz="6" w:space="0"/>
              <w:tl2br w:val="single" w:color="auto" w:sz="6" w:space="0"/>
            </w:tcBorders>
          </w:tcPr>
          <w:p>
            <w:pPr>
              <w:pStyle w:val="47"/>
            </w:pPr>
            <w:r>
              <w:t>P</w:t>
            </w:r>
          </w:p>
          <w:p>
            <w:pPr>
              <w:pStyle w:val="47"/>
              <w:rPr>
                <w:szCs w:val="24"/>
              </w:rPr>
            </w:pPr>
            <w:r>
              <w:rPr>
                <w:rFonts w:hint="eastAsia"/>
              </w:rPr>
              <w:t>车速</w:t>
            </w:r>
          </w:p>
        </w:tc>
        <w:tc>
          <w:tcPr>
            <w:tcW w:w="1183" w:type="dxa"/>
            <w:tcBorders>
              <w:top w:val="single" w:color="auto" w:sz="12" w:space="0"/>
              <w:left w:val="single" w:color="auto" w:sz="6" w:space="0"/>
              <w:bottom w:val="single" w:color="auto" w:sz="6" w:space="0"/>
              <w:right w:val="single" w:color="auto" w:sz="6" w:space="0"/>
            </w:tcBorders>
            <w:vAlign w:val="center"/>
          </w:tcPr>
          <w:p>
            <w:pPr>
              <w:pStyle w:val="47"/>
            </w:pPr>
            <w:r>
              <w:t>0.1</w:t>
            </w:r>
          </w:p>
          <w:p>
            <w:pPr>
              <w:pStyle w:val="47"/>
            </w:pPr>
            <w:r>
              <w:t>(kg/m</w:t>
            </w:r>
            <w:r>
              <w:rPr>
                <w:vertAlign w:val="superscript"/>
              </w:rPr>
              <w:t>2</w:t>
            </w:r>
            <w:r>
              <w:t>)</w:t>
            </w:r>
          </w:p>
        </w:tc>
        <w:tc>
          <w:tcPr>
            <w:tcW w:w="1182" w:type="dxa"/>
            <w:tcBorders>
              <w:top w:val="single" w:color="auto" w:sz="12" w:space="0"/>
              <w:left w:val="single" w:color="auto" w:sz="6" w:space="0"/>
              <w:bottom w:val="single" w:color="auto" w:sz="6" w:space="0"/>
              <w:right w:val="single" w:color="auto" w:sz="6" w:space="0"/>
            </w:tcBorders>
            <w:vAlign w:val="center"/>
          </w:tcPr>
          <w:p>
            <w:pPr>
              <w:pStyle w:val="47"/>
            </w:pPr>
            <w:r>
              <w:t>0.2</w:t>
            </w:r>
          </w:p>
          <w:p>
            <w:pPr>
              <w:pStyle w:val="47"/>
            </w:pPr>
            <w:r>
              <w:t>(kg/m</w:t>
            </w:r>
            <w:r>
              <w:rPr>
                <w:vertAlign w:val="superscript"/>
              </w:rPr>
              <w:t>2</w:t>
            </w:r>
            <w:r>
              <w:t>)</w:t>
            </w:r>
          </w:p>
        </w:tc>
        <w:tc>
          <w:tcPr>
            <w:tcW w:w="1182" w:type="dxa"/>
            <w:tcBorders>
              <w:top w:val="single" w:color="auto" w:sz="12" w:space="0"/>
              <w:left w:val="single" w:color="auto" w:sz="6" w:space="0"/>
              <w:bottom w:val="single" w:color="auto" w:sz="6" w:space="0"/>
              <w:right w:val="single" w:color="auto" w:sz="6" w:space="0"/>
            </w:tcBorders>
            <w:vAlign w:val="center"/>
          </w:tcPr>
          <w:p>
            <w:pPr>
              <w:pStyle w:val="47"/>
            </w:pPr>
            <w:r>
              <w:t>0.3</w:t>
            </w:r>
          </w:p>
          <w:p>
            <w:pPr>
              <w:pStyle w:val="47"/>
            </w:pPr>
            <w:r>
              <w:t>(kg/m</w:t>
            </w:r>
            <w:r>
              <w:rPr>
                <w:vertAlign w:val="superscript"/>
              </w:rPr>
              <w:t>2</w:t>
            </w:r>
            <w:r>
              <w:t>)</w:t>
            </w:r>
          </w:p>
        </w:tc>
        <w:tc>
          <w:tcPr>
            <w:tcW w:w="1182" w:type="dxa"/>
            <w:tcBorders>
              <w:top w:val="single" w:color="auto" w:sz="12" w:space="0"/>
              <w:left w:val="single" w:color="auto" w:sz="6" w:space="0"/>
              <w:bottom w:val="single" w:color="auto" w:sz="6" w:space="0"/>
              <w:right w:val="single" w:color="auto" w:sz="6" w:space="0"/>
            </w:tcBorders>
            <w:vAlign w:val="center"/>
          </w:tcPr>
          <w:p>
            <w:pPr>
              <w:pStyle w:val="47"/>
            </w:pPr>
            <w:r>
              <w:t>0.4</w:t>
            </w:r>
          </w:p>
          <w:p>
            <w:pPr>
              <w:pStyle w:val="47"/>
            </w:pPr>
            <w:r>
              <w:t>(kg/m</w:t>
            </w:r>
            <w:r>
              <w:rPr>
                <w:vertAlign w:val="superscript"/>
              </w:rPr>
              <w:t>2</w:t>
            </w:r>
            <w:r>
              <w:t>)</w:t>
            </w:r>
          </w:p>
        </w:tc>
        <w:tc>
          <w:tcPr>
            <w:tcW w:w="1183" w:type="dxa"/>
            <w:tcBorders>
              <w:top w:val="single" w:color="auto" w:sz="12" w:space="0"/>
              <w:left w:val="single" w:color="auto" w:sz="6" w:space="0"/>
              <w:bottom w:val="single" w:color="auto" w:sz="6" w:space="0"/>
              <w:right w:val="single" w:color="auto" w:sz="6" w:space="0"/>
            </w:tcBorders>
            <w:vAlign w:val="center"/>
          </w:tcPr>
          <w:p>
            <w:pPr>
              <w:pStyle w:val="47"/>
            </w:pPr>
            <w:r>
              <w:t>0.5</w:t>
            </w:r>
          </w:p>
          <w:p>
            <w:pPr>
              <w:pStyle w:val="47"/>
            </w:pPr>
            <w:r>
              <w:t>(kg/m</w:t>
            </w:r>
            <w:r>
              <w:rPr>
                <w:vertAlign w:val="superscript"/>
              </w:rPr>
              <w:t>2</w:t>
            </w:r>
            <w:r>
              <w:t>)</w:t>
            </w:r>
          </w:p>
        </w:tc>
        <w:tc>
          <w:tcPr>
            <w:tcW w:w="1183" w:type="dxa"/>
            <w:tcBorders>
              <w:top w:val="single" w:color="auto" w:sz="12" w:space="0"/>
              <w:left w:val="single" w:color="auto" w:sz="6" w:space="0"/>
              <w:bottom w:val="single" w:color="auto" w:sz="6" w:space="0"/>
              <w:right w:val="single" w:color="auto" w:sz="12" w:space="0"/>
            </w:tcBorders>
            <w:vAlign w:val="center"/>
          </w:tcPr>
          <w:p>
            <w:pPr>
              <w:pStyle w:val="47"/>
            </w:pPr>
            <w:r>
              <w:t>1</w:t>
            </w:r>
          </w:p>
          <w:p>
            <w:pPr>
              <w:pStyle w:val="47"/>
            </w:pPr>
            <w:r>
              <w:t>(kg/m</w:t>
            </w:r>
            <w:r>
              <w:rPr>
                <w:vertAlign w:val="superscript"/>
              </w:rPr>
              <w:t>2</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81" w:type="dxa"/>
            <w:tcBorders>
              <w:top w:val="single" w:color="auto" w:sz="6" w:space="0"/>
              <w:left w:val="single" w:color="auto" w:sz="12" w:space="0"/>
              <w:bottom w:val="single" w:color="auto" w:sz="6" w:space="0"/>
              <w:right w:val="single" w:color="auto" w:sz="6" w:space="0"/>
            </w:tcBorders>
            <w:vAlign w:val="center"/>
          </w:tcPr>
          <w:p>
            <w:pPr>
              <w:pStyle w:val="47"/>
            </w:pPr>
            <w:r>
              <w:t>5(km/h)</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0.051056</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0.085865</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0.116382</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0.144408</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0.170715</w:t>
            </w:r>
          </w:p>
        </w:tc>
        <w:tc>
          <w:tcPr>
            <w:tcW w:w="1183" w:type="dxa"/>
            <w:tcBorders>
              <w:top w:val="single" w:color="auto" w:sz="6" w:space="0"/>
              <w:left w:val="single" w:color="auto" w:sz="6" w:space="0"/>
              <w:bottom w:val="single" w:color="auto" w:sz="6" w:space="0"/>
              <w:right w:val="single" w:color="auto" w:sz="12" w:space="0"/>
            </w:tcBorders>
            <w:vAlign w:val="center"/>
          </w:tcPr>
          <w:p>
            <w:pPr>
              <w:pStyle w:val="47"/>
            </w:pPr>
            <w:r>
              <w:t>0.287108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81" w:type="dxa"/>
            <w:tcBorders>
              <w:top w:val="single" w:color="auto" w:sz="6" w:space="0"/>
              <w:left w:val="single" w:color="auto" w:sz="12" w:space="0"/>
              <w:bottom w:val="single" w:color="auto" w:sz="6" w:space="0"/>
              <w:right w:val="single" w:color="auto" w:sz="6" w:space="0"/>
            </w:tcBorders>
            <w:vAlign w:val="center"/>
          </w:tcPr>
          <w:p>
            <w:pPr>
              <w:pStyle w:val="47"/>
            </w:pPr>
            <w:r>
              <w:t>10(km/h)</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0.102112</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0.171731</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0.232764</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0.288815</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0.341431</w:t>
            </w:r>
          </w:p>
        </w:tc>
        <w:tc>
          <w:tcPr>
            <w:tcW w:w="1183" w:type="dxa"/>
            <w:tcBorders>
              <w:top w:val="single" w:color="auto" w:sz="6" w:space="0"/>
              <w:left w:val="single" w:color="auto" w:sz="6" w:space="0"/>
              <w:bottom w:val="single" w:color="auto" w:sz="6" w:space="0"/>
              <w:right w:val="single" w:color="auto" w:sz="12" w:space="0"/>
            </w:tcBorders>
            <w:vAlign w:val="center"/>
          </w:tcPr>
          <w:p>
            <w:pPr>
              <w:pStyle w:val="47"/>
            </w:pPr>
            <w:r>
              <w:t>0.574216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81" w:type="dxa"/>
            <w:tcBorders>
              <w:top w:val="single" w:color="auto" w:sz="6" w:space="0"/>
              <w:left w:val="single" w:color="auto" w:sz="12" w:space="0"/>
              <w:bottom w:val="single" w:color="auto" w:sz="6" w:space="0"/>
              <w:right w:val="single" w:color="auto" w:sz="6" w:space="0"/>
            </w:tcBorders>
            <w:vAlign w:val="center"/>
          </w:tcPr>
          <w:p>
            <w:pPr>
              <w:pStyle w:val="47"/>
            </w:pPr>
            <w:r>
              <w:t>15(km/h)</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0.153167</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0.257596</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0.349146</w:t>
            </w:r>
          </w:p>
        </w:tc>
        <w:tc>
          <w:tcPr>
            <w:tcW w:w="1182" w:type="dxa"/>
            <w:tcBorders>
              <w:top w:val="single" w:color="auto" w:sz="6" w:space="0"/>
              <w:left w:val="single" w:color="auto" w:sz="6" w:space="0"/>
              <w:bottom w:val="single" w:color="auto" w:sz="6" w:space="0"/>
              <w:right w:val="single" w:color="auto" w:sz="6" w:space="0"/>
            </w:tcBorders>
            <w:vAlign w:val="center"/>
          </w:tcPr>
          <w:p>
            <w:pPr>
              <w:pStyle w:val="47"/>
            </w:pPr>
            <w:r>
              <w:t>0.433223</w:t>
            </w:r>
          </w:p>
        </w:tc>
        <w:tc>
          <w:tcPr>
            <w:tcW w:w="1183" w:type="dxa"/>
            <w:tcBorders>
              <w:top w:val="single" w:color="auto" w:sz="6" w:space="0"/>
              <w:left w:val="single" w:color="auto" w:sz="6" w:space="0"/>
              <w:bottom w:val="single" w:color="auto" w:sz="6" w:space="0"/>
              <w:right w:val="single" w:color="auto" w:sz="6" w:space="0"/>
            </w:tcBorders>
            <w:vAlign w:val="center"/>
          </w:tcPr>
          <w:p>
            <w:pPr>
              <w:pStyle w:val="47"/>
            </w:pPr>
            <w:r>
              <w:t>0.512146</w:t>
            </w:r>
          </w:p>
        </w:tc>
        <w:tc>
          <w:tcPr>
            <w:tcW w:w="1183" w:type="dxa"/>
            <w:tcBorders>
              <w:top w:val="single" w:color="auto" w:sz="6" w:space="0"/>
              <w:left w:val="single" w:color="auto" w:sz="6" w:space="0"/>
              <w:bottom w:val="single" w:color="auto" w:sz="6" w:space="0"/>
              <w:right w:val="single" w:color="auto" w:sz="12" w:space="0"/>
            </w:tcBorders>
            <w:vAlign w:val="center"/>
          </w:tcPr>
          <w:p>
            <w:pPr>
              <w:pStyle w:val="47"/>
            </w:pPr>
            <w:r>
              <w:t>0.861323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81" w:type="dxa"/>
            <w:tcBorders>
              <w:top w:val="single" w:color="auto" w:sz="6" w:space="0"/>
              <w:left w:val="single" w:color="auto" w:sz="12" w:space="0"/>
              <w:bottom w:val="single" w:color="auto" w:sz="12" w:space="0"/>
              <w:right w:val="single" w:color="auto" w:sz="6" w:space="0"/>
            </w:tcBorders>
            <w:vAlign w:val="center"/>
          </w:tcPr>
          <w:p>
            <w:pPr>
              <w:pStyle w:val="47"/>
            </w:pPr>
            <w:r>
              <w:t>25(km/h)</w:t>
            </w:r>
          </w:p>
        </w:tc>
        <w:tc>
          <w:tcPr>
            <w:tcW w:w="1183" w:type="dxa"/>
            <w:tcBorders>
              <w:top w:val="single" w:color="auto" w:sz="6" w:space="0"/>
              <w:left w:val="single" w:color="auto" w:sz="6" w:space="0"/>
              <w:bottom w:val="single" w:color="auto" w:sz="12" w:space="0"/>
              <w:right w:val="single" w:color="auto" w:sz="6" w:space="0"/>
            </w:tcBorders>
            <w:vAlign w:val="center"/>
          </w:tcPr>
          <w:p>
            <w:pPr>
              <w:pStyle w:val="47"/>
            </w:pPr>
            <w:r>
              <w:t>0.255279</w:t>
            </w:r>
          </w:p>
        </w:tc>
        <w:tc>
          <w:tcPr>
            <w:tcW w:w="1182" w:type="dxa"/>
            <w:tcBorders>
              <w:top w:val="single" w:color="auto" w:sz="6" w:space="0"/>
              <w:left w:val="single" w:color="auto" w:sz="6" w:space="0"/>
              <w:bottom w:val="single" w:color="auto" w:sz="12" w:space="0"/>
              <w:right w:val="single" w:color="auto" w:sz="6" w:space="0"/>
            </w:tcBorders>
            <w:vAlign w:val="center"/>
          </w:tcPr>
          <w:p>
            <w:pPr>
              <w:pStyle w:val="47"/>
            </w:pPr>
            <w:r>
              <w:t>0.429326</w:t>
            </w:r>
          </w:p>
        </w:tc>
        <w:tc>
          <w:tcPr>
            <w:tcW w:w="1182" w:type="dxa"/>
            <w:tcBorders>
              <w:top w:val="single" w:color="auto" w:sz="6" w:space="0"/>
              <w:left w:val="single" w:color="auto" w:sz="6" w:space="0"/>
              <w:bottom w:val="single" w:color="auto" w:sz="12" w:space="0"/>
              <w:right w:val="single" w:color="auto" w:sz="6" w:space="0"/>
            </w:tcBorders>
            <w:vAlign w:val="center"/>
          </w:tcPr>
          <w:p>
            <w:pPr>
              <w:pStyle w:val="47"/>
            </w:pPr>
            <w:r>
              <w:t>0.58191</w:t>
            </w:r>
          </w:p>
        </w:tc>
        <w:tc>
          <w:tcPr>
            <w:tcW w:w="1182" w:type="dxa"/>
            <w:tcBorders>
              <w:top w:val="single" w:color="auto" w:sz="6" w:space="0"/>
              <w:left w:val="single" w:color="auto" w:sz="6" w:space="0"/>
              <w:bottom w:val="single" w:color="auto" w:sz="12" w:space="0"/>
              <w:right w:val="single" w:color="auto" w:sz="6" w:space="0"/>
            </w:tcBorders>
            <w:vAlign w:val="center"/>
          </w:tcPr>
          <w:p>
            <w:pPr>
              <w:pStyle w:val="47"/>
            </w:pPr>
            <w:r>
              <w:t>0.722038</w:t>
            </w:r>
          </w:p>
        </w:tc>
        <w:tc>
          <w:tcPr>
            <w:tcW w:w="1183" w:type="dxa"/>
            <w:tcBorders>
              <w:top w:val="single" w:color="auto" w:sz="6" w:space="0"/>
              <w:left w:val="single" w:color="auto" w:sz="6" w:space="0"/>
              <w:bottom w:val="single" w:color="auto" w:sz="12" w:space="0"/>
              <w:right w:val="single" w:color="auto" w:sz="6" w:space="0"/>
            </w:tcBorders>
            <w:vAlign w:val="center"/>
          </w:tcPr>
          <w:p>
            <w:pPr>
              <w:pStyle w:val="47"/>
            </w:pPr>
            <w:r>
              <w:t>0.853577</w:t>
            </w:r>
          </w:p>
        </w:tc>
        <w:tc>
          <w:tcPr>
            <w:tcW w:w="1183" w:type="dxa"/>
            <w:tcBorders>
              <w:top w:val="single" w:color="auto" w:sz="6" w:space="0"/>
              <w:left w:val="single" w:color="auto" w:sz="6" w:space="0"/>
              <w:bottom w:val="single" w:color="auto" w:sz="12" w:space="0"/>
              <w:right w:val="single" w:color="auto" w:sz="12" w:space="0"/>
            </w:tcBorders>
            <w:vAlign w:val="center"/>
          </w:tcPr>
          <w:p>
            <w:pPr>
              <w:pStyle w:val="47"/>
            </w:pPr>
            <w:r>
              <w:t>1.435539</w:t>
            </w:r>
          </w:p>
        </w:tc>
      </w:tr>
    </w:tbl>
    <w:p>
      <w:pPr>
        <w:pStyle w:val="40"/>
        <w:ind w:firstLine="480"/>
      </w:pPr>
      <w:r>
        <w:rPr>
          <w:rFonts w:hint="eastAsia"/>
        </w:rPr>
        <w:t>项目施工期间应严格执行《陕西省扬尘污染专项整治行动方案》、《陕西省铁蓝天保卫战2022年</w:t>
      </w:r>
      <w:r>
        <w:t>工作</w:t>
      </w:r>
      <w:r>
        <w:rPr>
          <w:rFonts w:hint="eastAsia"/>
        </w:rPr>
        <w:t>方案》（</w:t>
      </w:r>
      <w:r>
        <w:t>2022.3.14</w:t>
      </w:r>
      <w:r>
        <w:rPr>
          <w:rFonts w:hint="eastAsia"/>
        </w:rPr>
        <w:t>）、《安康市蓝天碧水净土保卫战2021年工作实施方案》</w:t>
      </w:r>
      <w:r>
        <w:rPr>
          <w:rFonts w:hint="eastAsia" w:hAnsi="宋体"/>
        </w:rPr>
        <w:t>等</w:t>
      </w:r>
      <w:r>
        <w:rPr>
          <w:rFonts w:hint="eastAsia"/>
        </w:rPr>
        <w:t>关于控制施工工地扬尘的环境保护管理办法，全面落实建筑施工“六个100%管理+扬尘排放质量管理+红黄绿牌结果管理”的防治联动制度，可有效地遏制施工扬尘的生成，通过采取减少露天堆放和保证一定的含水率及减少裸露地面等措施后，风力起尘对环境的影响较小。</w:t>
      </w:r>
    </w:p>
    <w:p>
      <w:pPr>
        <w:pStyle w:val="40"/>
        <w:ind w:firstLine="482"/>
        <w:rPr>
          <w:b/>
        </w:rPr>
      </w:pPr>
      <w:r>
        <w:rPr>
          <w:b/>
        </w:rPr>
        <w:t>2</w:t>
      </w:r>
      <w:r>
        <w:rPr>
          <w:rFonts w:hint="eastAsia"/>
          <w:b/>
        </w:rPr>
        <w:t>、施工机械废气影响分析</w:t>
      </w:r>
    </w:p>
    <w:p>
      <w:pPr>
        <w:pStyle w:val="40"/>
        <w:ind w:firstLine="480"/>
      </w:pPr>
      <w:r>
        <w:rPr>
          <w:rFonts w:hint="eastAsia"/>
        </w:rPr>
        <w:t>（</w:t>
      </w:r>
      <w:r>
        <w:t>1</w:t>
      </w:r>
      <w:r>
        <w:rPr>
          <w:rFonts w:hint="eastAsia"/>
        </w:rPr>
        <w:t>）废气主要来源</w:t>
      </w:r>
    </w:p>
    <w:p>
      <w:pPr>
        <w:pStyle w:val="40"/>
        <w:ind w:firstLine="480"/>
      </w:pPr>
      <w:r>
        <w:rPr>
          <w:rFonts w:hint="eastAsia"/>
        </w:rPr>
        <w:t>施工建设期间，废气主要来自施工机械运行排放废气、各种物料运输车辆排放汽车尾气等对环境空气的影响。</w:t>
      </w:r>
    </w:p>
    <w:p>
      <w:pPr>
        <w:pStyle w:val="40"/>
        <w:ind w:firstLine="480"/>
      </w:pPr>
      <w:r>
        <w:rPr>
          <w:rFonts w:hint="eastAsia"/>
        </w:rPr>
        <w:t>（</w:t>
      </w:r>
      <w:r>
        <w:t>2</w:t>
      </w:r>
      <w:r>
        <w:rPr>
          <w:rFonts w:hint="eastAsia"/>
        </w:rPr>
        <w:t>）车辆尾气环境影响分析</w:t>
      </w:r>
    </w:p>
    <w:p>
      <w:pPr>
        <w:pStyle w:val="40"/>
        <w:ind w:firstLine="480"/>
      </w:pPr>
      <w:r>
        <w:rPr>
          <w:rFonts w:hint="eastAsia"/>
        </w:rPr>
        <w:t>车辆尾气中主要污染物为</w:t>
      </w:r>
      <w:r>
        <w:t>CO</w:t>
      </w:r>
      <w:r>
        <w:rPr>
          <w:rFonts w:hint="eastAsia"/>
        </w:rPr>
        <w:t>、</w:t>
      </w:r>
      <w:r>
        <w:t>NOx</w:t>
      </w:r>
      <w:r>
        <w:rPr>
          <w:rFonts w:hint="eastAsia"/>
        </w:rPr>
        <w:t>及碳氢化合物等，间断排放，工程在加强施工车辆运行管理与维护保养情况下，可减少尾气排放对环境的污染，对环境影响小。同时要求所采用的机械设备若燃用柴油，其排气污染物中的</w:t>
      </w:r>
      <w:r>
        <w:t>NOx</w:t>
      </w:r>
      <w:r>
        <w:rPr>
          <w:rFonts w:hint="eastAsia"/>
        </w:rPr>
        <w:t>、</w:t>
      </w:r>
      <w:r>
        <w:t>CO</w:t>
      </w:r>
      <w:r>
        <w:rPr>
          <w:rFonts w:hint="eastAsia"/>
        </w:rPr>
        <w:t>及</w:t>
      </w:r>
      <w:r>
        <w:t>CH</w:t>
      </w:r>
      <w:r>
        <w:rPr>
          <w:rFonts w:hint="eastAsia"/>
        </w:rPr>
        <w:t>化合物等排放量不应该超过《非道路移动机械用柴油机排气污染物排放限制及测量方法》（</w:t>
      </w:r>
      <w:r>
        <w:t>GB20891-2014</w:t>
      </w:r>
      <w:r>
        <w:rPr>
          <w:rFonts w:hint="eastAsia"/>
        </w:rPr>
        <w:t>）（中国第三、四阶段）排放限值。</w:t>
      </w:r>
    </w:p>
    <w:p>
      <w:pPr>
        <w:pStyle w:val="4"/>
        <w:adjustRightInd w:val="0"/>
        <w:snapToGrid w:val="0"/>
      </w:pPr>
      <w:bookmarkStart w:id="52" w:name="_Toc12149"/>
      <w:r>
        <w:t>施工期水环境影响分析</w:t>
      </w:r>
      <w:bookmarkEnd w:id="52"/>
    </w:p>
    <w:p>
      <w:pPr>
        <w:pStyle w:val="49"/>
        <w:ind w:firstLine="480"/>
      </w:pPr>
      <w:r>
        <w:rPr>
          <w:rFonts w:hint="eastAsia"/>
        </w:rPr>
        <w:t>施工期废水来自生产废水和施工人员的生活污水。</w:t>
      </w:r>
    </w:p>
    <w:p>
      <w:pPr>
        <w:pStyle w:val="49"/>
        <w:ind w:firstLine="480"/>
      </w:pPr>
      <w:r>
        <w:rPr>
          <w:rFonts w:hint="eastAsia"/>
        </w:rPr>
        <w:t>（</w:t>
      </w:r>
      <w:r>
        <w:t>1</w:t>
      </w:r>
      <w:r>
        <w:rPr>
          <w:rFonts w:hint="eastAsia"/>
        </w:rPr>
        <w:t>）生产废水</w:t>
      </w:r>
    </w:p>
    <w:p>
      <w:pPr>
        <w:pStyle w:val="49"/>
        <w:ind w:firstLine="480"/>
      </w:pPr>
      <w:r>
        <w:rPr>
          <w:rFonts w:hint="eastAsia"/>
        </w:rPr>
        <w:t>生产废水来源于施工机械洗涤、施工现场清洗、建材清洗、养护等产生的废水。一般施工废水往往偏碱性</w:t>
      </w:r>
      <w:r>
        <w:t>pH</w:t>
      </w:r>
      <w:r>
        <w:rPr>
          <w:rFonts w:hint="eastAsia"/>
        </w:rPr>
        <w:t>值在</w:t>
      </w:r>
      <w:r>
        <w:t>10</w:t>
      </w:r>
      <w:r>
        <w:rPr>
          <w:rFonts w:hint="eastAsia"/>
        </w:rPr>
        <w:t>左右，</w:t>
      </w:r>
      <w:r>
        <w:t>SS</w:t>
      </w:r>
      <w:r>
        <w:rPr>
          <w:rFonts w:hint="eastAsia"/>
        </w:rPr>
        <w:t>约</w:t>
      </w:r>
      <w:r>
        <w:t>1000</w:t>
      </w:r>
      <w:r>
        <w:rPr>
          <w:rFonts w:hint="eastAsia"/>
        </w:rPr>
        <w:t>～</w:t>
      </w:r>
      <w:r>
        <w:t>6000mg/L</w:t>
      </w:r>
      <w:r>
        <w:rPr>
          <w:rFonts w:hint="eastAsia"/>
        </w:rPr>
        <w:t>，石油类</w:t>
      </w:r>
      <w:r>
        <w:t>15mg/L</w:t>
      </w:r>
      <w:r>
        <w:rPr>
          <w:rFonts w:hint="eastAsia"/>
        </w:rPr>
        <w:t>。施工期施工废水经沉淀池处理后回用，禁止外排。</w:t>
      </w:r>
    </w:p>
    <w:p>
      <w:pPr>
        <w:pStyle w:val="49"/>
        <w:ind w:firstLine="480"/>
      </w:pPr>
      <w:r>
        <w:rPr>
          <w:rFonts w:hint="eastAsia"/>
        </w:rPr>
        <w:t>（</w:t>
      </w:r>
      <w:r>
        <w:t>2</w:t>
      </w:r>
      <w:r>
        <w:rPr>
          <w:rFonts w:hint="eastAsia"/>
        </w:rPr>
        <w:t>）生活污水</w:t>
      </w:r>
    </w:p>
    <w:p>
      <w:pPr>
        <w:pStyle w:val="49"/>
        <w:ind w:firstLine="480"/>
      </w:pPr>
      <w:r>
        <w:rPr>
          <w:rFonts w:hint="eastAsia"/>
        </w:rPr>
        <w:t>根据估算，项目高峰期施工人数约</w:t>
      </w:r>
      <w:r>
        <w:t>30</w:t>
      </w:r>
      <w:r>
        <w:rPr>
          <w:rFonts w:hint="eastAsia"/>
        </w:rPr>
        <w:t>人左右，施工人员用水量按</w:t>
      </w:r>
      <w:r>
        <w:t>35L/d</w:t>
      </w:r>
      <w:r>
        <w:rPr>
          <w:rFonts w:hint="eastAsia"/>
        </w:rPr>
        <w:t>，污水产生系数以</w:t>
      </w:r>
      <w:r>
        <w:t>0.85</w:t>
      </w:r>
      <w:r>
        <w:rPr>
          <w:rFonts w:hint="eastAsia"/>
        </w:rPr>
        <w:t>计，则施工期废水产生量为</w:t>
      </w:r>
      <w:r>
        <w:t>0.9m</w:t>
      </w:r>
      <w:r>
        <w:rPr>
          <w:vertAlign w:val="superscript"/>
        </w:rPr>
        <w:t>3</w:t>
      </w:r>
      <w:r>
        <w:t>/d</w:t>
      </w:r>
      <w:r>
        <w:rPr>
          <w:rFonts w:hint="eastAsia"/>
        </w:rPr>
        <w:t>，</w:t>
      </w:r>
      <w:r>
        <w:rPr>
          <w:rFonts w:hint="eastAsia"/>
          <w:lang w:val="en-GB"/>
        </w:rPr>
        <w:t>主要污染因子为</w:t>
      </w:r>
      <w:r>
        <w:rPr>
          <w:lang w:val="en-GB"/>
        </w:rPr>
        <w:t>BOD</w:t>
      </w:r>
      <w:r>
        <w:rPr>
          <w:vertAlign w:val="subscript"/>
          <w:lang w:val="en-GB"/>
        </w:rPr>
        <w:t>5</w:t>
      </w:r>
      <w:r>
        <w:rPr>
          <w:rFonts w:hint="eastAsia"/>
          <w:lang w:val="en-GB"/>
        </w:rPr>
        <w:t>、</w:t>
      </w:r>
      <w:r>
        <w:rPr>
          <w:lang w:val="en-GB"/>
        </w:rPr>
        <w:t>COD</w:t>
      </w:r>
      <w:r>
        <w:rPr>
          <w:rFonts w:hint="eastAsia"/>
          <w:lang w:val="en-GB"/>
        </w:rPr>
        <w:t>、</w:t>
      </w:r>
      <w:r>
        <w:rPr>
          <w:rFonts w:hAnsi="宋体"/>
          <w:szCs w:val="20"/>
        </w:rPr>
        <w:t>NH</w:t>
      </w:r>
      <w:r>
        <w:rPr>
          <w:rFonts w:hAnsi="宋体"/>
          <w:szCs w:val="20"/>
          <w:vertAlign w:val="subscript"/>
        </w:rPr>
        <w:t>3</w:t>
      </w:r>
      <w:r>
        <w:rPr>
          <w:rFonts w:hAnsi="宋体"/>
          <w:szCs w:val="20"/>
        </w:rPr>
        <w:t>-N</w:t>
      </w:r>
      <w:r>
        <w:rPr>
          <w:rFonts w:hint="eastAsia"/>
          <w:lang w:val="en-GB"/>
        </w:rPr>
        <w:t>、</w:t>
      </w:r>
      <w:r>
        <w:rPr>
          <w:lang w:val="en-GB"/>
        </w:rPr>
        <w:t>SS</w:t>
      </w:r>
      <w:r>
        <w:rPr>
          <w:rFonts w:hint="eastAsia"/>
          <w:lang w:val="en-GB"/>
        </w:rPr>
        <w:t>等，</w:t>
      </w:r>
      <w:r>
        <w:rPr>
          <w:rFonts w:hint="eastAsia"/>
        </w:rPr>
        <w:t>施工期生活污水设置旱厕</w:t>
      </w:r>
      <w:r>
        <w:t>处理，旱厕</w:t>
      </w:r>
      <w:r>
        <w:rPr>
          <w:rFonts w:hint="eastAsia"/>
        </w:rPr>
        <w:t>由</w:t>
      </w:r>
      <w:r>
        <w:t>附近村民定期清掏，</w:t>
      </w:r>
      <w:r>
        <w:rPr>
          <w:rFonts w:hint="eastAsia"/>
        </w:rPr>
        <w:t>对项目周围的水环境影响较小。</w:t>
      </w:r>
    </w:p>
    <w:p>
      <w:pPr>
        <w:pStyle w:val="4"/>
        <w:adjustRightInd w:val="0"/>
        <w:snapToGrid w:val="0"/>
      </w:pPr>
      <w:bookmarkStart w:id="53" w:name="_Toc12109"/>
      <w:r>
        <w:t>施工期声环境影响分析</w:t>
      </w:r>
      <w:bookmarkEnd w:id="53"/>
    </w:p>
    <w:p>
      <w:pPr>
        <w:pStyle w:val="49"/>
        <w:ind w:firstLine="480"/>
      </w:pPr>
      <w:bookmarkStart w:id="54" w:name="_Toc25590"/>
      <w:bookmarkStart w:id="55" w:name="_Toc406942378"/>
      <w:bookmarkStart w:id="56" w:name="_Toc391912395"/>
      <w:bookmarkStart w:id="57" w:name="_Toc16715"/>
      <w:bookmarkStart w:id="58" w:name="_Toc30961"/>
      <w:bookmarkStart w:id="59" w:name="_Toc400975756"/>
      <w:r>
        <w:rPr>
          <w:rFonts w:hint="eastAsia"/>
          <w:snapToGrid w:val="0"/>
        </w:rPr>
        <w:t>施工期主要噪声源为施工机械的高噪声以及运输车辆的交通噪声，施工期噪声对施工现场人员及周围的环境敏感目标环境将产生一定的影响，但为暂时性的，随着施</w:t>
      </w:r>
      <w:r>
        <w:rPr>
          <w:rFonts w:hint="eastAsia"/>
        </w:rPr>
        <w:t>工的结束影响将结束。</w:t>
      </w:r>
    </w:p>
    <w:p>
      <w:pPr>
        <w:pStyle w:val="49"/>
        <w:ind w:firstLine="482"/>
        <w:rPr>
          <w:b/>
        </w:rPr>
      </w:pPr>
      <w:r>
        <w:rPr>
          <w:rFonts w:hint="eastAsia"/>
          <w:b/>
        </w:rPr>
        <w:t>1、施工期主要噪声源</w:t>
      </w:r>
    </w:p>
    <w:p>
      <w:pPr>
        <w:pStyle w:val="40"/>
        <w:adjustRightInd w:val="0"/>
        <w:snapToGrid w:val="0"/>
        <w:ind w:firstLine="480"/>
      </w:pPr>
      <w:r>
        <w:rPr>
          <w:rFonts w:hint="eastAsia"/>
        </w:rPr>
        <w:t>噪声污染是施工期的主要环境问题，噪声源主要为各种施工机械和运输车辆，施工期主要设备噪声源为翻斗机、推土机、装载机、挖掘机等。噪声源强约在</w:t>
      </w:r>
      <w:r>
        <w:t>85~90dB</w:t>
      </w:r>
      <w:r>
        <w:rPr>
          <w:rFonts w:hint="eastAsia"/>
        </w:rPr>
        <w:t>（</w:t>
      </w:r>
      <w:r>
        <w:t>A</w:t>
      </w:r>
      <w:r>
        <w:rPr>
          <w:rFonts w:hint="eastAsia"/>
        </w:rPr>
        <w:t>），具有噪声源相对稳定和施工作业时间不稳定、波动性大的特征。应做好施工的程序安排，将施工期间产生的噪声污染降低到最小程度。项目主要施工设备及源强见表4.2-1，运输车辆源强见表4.2-2。</w:t>
      </w:r>
    </w:p>
    <w:p>
      <w:pPr>
        <w:pStyle w:val="49"/>
        <w:ind w:firstLine="482"/>
        <w:rPr>
          <w:b/>
        </w:rPr>
      </w:pPr>
      <w:r>
        <w:rPr>
          <w:rFonts w:hint="eastAsia"/>
          <w:b/>
        </w:rPr>
        <w:t>2、施工期噪声预测结果及影响分析</w:t>
      </w:r>
    </w:p>
    <w:p>
      <w:pPr>
        <w:pStyle w:val="40"/>
        <w:ind w:firstLine="480"/>
      </w:pPr>
      <w:r>
        <w:rPr>
          <w:rFonts w:hint="eastAsia"/>
        </w:rPr>
        <w:t>根据声环境评价导则的有关规定，选用噪声预测模式。</w:t>
      </w:r>
    </w:p>
    <w:p>
      <w:pPr>
        <w:pStyle w:val="40"/>
        <w:ind w:firstLine="480"/>
      </w:pPr>
      <w:r>
        <w:rPr>
          <w:rFonts w:hint="eastAsia"/>
        </w:rPr>
        <w:t>噪声从声源传播到受声点，受传播距离，空气吸收，阻挡物的反射与屏障等因素的影响而产生衰减。用</w:t>
      </w:r>
      <w:r>
        <w:t>A</w:t>
      </w:r>
      <w:r>
        <w:rPr>
          <w:rFonts w:hint="eastAsia"/>
        </w:rPr>
        <w:t>声级进行预测时，其预测模式如下：</w:t>
      </w:r>
    </w:p>
    <w:p>
      <w:pPr>
        <w:pStyle w:val="40"/>
        <w:ind w:firstLine="480"/>
        <w:jc w:val="center"/>
      </w:pPr>
      <w:r>
        <w:t>LA(r)</w:t>
      </w:r>
      <w:r>
        <w:rPr>
          <w:rFonts w:hint="eastAsia"/>
        </w:rPr>
        <w:t>＝</w:t>
      </w:r>
      <w:r>
        <w:t>LA(r</w:t>
      </w:r>
      <w:r>
        <w:rPr>
          <w:vertAlign w:val="subscript"/>
        </w:rPr>
        <w:t>0</w:t>
      </w:r>
      <w:r>
        <w:t>)</w:t>
      </w:r>
      <w:r>
        <w:rPr>
          <w:rFonts w:hint="eastAsia"/>
        </w:rPr>
        <w:t>－</w:t>
      </w:r>
      <w:r>
        <w:t>(A</w:t>
      </w:r>
      <w:r>
        <w:rPr>
          <w:vertAlign w:val="subscript"/>
        </w:rPr>
        <w:t>der</w:t>
      </w:r>
      <w:r>
        <w:rPr>
          <w:rFonts w:hint="eastAsia"/>
        </w:rPr>
        <w:t>＋</w:t>
      </w:r>
      <w:r>
        <w:t>A</w:t>
      </w:r>
      <w:r>
        <w:rPr>
          <w:vertAlign w:val="subscript"/>
        </w:rPr>
        <w:t>bar</w:t>
      </w:r>
      <w:r>
        <w:rPr>
          <w:rFonts w:hint="eastAsia"/>
        </w:rPr>
        <w:t>＋</w:t>
      </w:r>
      <w:r>
        <w:t>A</w:t>
      </w:r>
      <w:r>
        <w:rPr>
          <w:vertAlign w:val="subscript"/>
        </w:rPr>
        <w:t>atam</w:t>
      </w:r>
      <w:r>
        <w:rPr>
          <w:rFonts w:hint="eastAsia"/>
        </w:rPr>
        <w:t>＋</w:t>
      </w:r>
      <w:r>
        <w:t>A</w:t>
      </w:r>
      <w:r>
        <w:rPr>
          <w:vertAlign w:val="subscript"/>
        </w:rPr>
        <w:t>exc</w:t>
      </w:r>
      <w:r>
        <w:t>)</w:t>
      </w:r>
    </w:p>
    <w:p>
      <w:pPr>
        <w:pStyle w:val="40"/>
        <w:ind w:firstLine="480"/>
      </w:pPr>
      <w:r>
        <w:rPr>
          <w:rFonts w:hint="eastAsia"/>
        </w:rPr>
        <w:t>式中，</w:t>
      </w:r>
      <w:r>
        <w:t>LA(r)</w:t>
      </w:r>
      <w:r>
        <w:rPr>
          <w:rFonts w:hint="eastAsia"/>
        </w:rPr>
        <w:t>－距声源</w:t>
      </w:r>
      <w:r>
        <w:t>r</w:t>
      </w:r>
      <w:r>
        <w:rPr>
          <w:rFonts w:hint="eastAsia"/>
        </w:rPr>
        <w:t>处的</w:t>
      </w:r>
      <w:r>
        <w:t>A</w:t>
      </w:r>
      <w:r>
        <w:rPr>
          <w:rFonts w:hint="eastAsia"/>
        </w:rPr>
        <w:t>声级；</w:t>
      </w:r>
    </w:p>
    <w:p>
      <w:pPr>
        <w:pStyle w:val="40"/>
        <w:ind w:firstLine="480"/>
      </w:pPr>
      <w:r>
        <w:t>LA(r</w:t>
      </w:r>
      <w:r>
        <w:rPr>
          <w:vertAlign w:val="subscript"/>
        </w:rPr>
        <w:t>0</w:t>
      </w:r>
      <w:r>
        <w:t>)</w:t>
      </w:r>
      <w:r>
        <w:rPr>
          <w:rFonts w:hint="eastAsia"/>
        </w:rPr>
        <w:t>－参考位置</w:t>
      </w:r>
      <w:r>
        <w:t>r</w:t>
      </w:r>
      <w:r>
        <w:rPr>
          <w:vertAlign w:val="subscript"/>
        </w:rPr>
        <w:t>0</w:t>
      </w:r>
      <w:r>
        <w:rPr>
          <w:rFonts w:hint="eastAsia"/>
        </w:rPr>
        <w:t>处的</w:t>
      </w:r>
      <w:r>
        <w:t>A</w:t>
      </w:r>
      <w:r>
        <w:rPr>
          <w:rFonts w:hint="eastAsia"/>
        </w:rPr>
        <w:t>声级；</w:t>
      </w:r>
    </w:p>
    <w:p>
      <w:pPr>
        <w:pStyle w:val="40"/>
        <w:ind w:firstLine="480"/>
      </w:pPr>
      <w:r>
        <w:t>A</w:t>
      </w:r>
      <w:r>
        <w:rPr>
          <w:vertAlign w:val="subscript"/>
        </w:rPr>
        <w:t>der</w:t>
      </w:r>
      <w:r>
        <w:rPr>
          <w:rFonts w:hint="eastAsia"/>
        </w:rPr>
        <w:t>－声波几何发散所引起的</w:t>
      </w:r>
      <w:r>
        <w:t>A</w:t>
      </w:r>
      <w:r>
        <w:rPr>
          <w:rFonts w:hint="eastAsia"/>
        </w:rPr>
        <w:t>声级衰减量，即距离所引起的衰减；</w:t>
      </w:r>
    </w:p>
    <w:p>
      <w:pPr>
        <w:pStyle w:val="40"/>
        <w:ind w:firstLine="480"/>
      </w:pPr>
      <w:r>
        <w:t>A</w:t>
      </w:r>
      <w:r>
        <w:rPr>
          <w:vertAlign w:val="subscript"/>
        </w:rPr>
        <w:t>bar</w:t>
      </w:r>
      <w:r>
        <w:rPr>
          <w:rFonts w:hint="eastAsia"/>
        </w:rPr>
        <w:t>－遮挡物所引起的</w:t>
      </w:r>
      <w:r>
        <w:t>A</w:t>
      </w:r>
      <w:r>
        <w:rPr>
          <w:rFonts w:hint="eastAsia"/>
        </w:rPr>
        <w:t>声级衰减量；</w:t>
      </w:r>
    </w:p>
    <w:p>
      <w:pPr>
        <w:pStyle w:val="40"/>
        <w:ind w:firstLine="480"/>
      </w:pPr>
      <w:r>
        <w:t>A</w:t>
      </w:r>
      <w:r>
        <w:rPr>
          <w:vertAlign w:val="subscript"/>
        </w:rPr>
        <w:t>atam</w:t>
      </w:r>
      <w:r>
        <w:rPr>
          <w:rFonts w:hint="eastAsia"/>
        </w:rPr>
        <w:t>－空气吸收所引起的</w:t>
      </w:r>
      <w:r>
        <w:t>A</w:t>
      </w:r>
      <w:r>
        <w:rPr>
          <w:rFonts w:hint="eastAsia"/>
        </w:rPr>
        <w:t>声级衰减量，一般情况下可忽略不计；</w:t>
      </w:r>
    </w:p>
    <w:p>
      <w:pPr>
        <w:pStyle w:val="40"/>
        <w:ind w:firstLine="480"/>
      </w:pPr>
      <w:r>
        <w:t>A</w:t>
      </w:r>
      <w:r>
        <w:rPr>
          <w:vertAlign w:val="subscript"/>
        </w:rPr>
        <w:t>exc</w:t>
      </w:r>
      <w:r>
        <w:rPr>
          <w:rFonts w:hint="eastAsia"/>
        </w:rPr>
        <w:t>－附加</w:t>
      </w:r>
      <w:r>
        <w:t>A</w:t>
      </w:r>
      <w:r>
        <w:rPr>
          <w:rFonts w:hint="eastAsia"/>
        </w:rPr>
        <w:t>声级衰减量。一般情况下的环境影响评价中，不需考虑风、云、雾及温度梯度所引起的附加影响。</w:t>
      </w:r>
    </w:p>
    <w:p>
      <w:pPr>
        <w:pStyle w:val="40"/>
        <w:ind w:firstLine="480"/>
      </w:pPr>
      <w:r>
        <w:rPr>
          <w:rFonts w:hint="eastAsia"/>
        </w:rPr>
        <w:t>本次评价采用下列公式计算距离施工机械不同距离处的噪声值。</w:t>
      </w:r>
    </w:p>
    <w:p>
      <w:pPr>
        <w:pStyle w:val="40"/>
        <w:ind w:firstLine="480"/>
      </w:pPr>
      <w:r>
        <w:t xml:space="preserve"> L</w:t>
      </w:r>
      <w:r>
        <w:rPr>
          <w:vertAlign w:val="subscript"/>
        </w:rPr>
        <w:t>A</w:t>
      </w:r>
      <w:r>
        <w:t>(r)</w:t>
      </w:r>
      <w:r>
        <w:rPr>
          <w:rFonts w:hint="eastAsia"/>
        </w:rPr>
        <w:t>＝</w:t>
      </w:r>
      <w:r>
        <w:t>L</w:t>
      </w:r>
      <w:r>
        <w:rPr>
          <w:vertAlign w:val="subscript"/>
        </w:rPr>
        <w:t>A</w:t>
      </w:r>
      <w:r>
        <w:t>(r</w:t>
      </w:r>
      <w:r>
        <w:rPr>
          <w:vertAlign w:val="subscript"/>
        </w:rPr>
        <w:t>0</w:t>
      </w:r>
      <w:r>
        <w:t>)</w:t>
      </w:r>
      <w:r>
        <w:rPr>
          <w:rFonts w:hint="eastAsia"/>
        </w:rPr>
        <w:t>－</w:t>
      </w:r>
      <w:r>
        <w:t>A</w:t>
      </w:r>
      <w:r>
        <w:rPr>
          <w:vertAlign w:val="subscript"/>
        </w:rPr>
        <w:t>der</w:t>
      </w:r>
      <w:r>
        <w:rPr>
          <w:rFonts w:hint="eastAsia"/>
        </w:rPr>
        <w:t>＝</w:t>
      </w:r>
      <w:r>
        <w:t>L</w:t>
      </w:r>
      <w:r>
        <w:rPr>
          <w:vertAlign w:val="subscript"/>
        </w:rPr>
        <w:t>A</w:t>
      </w:r>
      <w:r>
        <w:t>(r</w:t>
      </w:r>
      <w:r>
        <w:rPr>
          <w:vertAlign w:val="subscript"/>
        </w:rPr>
        <w:t>0</w:t>
      </w:r>
      <w:r>
        <w:t>)</w:t>
      </w:r>
      <w:r>
        <w:rPr>
          <w:rFonts w:hint="eastAsia"/>
        </w:rPr>
        <w:t>－</w:t>
      </w:r>
      <w:r>
        <w:t>20 lg(r /r</w:t>
      </w:r>
      <w:r>
        <w:rPr>
          <w:vertAlign w:val="subscript"/>
        </w:rPr>
        <w:t>0</w:t>
      </w:r>
      <w:r>
        <w:t>)</w:t>
      </w:r>
    </w:p>
    <w:p>
      <w:pPr>
        <w:pStyle w:val="40"/>
        <w:ind w:firstLine="480"/>
      </w:pPr>
      <w:r>
        <w:rPr>
          <w:rFonts w:hint="eastAsia"/>
        </w:rPr>
        <w:t>多个机械同时作业的总等效连续</w:t>
      </w:r>
      <w:r>
        <w:t>A</w:t>
      </w:r>
      <w:r>
        <w:rPr>
          <w:rFonts w:hint="eastAsia"/>
        </w:rPr>
        <w:t>声级计算公式为：</w:t>
      </w:r>
    </w:p>
    <w:p>
      <w:pPr>
        <w:ind w:firstLine="480"/>
        <w:jc w:val="center"/>
        <w:rPr>
          <w:szCs w:val="24"/>
        </w:rPr>
      </w:pPr>
      <w:r>
        <w:rPr>
          <w:position w:val="-28"/>
        </w:rPr>
        <w:object>
          <v:shape id="_x0000_i1031" o:spt="75" type="#_x0000_t75" style="height:36.35pt;width:129.75pt;" o:ole="t" filled="f" o:preferrelative="t" stroked="f" coordsize="21600,21600">
            <v:path/>
            <v:fill on="f" focussize="0,0"/>
            <v:stroke on="f" joinstyle="miter"/>
            <v:imagedata r:id="rId82" o:title=""/>
            <o:lock v:ext="edit" aspectratio="t"/>
            <w10:wrap type="none"/>
            <w10:anchorlock/>
          </v:shape>
          <o:OLEObject Type="Embed" ProgID="Equation.3" ShapeID="_x0000_i1031" DrawAspect="Content" ObjectID="_1468075731" r:id="rId81">
            <o:LockedField>false</o:LockedField>
          </o:OLEObject>
        </w:object>
      </w:r>
    </w:p>
    <w:p>
      <w:pPr>
        <w:pStyle w:val="40"/>
        <w:ind w:firstLine="480"/>
      </w:pPr>
      <w:r>
        <w:rPr>
          <w:rFonts w:hint="eastAsia"/>
        </w:rPr>
        <w:t>式中，</w:t>
      </w:r>
      <w:r>
        <w:t>Leq</w:t>
      </w:r>
      <w:r>
        <w:rPr>
          <w:vertAlign w:val="subscript"/>
        </w:rPr>
        <w:t>i</w:t>
      </w:r>
      <w:r>
        <w:rPr>
          <w:rFonts w:hint="eastAsia"/>
        </w:rPr>
        <w:t>－第</w:t>
      </w:r>
      <w:r>
        <w:t>i</w:t>
      </w:r>
      <w:r>
        <w:rPr>
          <w:rFonts w:hint="eastAsia"/>
        </w:rPr>
        <w:t>个声源对某预测点的等效声级。</w:t>
      </w:r>
    </w:p>
    <w:p>
      <w:pPr>
        <w:pStyle w:val="40"/>
        <w:ind w:firstLine="480"/>
      </w:pPr>
      <w:r>
        <w:rPr>
          <w:rFonts w:hint="eastAsia"/>
        </w:rPr>
        <w:t>在预测某处的噪声值时，首先利用上式计算声源在该处的总等效连续</w:t>
      </w:r>
      <w:r>
        <w:t>A</w:t>
      </w:r>
      <w:r>
        <w:rPr>
          <w:rFonts w:hint="eastAsia"/>
        </w:rPr>
        <w:t>声级，然后叠加该处的背景值，具体计算公式如下：</w:t>
      </w:r>
      <w:r>
        <w:t xml:space="preserve"> </w:t>
      </w:r>
    </w:p>
    <w:p>
      <w:pPr>
        <w:pStyle w:val="40"/>
        <w:ind w:firstLine="480"/>
        <w:jc w:val="center"/>
      </w:pPr>
      <w:r>
        <w:t>L</w:t>
      </w:r>
      <w:r>
        <w:rPr>
          <w:vertAlign w:val="subscript"/>
        </w:rPr>
        <w:t>pt</w:t>
      </w:r>
      <w:r>
        <w:t>=10 lg(10</w:t>
      </w:r>
      <w:r>
        <w:rPr>
          <w:vertAlign w:val="superscript"/>
        </w:rPr>
        <w:t>0.1L</w:t>
      </w:r>
      <w:r>
        <w:rPr>
          <w:position w:val="-10"/>
          <w:vertAlign w:val="superscript"/>
        </w:rPr>
        <w:object>
          <v:shape id="_x0000_i1032" o:spt="75" type="#_x0000_t75" style="height:22.1pt;width:7.85pt;" o:ole="t" fillcolor="#6D6D6D" filled="f" o:preferrelative="t" stroked="f" coordsize="21600,21600">
            <v:path/>
            <v:fill on="f" focussize="0,0"/>
            <v:stroke on="f" joinstyle="miter"/>
            <v:imagedata r:id="rId84" o:title=""/>
            <o:lock v:ext="edit" aspectratio="t"/>
            <w10:wrap type="none"/>
            <w10:anchorlock/>
          </v:shape>
          <o:OLEObject Type="Embed" ProgID="Equation.3" ShapeID="_x0000_i1032" DrawAspect="Content" ObjectID="_1468075732" r:id="rId83">
            <o:LockedField>false</o:LockedField>
          </o:OLEObject>
        </w:object>
      </w:r>
      <w:r>
        <w:t>+10</w:t>
      </w:r>
      <w:r>
        <w:rPr>
          <w:vertAlign w:val="superscript"/>
        </w:rPr>
        <w:t>0.1L</w:t>
      </w:r>
      <w:r>
        <w:rPr>
          <w:position w:val="-10"/>
          <w:vertAlign w:val="superscript"/>
        </w:rPr>
        <w:object>
          <v:shape id="_x0000_i1033" o:spt="75" type="#_x0000_t75" style="height:22.1pt;width:7.85pt;" o:ole="t" fillcolor="#6D6D6D" filled="f" o:preferrelative="t" stroked="f" coordsize="21600,21600">
            <v:path/>
            <v:fill on="f" focussize="0,0"/>
            <v:stroke on="f" joinstyle="miter"/>
            <v:imagedata r:id="rId86" o:title=""/>
            <o:lock v:ext="edit" aspectratio="t"/>
            <w10:wrap type="none"/>
            <w10:anchorlock/>
          </v:shape>
          <o:OLEObject Type="Embed" ProgID="Equation.3" ShapeID="_x0000_i1033" DrawAspect="Content" ObjectID="_1468075733" r:id="rId85">
            <o:LockedField>false</o:LockedField>
          </o:OLEObject>
        </w:object>
      </w:r>
      <w:r>
        <w:t>)</w:t>
      </w:r>
    </w:p>
    <w:p>
      <w:pPr>
        <w:pStyle w:val="40"/>
        <w:ind w:firstLine="480"/>
      </w:pPr>
      <w:r>
        <w:rPr>
          <w:rFonts w:hint="eastAsia"/>
        </w:rPr>
        <w:t>式中，</w:t>
      </w:r>
      <w:r>
        <w:t>L</w:t>
      </w:r>
      <w:r>
        <w:rPr>
          <w:vertAlign w:val="subscript"/>
        </w:rPr>
        <w:t>pt</w:t>
      </w:r>
      <w:r>
        <w:rPr>
          <w:rFonts w:hint="eastAsia"/>
        </w:rPr>
        <w:t>－声场中某一点两个声源不同作用产生的总的声级；</w:t>
      </w:r>
    </w:p>
    <w:p>
      <w:pPr>
        <w:pStyle w:val="40"/>
        <w:ind w:firstLine="480"/>
      </w:pPr>
      <w:r>
        <w:t xml:space="preserve">      L</w:t>
      </w:r>
      <w:r>
        <w:rPr>
          <w:vertAlign w:val="subscript"/>
        </w:rPr>
        <w:t>1</w:t>
      </w:r>
      <w:r>
        <w:rPr>
          <w:rFonts w:hint="eastAsia"/>
        </w:rPr>
        <w:t>－该点的背景噪声值；</w:t>
      </w:r>
    </w:p>
    <w:p>
      <w:pPr>
        <w:pStyle w:val="40"/>
        <w:ind w:firstLine="480"/>
        <w:rPr>
          <w:snapToGrid w:val="0"/>
          <w:kern w:val="0"/>
        </w:rPr>
      </w:pPr>
      <w:r>
        <w:t>L</w:t>
      </w:r>
      <w:r>
        <w:rPr>
          <w:vertAlign w:val="subscript"/>
        </w:rPr>
        <w:t>2</w:t>
      </w:r>
      <w:r>
        <w:rPr>
          <w:rFonts w:hint="eastAsia"/>
        </w:rPr>
        <w:t>－各声源叠加到该点的总等效声级值。</w:t>
      </w:r>
    </w:p>
    <w:p>
      <w:pPr>
        <w:pStyle w:val="40"/>
        <w:ind w:firstLine="480"/>
      </w:pPr>
      <w:r>
        <w:rPr>
          <w:rFonts w:hint="eastAsia"/>
        </w:rPr>
        <w:t>根据以上预测方法，按不同施工阶段施工机械组合作业情况，在未采取任何降噪措施的情况下，得出不同施工阶段不同距离处的噪声预测值。</w:t>
      </w:r>
    </w:p>
    <w:p>
      <w:pPr>
        <w:pStyle w:val="40"/>
        <w:ind w:firstLine="480"/>
        <w:rPr>
          <w:rStyle w:val="41"/>
        </w:rPr>
      </w:pPr>
      <w:r>
        <w:rPr>
          <w:rFonts w:hint="eastAsia" w:hAnsi="宋体" w:cs="宋体"/>
          <w:szCs w:val="20"/>
        </w:rPr>
        <w:t>对比《建筑施工场界环境噪声排放标准》（</w:t>
      </w:r>
      <w:r>
        <w:rPr>
          <w:rFonts w:hAnsi="宋体" w:cs="宋体"/>
          <w:szCs w:val="20"/>
        </w:rPr>
        <w:t>GB12523-2011</w:t>
      </w:r>
      <w:r>
        <w:rPr>
          <w:rFonts w:hint="eastAsia" w:hAnsi="宋体" w:cs="宋体"/>
          <w:szCs w:val="20"/>
        </w:rPr>
        <w:t>）的限值（</w:t>
      </w:r>
      <w:r>
        <w:rPr>
          <w:rFonts w:hint="eastAsia" w:hAnsi="宋体"/>
        </w:rPr>
        <w:t>昼间</w:t>
      </w:r>
      <w:r>
        <w:t>70dB</w:t>
      </w:r>
      <w:r>
        <w:rPr>
          <w:rFonts w:hint="eastAsia" w:hAnsi="宋体"/>
        </w:rPr>
        <w:t>（</w:t>
      </w:r>
      <w:r>
        <w:t>A</w:t>
      </w:r>
      <w:r>
        <w:rPr>
          <w:rFonts w:hint="eastAsia" w:hAnsi="宋体"/>
        </w:rPr>
        <w:t>）、夜间</w:t>
      </w:r>
      <w:r>
        <w:t>55dB</w:t>
      </w:r>
      <w:r>
        <w:rPr>
          <w:rFonts w:hint="eastAsia" w:hAnsi="宋体"/>
        </w:rPr>
        <w:t>（</w:t>
      </w:r>
      <w:r>
        <w:t>A</w:t>
      </w:r>
      <w:r>
        <w:rPr>
          <w:rFonts w:hint="eastAsia" w:hAnsi="宋体"/>
        </w:rPr>
        <w:t>）</w:t>
      </w:r>
      <w:r>
        <w:rPr>
          <w:rFonts w:hint="eastAsia" w:hAnsi="宋体" w:cs="宋体"/>
          <w:szCs w:val="20"/>
        </w:rPr>
        <w:t>），各种建筑施工机械满足国家标准的距</w:t>
      </w:r>
      <w:r>
        <w:rPr>
          <w:rStyle w:val="41"/>
          <w:rFonts w:hint="eastAsia"/>
        </w:rPr>
        <w:t>离列于</w:t>
      </w:r>
      <w:r>
        <w:rPr>
          <w:rStyle w:val="41"/>
        </w:rPr>
        <w:fldChar w:fldCharType="begin"/>
      </w:r>
      <w:r>
        <w:rPr>
          <w:rStyle w:val="41"/>
        </w:rPr>
        <w:instrText xml:space="preserve"> REF _Ref25683642 \h  \* MERGEFORMAT </w:instrText>
      </w:r>
      <w:r>
        <w:rPr>
          <w:rStyle w:val="41"/>
        </w:rPr>
        <w:fldChar w:fldCharType="separate"/>
      </w:r>
      <w:r>
        <w:rPr>
          <w:rStyle w:val="41"/>
          <w:rFonts w:hint="eastAsia"/>
        </w:rPr>
        <w:t>表</w:t>
      </w:r>
      <w:r>
        <w:rPr>
          <w:rStyle w:val="41"/>
        </w:rPr>
        <w:t>6.1</w:t>
      </w:r>
      <w:r>
        <w:rPr>
          <w:rStyle w:val="41"/>
        </w:rPr>
        <w:noBreakHyphen/>
      </w:r>
      <w:r>
        <w:rPr>
          <w:rStyle w:val="41"/>
        </w:rPr>
        <w:t>4</w:t>
      </w:r>
      <w:r>
        <w:rPr>
          <w:rStyle w:val="41"/>
        </w:rPr>
        <w:fldChar w:fldCharType="end"/>
      </w:r>
      <w:r>
        <w:rPr>
          <w:rStyle w:val="41"/>
          <w:rFonts w:hint="eastAsia"/>
        </w:rPr>
        <w:t>。</w:t>
      </w:r>
    </w:p>
    <w:p>
      <w:pPr>
        <w:pStyle w:val="22"/>
      </w:pPr>
      <w:bookmarkStart w:id="60" w:name="_Ref25683642"/>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6.1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4</w:t>
      </w:r>
      <w:r>
        <w:fldChar w:fldCharType="end"/>
      </w:r>
      <w:bookmarkEnd w:id="60"/>
      <w:r>
        <w:t xml:space="preserve">  </w:t>
      </w:r>
      <w:r>
        <w:rPr>
          <w:rFonts w:hint="eastAsia"/>
        </w:rPr>
        <w:t>施工阶段主要噪声源及主要设备在不同距离的声级</w:t>
      </w:r>
      <w:r>
        <w:t xml:space="preserve">  </w:t>
      </w:r>
      <w:r>
        <w:rPr>
          <w:rFonts w:hint="eastAsia"/>
        </w:rPr>
        <w:t>单位：</w:t>
      </w:r>
      <w:r>
        <w:t>dB</w:t>
      </w:r>
      <w:r>
        <w:rPr>
          <w:rFonts w:hint="eastAsia"/>
        </w:rPr>
        <w:t>（</w:t>
      </w:r>
      <w:r>
        <w:t>A</w:t>
      </w:r>
      <w:r>
        <w:rPr>
          <w:rFonts w:hint="eastAsia"/>
        </w:rPr>
        <w:t>）</w:t>
      </w:r>
    </w:p>
    <w:tbl>
      <w:tblPr>
        <w:tblStyle w:val="25"/>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627"/>
        <w:gridCol w:w="614"/>
        <w:gridCol w:w="614"/>
        <w:gridCol w:w="642"/>
        <w:gridCol w:w="642"/>
        <w:gridCol w:w="616"/>
        <w:gridCol w:w="642"/>
        <w:gridCol w:w="639"/>
        <w:gridCol w:w="612"/>
        <w:gridCol w:w="614"/>
        <w:gridCol w:w="612"/>
        <w:gridCol w:w="6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Merge w:val="restart"/>
            <w:tcBorders>
              <w:top w:val="single" w:color="auto" w:sz="12" w:space="0"/>
              <w:left w:val="single" w:color="auto" w:sz="12" w:space="0"/>
              <w:bottom w:val="single" w:color="auto" w:sz="4" w:space="0"/>
              <w:right w:val="single" w:color="auto" w:sz="4" w:space="0"/>
            </w:tcBorders>
            <w:vAlign w:val="center"/>
          </w:tcPr>
          <w:p>
            <w:pPr>
              <w:pStyle w:val="78"/>
            </w:pPr>
            <w:r>
              <w:rPr>
                <w:rFonts w:hint="eastAsia"/>
              </w:rPr>
              <w:t>噪声源</w:t>
            </w:r>
          </w:p>
        </w:tc>
        <w:tc>
          <w:tcPr>
            <w:tcW w:w="627" w:type="dxa"/>
            <w:tcBorders>
              <w:top w:val="single" w:color="auto" w:sz="12" w:space="0"/>
              <w:left w:val="single" w:color="auto" w:sz="4" w:space="0"/>
              <w:bottom w:val="single" w:color="auto" w:sz="4" w:space="0"/>
              <w:right w:val="single" w:color="auto" w:sz="4" w:space="0"/>
            </w:tcBorders>
            <w:vAlign w:val="center"/>
          </w:tcPr>
          <w:p>
            <w:pPr>
              <w:pStyle w:val="78"/>
            </w:pPr>
            <w:r>
              <w:rPr>
                <w:rFonts w:hint="eastAsia"/>
              </w:rPr>
              <w:t>源强</w:t>
            </w:r>
          </w:p>
        </w:tc>
        <w:tc>
          <w:tcPr>
            <w:tcW w:w="4409" w:type="dxa"/>
            <w:gridSpan w:val="7"/>
            <w:tcBorders>
              <w:top w:val="single" w:color="auto" w:sz="12" w:space="0"/>
              <w:left w:val="single" w:color="auto" w:sz="4" w:space="0"/>
              <w:bottom w:val="single" w:color="auto" w:sz="4" w:space="0"/>
              <w:right w:val="single" w:color="auto" w:sz="4" w:space="0"/>
            </w:tcBorders>
            <w:vAlign w:val="center"/>
          </w:tcPr>
          <w:p>
            <w:pPr>
              <w:pStyle w:val="78"/>
            </w:pPr>
            <w:r>
              <w:rPr>
                <w:rFonts w:hint="eastAsia"/>
              </w:rPr>
              <w:t>距噪声源不同距离（</w:t>
            </w:r>
            <w:r>
              <w:t>m</w:t>
            </w:r>
            <w:r>
              <w:rPr>
                <w:rFonts w:hint="eastAsia"/>
              </w:rPr>
              <w:t>）噪声贡献值</w:t>
            </w:r>
          </w:p>
        </w:tc>
        <w:tc>
          <w:tcPr>
            <w:tcW w:w="1226" w:type="dxa"/>
            <w:gridSpan w:val="2"/>
            <w:tcBorders>
              <w:top w:val="single" w:color="auto" w:sz="12" w:space="0"/>
              <w:left w:val="single" w:color="auto" w:sz="4" w:space="0"/>
              <w:bottom w:val="single" w:color="auto" w:sz="4" w:space="0"/>
              <w:right w:val="single" w:color="auto" w:sz="4" w:space="0"/>
            </w:tcBorders>
            <w:vAlign w:val="center"/>
          </w:tcPr>
          <w:p>
            <w:pPr>
              <w:pStyle w:val="78"/>
            </w:pPr>
            <w:r>
              <w:rPr>
                <w:rFonts w:hint="eastAsia"/>
              </w:rPr>
              <w:t>评价标准</w:t>
            </w:r>
          </w:p>
          <w:p>
            <w:pPr>
              <w:pStyle w:val="78"/>
            </w:pPr>
            <w:r>
              <w:t>dB(A)</w:t>
            </w:r>
          </w:p>
        </w:tc>
        <w:tc>
          <w:tcPr>
            <w:tcW w:w="1219" w:type="dxa"/>
            <w:gridSpan w:val="2"/>
            <w:tcBorders>
              <w:top w:val="single" w:color="auto" w:sz="12" w:space="0"/>
              <w:left w:val="single" w:color="auto" w:sz="4" w:space="0"/>
              <w:bottom w:val="single" w:color="auto" w:sz="4" w:space="0"/>
              <w:right w:val="single" w:color="auto" w:sz="12" w:space="0"/>
            </w:tcBorders>
            <w:vAlign w:val="center"/>
          </w:tcPr>
          <w:p>
            <w:pPr>
              <w:pStyle w:val="78"/>
            </w:pPr>
            <w:r>
              <w:rPr>
                <w:rFonts w:hint="eastAsia"/>
              </w:rPr>
              <w:t>达标范围</w:t>
            </w:r>
            <w: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vMerge w:val="continue"/>
            <w:tcBorders>
              <w:top w:val="single" w:color="auto" w:sz="12" w:space="0"/>
              <w:left w:val="single" w:color="auto" w:sz="12" w:space="0"/>
              <w:bottom w:val="single" w:color="auto" w:sz="4" w:space="0"/>
              <w:right w:val="single" w:color="auto" w:sz="4" w:space="0"/>
            </w:tcBorders>
            <w:vAlign w:val="center"/>
          </w:tcPr>
          <w:p>
            <w:pPr>
              <w:pStyle w:val="78"/>
            </w:pPr>
          </w:p>
        </w:tc>
        <w:tc>
          <w:tcPr>
            <w:tcW w:w="627" w:type="dxa"/>
            <w:tcBorders>
              <w:top w:val="single" w:color="auto" w:sz="4" w:space="0"/>
              <w:left w:val="single" w:color="auto" w:sz="4" w:space="0"/>
              <w:bottom w:val="single" w:color="auto" w:sz="4" w:space="0"/>
              <w:right w:val="single" w:color="auto" w:sz="4" w:space="0"/>
            </w:tcBorders>
            <w:vAlign w:val="center"/>
          </w:tcPr>
          <w:p>
            <w:pPr>
              <w:pStyle w:val="78"/>
            </w:pPr>
            <w:r>
              <w:t>5m</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10</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20</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30</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40</w:t>
            </w:r>
          </w:p>
        </w:tc>
        <w:tc>
          <w:tcPr>
            <w:tcW w:w="616" w:type="dxa"/>
            <w:tcBorders>
              <w:top w:val="single" w:color="auto" w:sz="4" w:space="0"/>
              <w:left w:val="single" w:color="auto" w:sz="4" w:space="0"/>
              <w:bottom w:val="single" w:color="auto" w:sz="4" w:space="0"/>
              <w:right w:val="single" w:color="auto" w:sz="4" w:space="0"/>
            </w:tcBorders>
            <w:vAlign w:val="center"/>
          </w:tcPr>
          <w:p>
            <w:pPr>
              <w:pStyle w:val="78"/>
            </w:pPr>
            <w:r>
              <w:t>50</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80</w:t>
            </w:r>
          </w:p>
        </w:tc>
        <w:tc>
          <w:tcPr>
            <w:tcW w:w="639" w:type="dxa"/>
            <w:tcBorders>
              <w:top w:val="single" w:color="auto" w:sz="4" w:space="0"/>
              <w:left w:val="single" w:color="auto" w:sz="4" w:space="0"/>
              <w:bottom w:val="single" w:color="auto" w:sz="4" w:space="0"/>
              <w:right w:val="single" w:color="auto" w:sz="4" w:space="0"/>
            </w:tcBorders>
            <w:vAlign w:val="center"/>
          </w:tcPr>
          <w:p>
            <w:pPr>
              <w:pStyle w:val="78"/>
            </w:pPr>
            <w:r>
              <w:t>100</w:t>
            </w:r>
          </w:p>
        </w:tc>
        <w:tc>
          <w:tcPr>
            <w:tcW w:w="612" w:type="dxa"/>
            <w:tcBorders>
              <w:top w:val="single" w:color="auto" w:sz="4" w:space="0"/>
              <w:left w:val="single" w:color="auto" w:sz="4" w:space="0"/>
              <w:bottom w:val="single" w:color="auto" w:sz="4" w:space="0"/>
              <w:right w:val="single" w:color="auto" w:sz="4" w:space="0"/>
            </w:tcBorders>
            <w:vAlign w:val="center"/>
          </w:tcPr>
          <w:p>
            <w:pPr>
              <w:pStyle w:val="78"/>
            </w:pPr>
            <w:r>
              <w:rPr>
                <w:rFonts w:hint="eastAsia"/>
              </w:rPr>
              <w:t>昼间</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rPr>
                <w:rFonts w:hint="eastAsia"/>
              </w:rPr>
              <w:t>夜间</w:t>
            </w:r>
          </w:p>
        </w:tc>
        <w:tc>
          <w:tcPr>
            <w:tcW w:w="612" w:type="dxa"/>
            <w:tcBorders>
              <w:top w:val="single" w:color="auto" w:sz="4" w:space="0"/>
              <w:left w:val="single" w:color="auto" w:sz="4" w:space="0"/>
              <w:bottom w:val="single" w:color="auto" w:sz="4" w:space="0"/>
              <w:right w:val="single" w:color="auto" w:sz="4" w:space="0"/>
            </w:tcBorders>
            <w:vAlign w:val="center"/>
          </w:tcPr>
          <w:p>
            <w:pPr>
              <w:pStyle w:val="78"/>
            </w:pPr>
            <w:r>
              <w:rPr>
                <w:rFonts w:hint="eastAsia"/>
              </w:rPr>
              <w:t>昼间</w:t>
            </w:r>
          </w:p>
        </w:tc>
        <w:tc>
          <w:tcPr>
            <w:tcW w:w="607" w:type="dxa"/>
            <w:tcBorders>
              <w:top w:val="single" w:color="auto" w:sz="4" w:space="0"/>
              <w:left w:val="single" w:color="auto" w:sz="4" w:space="0"/>
              <w:bottom w:val="single" w:color="auto" w:sz="4" w:space="0"/>
              <w:right w:val="single" w:color="auto" w:sz="12" w:space="0"/>
            </w:tcBorders>
            <w:vAlign w:val="center"/>
          </w:tcPr>
          <w:p>
            <w:pPr>
              <w:pStyle w:val="78"/>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tcBorders>
              <w:top w:val="single" w:color="auto" w:sz="4" w:space="0"/>
              <w:left w:val="single" w:color="auto" w:sz="12" w:space="0"/>
              <w:bottom w:val="single" w:color="auto" w:sz="4" w:space="0"/>
              <w:right w:val="single" w:color="auto" w:sz="4" w:space="0"/>
            </w:tcBorders>
            <w:vAlign w:val="center"/>
          </w:tcPr>
          <w:p>
            <w:pPr>
              <w:pStyle w:val="78"/>
            </w:pPr>
            <w:r>
              <w:rPr>
                <w:rFonts w:hint="eastAsia"/>
              </w:rPr>
              <w:t>翻斗机</w:t>
            </w:r>
          </w:p>
        </w:tc>
        <w:tc>
          <w:tcPr>
            <w:tcW w:w="627" w:type="dxa"/>
            <w:tcBorders>
              <w:top w:val="single" w:color="auto" w:sz="4" w:space="0"/>
              <w:left w:val="single" w:color="auto" w:sz="4" w:space="0"/>
              <w:bottom w:val="single" w:color="auto" w:sz="4" w:space="0"/>
              <w:right w:val="single" w:color="auto" w:sz="4" w:space="0"/>
            </w:tcBorders>
            <w:vAlign w:val="center"/>
          </w:tcPr>
          <w:p>
            <w:pPr>
              <w:pStyle w:val="78"/>
            </w:pPr>
            <w:r>
              <w:t>89</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83</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77</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73.5</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71</w:t>
            </w:r>
          </w:p>
        </w:tc>
        <w:tc>
          <w:tcPr>
            <w:tcW w:w="616" w:type="dxa"/>
            <w:tcBorders>
              <w:top w:val="single" w:color="auto" w:sz="4" w:space="0"/>
              <w:left w:val="single" w:color="auto" w:sz="4" w:space="0"/>
              <w:bottom w:val="single" w:color="auto" w:sz="4" w:space="0"/>
              <w:right w:val="single" w:color="auto" w:sz="4" w:space="0"/>
            </w:tcBorders>
            <w:vAlign w:val="center"/>
          </w:tcPr>
          <w:p>
            <w:pPr>
              <w:pStyle w:val="78"/>
            </w:pPr>
            <w:r>
              <w:t>69</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65</w:t>
            </w:r>
          </w:p>
        </w:tc>
        <w:tc>
          <w:tcPr>
            <w:tcW w:w="639" w:type="dxa"/>
            <w:tcBorders>
              <w:top w:val="single" w:color="auto" w:sz="4" w:space="0"/>
              <w:left w:val="single" w:color="auto" w:sz="4" w:space="0"/>
              <w:bottom w:val="single" w:color="auto" w:sz="4" w:space="0"/>
              <w:right w:val="single" w:color="auto" w:sz="4" w:space="0"/>
            </w:tcBorders>
            <w:vAlign w:val="center"/>
          </w:tcPr>
          <w:p>
            <w:pPr>
              <w:pStyle w:val="78"/>
            </w:pPr>
            <w:r>
              <w:t>63</w:t>
            </w:r>
          </w:p>
        </w:tc>
        <w:tc>
          <w:tcPr>
            <w:tcW w:w="612" w:type="dxa"/>
            <w:vMerge w:val="restart"/>
            <w:tcBorders>
              <w:top w:val="single" w:color="auto" w:sz="4" w:space="0"/>
              <w:left w:val="single" w:color="auto" w:sz="4" w:space="0"/>
              <w:bottom w:val="single" w:color="auto" w:sz="12" w:space="0"/>
              <w:right w:val="single" w:color="auto" w:sz="4" w:space="0"/>
            </w:tcBorders>
            <w:vAlign w:val="center"/>
          </w:tcPr>
          <w:p>
            <w:pPr>
              <w:pStyle w:val="78"/>
            </w:pPr>
            <w:r>
              <w:t>70</w:t>
            </w:r>
          </w:p>
        </w:tc>
        <w:tc>
          <w:tcPr>
            <w:tcW w:w="614" w:type="dxa"/>
            <w:vMerge w:val="restart"/>
            <w:tcBorders>
              <w:top w:val="single" w:color="auto" w:sz="4" w:space="0"/>
              <w:left w:val="single" w:color="auto" w:sz="4" w:space="0"/>
              <w:bottom w:val="single" w:color="auto" w:sz="12" w:space="0"/>
              <w:right w:val="single" w:color="auto" w:sz="4" w:space="0"/>
            </w:tcBorders>
            <w:vAlign w:val="center"/>
          </w:tcPr>
          <w:p>
            <w:pPr>
              <w:pStyle w:val="78"/>
            </w:pPr>
            <w:r>
              <w:t>55</w:t>
            </w:r>
          </w:p>
        </w:tc>
        <w:tc>
          <w:tcPr>
            <w:tcW w:w="612" w:type="dxa"/>
            <w:tcBorders>
              <w:top w:val="single" w:color="auto" w:sz="4" w:space="0"/>
              <w:left w:val="single" w:color="auto" w:sz="4" w:space="0"/>
              <w:bottom w:val="single" w:color="auto" w:sz="4" w:space="0"/>
              <w:right w:val="single" w:color="auto" w:sz="4" w:space="0"/>
            </w:tcBorders>
            <w:vAlign w:val="center"/>
          </w:tcPr>
          <w:p>
            <w:pPr>
              <w:pStyle w:val="78"/>
            </w:pPr>
            <w:r>
              <w:t>44.6</w:t>
            </w:r>
          </w:p>
        </w:tc>
        <w:tc>
          <w:tcPr>
            <w:tcW w:w="607" w:type="dxa"/>
            <w:vMerge w:val="restart"/>
            <w:tcBorders>
              <w:top w:val="single" w:color="auto" w:sz="4" w:space="0"/>
              <w:left w:val="single" w:color="auto" w:sz="4" w:space="0"/>
              <w:bottom w:val="single" w:color="auto" w:sz="12" w:space="0"/>
              <w:right w:val="single" w:color="auto" w:sz="12" w:space="0"/>
            </w:tcBorders>
            <w:vAlign w:val="center"/>
          </w:tcPr>
          <w:p>
            <w:pPr>
              <w:pStyle w:val="78"/>
            </w:pPr>
            <w:r>
              <w:rPr>
                <w:rFonts w:hint="eastAsia"/>
              </w:rPr>
              <w:t>不施工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tcBorders>
              <w:top w:val="single" w:color="auto" w:sz="4" w:space="0"/>
              <w:left w:val="single" w:color="auto" w:sz="12" w:space="0"/>
              <w:bottom w:val="single" w:color="auto" w:sz="4" w:space="0"/>
              <w:right w:val="single" w:color="auto" w:sz="4" w:space="0"/>
            </w:tcBorders>
            <w:vAlign w:val="center"/>
          </w:tcPr>
          <w:p>
            <w:pPr>
              <w:pStyle w:val="78"/>
            </w:pPr>
            <w:r>
              <w:rPr>
                <w:rFonts w:hint="eastAsia"/>
              </w:rPr>
              <w:t>推土机</w:t>
            </w:r>
          </w:p>
        </w:tc>
        <w:tc>
          <w:tcPr>
            <w:tcW w:w="627" w:type="dxa"/>
            <w:tcBorders>
              <w:top w:val="single" w:color="auto" w:sz="4" w:space="0"/>
              <w:left w:val="single" w:color="auto" w:sz="4" w:space="0"/>
              <w:bottom w:val="single" w:color="auto" w:sz="4" w:space="0"/>
              <w:right w:val="single" w:color="auto" w:sz="4" w:space="0"/>
            </w:tcBorders>
            <w:vAlign w:val="center"/>
          </w:tcPr>
          <w:p>
            <w:pPr>
              <w:pStyle w:val="78"/>
            </w:pPr>
            <w:r>
              <w:t>90</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84</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78</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74.5</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72</w:t>
            </w:r>
          </w:p>
        </w:tc>
        <w:tc>
          <w:tcPr>
            <w:tcW w:w="616" w:type="dxa"/>
            <w:tcBorders>
              <w:top w:val="single" w:color="auto" w:sz="4" w:space="0"/>
              <w:left w:val="single" w:color="auto" w:sz="4" w:space="0"/>
              <w:bottom w:val="single" w:color="auto" w:sz="4" w:space="0"/>
              <w:right w:val="single" w:color="auto" w:sz="4" w:space="0"/>
            </w:tcBorders>
            <w:vAlign w:val="center"/>
          </w:tcPr>
          <w:p>
            <w:pPr>
              <w:pStyle w:val="78"/>
            </w:pPr>
            <w:r>
              <w:t>70</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66</w:t>
            </w:r>
          </w:p>
        </w:tc>
        <w:tc>
          <w:tcPr>
            <w:tcW w:w="639" w:type="dxa"/>
            <w:tcBorders>
              <w:top w:val="single" w:color="auto" w:sz="4" w:space="0"/>
              <w:left w:val="single" w:color="auto" w:sz="4" w:space="0"/>
              <w:bottom w:val="single" w:color="auto" w:sz="4" w:space="0"/>
              <w:right w:val="single" w:color="auto" w:sz="4" w:space="0"/>
            </w:tcBorders>
            <w:vAlign w:val="center"/>
          </w:tcPr>
          <w:p>
            <w:pPr>
              <w:pStyle w:val="78"/>
            </w:pPr>
            <w:r>
              <w:t>63</w:t>
            </w:r>
          </w:p>
        </w:tc>
        <w:tc>
          <w:tcPr>
            <w:tcW w:w="612"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4"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2" w:type="dxa"/>
            <w:tcBorders>
              <w:top w:val="single" w:color="auto" w:sz="4" w:space="0"/>
              <w:left w:val="single" w:color="auto" w:sz="4" w:space="0"/>
              <w:bottom w:val="single" w:color="auto" w:sz="4" w:space="0"/>
              <w:right w:val="single" w:color="auto" w:sz="4" w:space="0"/>
            </w:tcBorders>
            <w:vAlign w:val="center"/>
          </w:tcPr>
          <w:p>
            <w:pPr>
              <w:pStyle w:val="78"/>
            </w:pPr>
            <w:r>
              <w:t>50</w:t>
            </w:r>
          </w:p>
        </w:tc>
        <w:tc>
          <w:tcPr>
            <w:tcW w:w="607" w:type="dxa"/>
            <w:vMerge w:val="continue"/>
            <w:tcBorders>
              <w:top w:val="single" w:color="auto" w:sz="4" w:space="0"/>
              <w:left w:val="single" w:color="auto" w:sz="4" w:space="0"/>
              <w:bottom w:val="single" w:color="auto" w:sz="12" w:space="0"/>
              <w:right w:val="single" w:color="auto" w:sz="12" w:space="0"/>
            </w:tcBorders>
            <w:vAlign w:val="center"/>
          </w:tcPr>
          <w:p>
            <w:pPr>
              <w:pStyle w:val="7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tcBorders>
              <w:top w:val="single" w:color="auto" w:sz="4" w:space="0"/>
              <w:left w:val="single" w:color="auto" w:sz="12" w:space="0"/>
              <w:bottom w:val="single" w:color="auto" w:sz="4" w:space="0"/>
              <w:right w:val="single" w:color="auto" w:sz="4" w:space="0"/>
            </w:tcBorders>
            <w:vAlign w:val="center"/>
          </w:tcPr>
          <w:p>
            <w:pPr>
              <w:pStyle w:val="78"/>
            </w:pPr>
            <w:r>
              <w:rPr>
                <w:rFonts w:hint="eastAsia"/>
              </w:rPr>
              <w:t>装载机</w:t>
            </w:r>
          </w:p>
        </w:tc>
        <w:tc>
          <w:tcPr>
            <w:tcW w:w="627" w:type="dxa"/>
            <w:tcBorders>
              <w:top w:val="single" w:color="auto" w:sz="4" w:space="0"/>
              <w:left w:val="single" w:color="auto" w:sz="4" w:space="0"/>
              <w:bottom w:val="single" w:color="auto" w:sz="4" w:space="0"/>
              <w:right w:val="single" w:color="auto" w:sz="4" w:space="0"/>
            </w:tcBorders>
            <w:vAlign w:val="center"/>
          </w:tcPr>
          <w:p>
            <w:pPr>
              <w:pStyle w:val="78"/>
            </w:pPr>
            <w:r>
              <w:t>86</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80</w:t>
            </w:r>
          </w:p>
        </w:tc>
        <w:tc>
          <w:tcPr>
            <w:tcW w:w="614" w:type="dxa"/>
            <w:tcBorders>
              <w:top w:val="single" w:color="auto" w:sz="4" w:space="0"/>
              <w:left w:val="single" w:color="auto" w:sz="4" w:space="0"/>
              <w:bottom w:val="single" w:color="auto" w:sz="4" w:space="0"/>
              <w:right w:val="single" w:color="auto" w:sz="4" w:space="0"/>
            </w:tcBorders>
            <w:vAlign w:val="center"/>
          </w:tcPr>
          <w:p>
            <w:pPr>
              <w:pStyle w:val="78"/>
            </w:pPr>
            <w:r>
              <w:t>74</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70.5</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68</w:t>
            </w:r>
          </w:p>
        </w:tc>
        <w:tc>
          <w:tcPr>
            <w:tcW w:w="616" w:type="dxa"/>
            <w:tcBorders>
              <w:top w:val="single" w:color="auto" w:sz="4" w:space="0"/>
              <w:left w:val="single" w:color="auto" w:sz="4" w:space="0"/>
              <w:bottom w:val="single" w:color="auto" w:sz="4" w:space="0"/>
              <w:right w:val="single" w:color="auto" w:sz="4" w:space="0"/>
            </w:tcBorders>
            <w:vAlign w:val="center"/>
          </w:tcPr>
          <w:p>
            <w:pPr>
              <w:pStyle w:val="78"/>
            </w:pPr>
            <w:r>
              <w:t>66</w:t>
            </w:r>
          </w:p>
        </w:tc>
        <w:tc>
          <w:tcPr>
            <w:tcW w:w="642" w:type="dxa"/>
            <w:tcBorders>
              <w:top w:val="single" w:color="auto" w:sz="4" w:space="0"/>
              <w:left w:val="single" w:color="auto" w:sz="4" w:space="0"/>
              <w:bottom w:val="single" w:color="auto" w:sz="4" w:space="0"/>
              <w:right w:val="single" w:color="auto" w:sz="4" w:space="0"/>
            </w:tcBorders>
            <w:vAlign w:val="center"/>
          </w:tcPr>
          <w:p>
            <w:pPr>
              <w:pStyle w:val="78"/>
            </w:pPr>
            <w:r>
              <w:t>62</w:t>
            </w:r>
          </w:p>
        </w:tc>
        <w:tc>
          <w:tcPr>
            <w:tcW w:w="639" w:type="dxa"/>
            <w:tcBorders>
              <w:top w:val="single" w:color="auto" w:sz="4" w:space="0"/>
              <w:left w:val="single" w:color="auto" w:sz="4" w:space="0"/>
              <w:bottom w:val="single" w:color="auto" w:sz="4" w:space="0"/>
              <w:right w:val="single" w:color="auto" w:sz="4" w:space="0"/>
            </w:tcBorders>
            <w:vAlign w:val="center"/>
          </w:tcPr>
          <w:p>
            <w:pPr>
              <w:pStyle w:val="78"/>
            </w:pPr>
            <w:r>
              <w:t>60</w:t>
            </w:r>
          </w:p>
        </w:tc>
        <w:tc>
          <w:tcPr>
            <w:tcW w:w="612"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4"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2" w:type="dxa"/>
            <w:tcBorders>
              <w:top w:val="single" w:color="auto" w:sz="4" w:space="0"/>
              <w:left w:val="single" w:color="auto" w:sz="4" w:space="0"/>
              <w:bottom w:val="single" w:color="auto" w:sz="4" w:space="0"/>
              <w:right w:val="single" w:color="auto" w:sz="4" w:space="0"/>
            </w:tcBorders>
            <w:vAlign w:val="center"/>
          </w:tcPr>
          <w:p>
            <w:pPr>
              <w:pStyle w:val="78"/>
            </w:pPr>
            <w:r>
              <w:t>31.5</w:t>
            </w:r>
          </w:p>
        </w:tc>
        <w:tc>
          <w:tcPr>
            <w:tcW w:w="607" w:type="dxa"/>
            <w:vMerge w:val="continue"/>
            <w:tcBorders>
              <w:top w:val="single" w:color="auto" w:sz="4" w:space="0"/>
              <w:left w:val="single" w:color="auto" w:sz="4" w:space="0"/>
              <w:bottom w:val="single" w:color="auto" w:sz="12" w:space="0"/>
              <w:right w:val="single" w:color="auto" w:sz="12" w:space="0"/>
            </w:tcBorders>
            <w:vAlign w:val="center"/>
          </w:tcPr>
          <w:p>
            <w:pPr>
              <w:pStyle w:val="78"/>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95" w:type="dxa"/>
            <w:tcBorders>
              <w:top w:val="single" w:color="auto" w:sz="4" w:space="0"/>
              <w:left w:val="single" w:color="auto" w:sz="12" w:space="0"/>
              <w:bottom w:val="single" w:color="auto" w:sz="12" w:space="0"/>
              <w:right w:val="single" w:color="auto" w:sz="4" w:space="0"/>
            </w:tcBorders>
            <w:vAlign w:val="center"/>
          </w:tcPr>
          <w:p>
            <w:pPr>
              <w:pStyle w:val="78"/>
            </w:pPr>
            <w:r>
              <w:rPr>
                <w:rFonts w:hint="eastAsia"/>
              </w:rPr>
              <w:t>挖掘机</w:t>
            </w:r>
          </w:p>
        </w:tc>
        <w:tc>
          <w:tcPr>
            <w:tcW w:w="627" w:type="dxa"/>
            <w:tcBorders>
              <w:top w:val="single" w:color="auto" w:sz="4" w:space="0"/>
              <w:left w:val="single" w:color="auto" w:sz="4" w:space="0"/>
              <w:bottom w:val="single" w:color="auto" w:sz="12" w:space="0"/>
              <w:right w:val="single" w:color="auto" w:sz="4" w:space="0"/>
            </w:tcBorders>
            <w:vAlign w:val="center"/>
          </w:tcPr>
          <w:p>
            <w:pPr>
              <w:pStyle w:val="78"/>
            </w:pPr>
            <w:r>
              <w:t>85</w:t>
            </w:r>
          </w:p>
        </w:tc>
        <w:tc>
          <w:tcPr>
            <w:tcW w:w="614" w:type="dxa"/>
            <w:tcBorders>
              <w:top w:val="single" w:color="auto" w:sz="4" w:space="0"/>
              <w:left w:val="single" w:color="auto" w:sz="4" w:space="0"/>
              <w:bottom w:val="single" w:color="auto" w:sz="12" w:space="0"/>
              <w:right w:val="single" w:color="auto" w:sz="4" w:space="0"/>
            </w:tcBorders>
            <w:vAlign w:val="center"/>
          </w:tcPr>
          <w:p>
            <w:pPr>
              <w:pStyle w:val="78"/>
            </w:pPr>
            <w:r>
              <w:t>79</w:t>
            </w:r>
          </w:p>
        </w:tc>
        <w:tc>
          <w:tcPr>
            <w:tcW w:w="614" w:type="dxa"/>
            <w:tcBorders>
              <w:top w:val="single" w:color="auto" w:sz="4" w:space="0"/>
              <w:left w:val="single" w:color="auto" w:sz="4" w:space="0"/>
              <w:bottom w:val="single" w:color="auto" w:sz="12" w:space="0"/>
              <w:right w:val="single" w:color="auto" w:sz="4" w:space="0"/>
            </w:tcBorders>
            <w:vAlign w:val="center"/>
          </w:tcPr>
          <w:p>
            <w:pPr>
              <w:pStyle w:val="78"/>
            </w:pPr>
            <w:r>
              <w:t>73</w:t>
            </w:r>
          </w:p>
        </w:tc>
        <w:tc>
          <w:tcPr>
            <w:tcW w:w="642" w:type="dxa"/>
            <w:tcBorders>
              <w:top w:val="single" w:color="auto" w:sz="4" w:space="0"/>
              <w:left w:val="single" w:color="auto" w:sz="4" w:space="0"/>
              <w:bottom w:val="single" w:color="auto" w:sz="12" w:space="0"/>
              <w:right w:val="single" w:color="auto" w:sz="4" w:space="0"/>
            </w:tcBorders>
            <w:vAlign w:val="center"/>
          </w:tcPr>
          <w:p>
            <w:pPr>
              <w:pStyle w:val="78"/>
            </w:pPr>
            <w:r>
              <w:t>69.5</w:t>
            </w:r>
          </w:p>
        </w:tc>
        <w:tc>
          <w:tcPr>
            <w:tcW w:w="642" w:type="dxa"/>
            <w:tcBorders>
              <w:top w:val="single" w:color="auto" w:sz="4" w:space="0"/>
              <w:left w:val="single" w:color="auto" w:sz="4" w:space="0"/>
              <w:bottom w:val="single" w:color="auto" w:sz="12" w:space="0"/>
              <w:right w:val="single" w:color="auto" w:sz="4" w:space="0"/>
            </w:tcBorders>
            <w:vAlign w:val="center"/>
          </w:tcPr>
          <w:p>
            <w:pPr>
              <w:pStyle w:val="78"/>
            </w:pPr>
            <w:r>
              <w:t>67</w:t>
            </w:r>
          </w:p>
        </w:tc>
        <w:tc>
          <w:tcPr>
            <w:tcW w:w="616" w:type="dxa"/>
            <w:tcBorders>
              <w:top w:val="single" w:color="auto" w:sz="4" w:space="0"/>
              <w:left w:val="single" w:color="auto" w:sz="4" w:space="0"/>
              <w:bottom w:val="single" w:color="auto" w:sz="12" w:space="0"/>
              <w:right w:val="single" w:color="auto" w:sz="4" w:space="0"/>
            </w:tcBorders>
            <w:vAlign w:val="center"/>
          </w:tcPr>
          <w:p>
            <w:pPr>
              <w:pStyle w:val="78"/>
            </w:pPr>
            <w:r>
              <w:t>65</w:t>
            </w:r>
          </w:p>
        </w:tc>
        <w:tc>
          <w:tcPr>
            <w:tcW w:w="642" w:type="dxa"/>
            <w:tcBorders>
              <w:top w:val="single" w:color="auto" w:sz="4" w:space="0"/>
              <w:left w:val="single" w:color="auto" w:sz="4" w:space="0"/>
              <w:bottom w:val="single" w:color="auto" w:sz="12" w:space="0"/>
              <w:right w:val="single" w:color="auto" w:sz="4" w:space="0"/>
            </w:tcBorders>
            <w:vAlign w:val="center"/>
          </w:tcPr>
          <w:p>
            <w:pPr>
              <w:pStyle w:val="78"/>
            </w:pPr>
            <w:r>
              <w:t>61</w:t>
            </w:r>
          </w:p>
        </w:tc>
        <w:tc>
          <w:tcPr>
            <w:tcW w:w="639" w:type="dxa"/>
            <w:tcBorders>
              <w:top w:val="single" w:color="auto" w:sz="4" w:space="0"/>
              <w:left w:val="single" w:color="auto" w:sz="4" w:space="0"/>
              <w:bottom w:val="single" w:color="auto" w:sz="12" w:space="0"/>
              <w:right w:val="single" w:color="auto" w:sz="4" w:space="0"/>
            </w:tcBorders>
            <w:vAlign w:val="center"/>
          </w:tcPr>
          <w:p>
            <w:pPr>
              <w:pStyle w:val="78"/>
            </w:pPr>
            <w:r>
              <w:t>59</w:t>
            </w:r>
          </w:p>
        </w:tc>
        <w:tc>
          <w:tcPr>
            <w:tcW w:w="612"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4" w:type="dxa"/>
            <w:vMerge w:val="continue"/>
            <w:tcBorders>
              <w:top w:val="single" w:color="auto" w:sz="4" w:space="0"/>
              <w:left w:val="single" w:color="auto" w:sz="4" w:space="0"/>
              <w:bottom w:val="single" w:color="auto" w:sz="12" w:space="0"/>
              <w:right w:val="single" w:color="auto" w:sz="4" w:space="0"/>
            </w:tcBorders>
            <w:vAlign w:val="center"/>
          </w:tcPr>
          <w:p>
            <w:pPr>
              <w:pStyle w:val="78"/>
            </w:pPr>
          </w:p>
        </w:tc>
        <w:tc>
          <w:tcPr>
            <w:tcW w:w="612" w:type="dxa"/>
            <w:tcBorders>
              <w:top w:val="single" w:color="auto" w:sz="4" w:space="0"/>
              <w:left w:val="single" w:color="auto" w:sz="4" w:space="0"/>
              <w:bottom w:val="single" w:color="auto" w:sz="12" w:space="0"/>
              <w:right w:val="single" w:color="auto" w:sz="4" w:space="0"/>
            </w:tcBorders>
            <w:vAlign w:val="center"/>
          </w:tcPr>
          <w:p>
            <w:pPr>
              <w:pStyle w:val="78"/>
            </w:pPr>
            <w:r>
              <w:t>28.1</w:t>
            </w:r>
          </w:p>
        </w:tc>
        <w:tc>
          <w:tcPr>
            <w:tcW w:w="607" w:type="dxa"/>
            <w:vMerge w:val="continue"/>
            <w:tcBorders>
              <w:top w:val="single" w:color="auto" w:sz="4" w:space="0"/>
              <w:left w:val="single" w:color="auto" w:sz="4" w:space="0"/>
              <w:bottom w:val="single" w:color="auto" w:sz="12" w:space="0"/>
              <w:right w:val="single" w:color="auto" w:sz="12" w:space="0"/>
            </w:tcBorders>
            <w:vAlign w:val="center"/>
          </w:tcPr>
          <w:p>
            <w:pPr>
              <w:pStyle w:val="78"/>
            </w:pPr>
          </w:p>
        </w:tc>
      </w:tr>
    </w:tbl>
    <w:p>
      <w:pPr>
        <w:pStyle w:val="40"/>
        <w:adjustRightInd w:val="0"/>
        <w:snapToGrid w:val="0"/>
        <w:ind w:firstLine="480"/>
        <w:rPr>
          <w:rFonts w:cs="宋体"/>
          <w:kern w:val="0"/>
          <w:szCs w:val="20"/>
        </w:rPr>
      </w:pPr>
      <w:r>
        <w:rPr>
          <w:rFonts w:hint="eastAsia"/>
        </w:rPr>
        <w:t>根据</w:t>
      </w:r>
      <w:r>
        <w:rPr>
          <w:rStyle w:val="41"/>
        </w:rPr>
        <w:fldChar w:fldCharType="begin"/>
      </w:r>
      <w:r>
        <w:rPr>
          <w:rStyle w:val="41"/>
        </w:rPr>
        <w:instrText xml:space="preserve"> REF _Ref25683642 \h  \* MERGEFORMAT </w:instrText>
      </w:r>
      <w:r>
        <w:rPr>
          <w:rStyle w:val="41"/>
        </w:rPr>
        <w:fldChar w:fldCharType="separate"/>
      </w:r>
      <w:r>
        <w:rPr>
          <w:rStyle w:val="41"/>
          <w:rFonts w:hint="eastAsia"/>
        </w:rPr>
        <w:t>表</w:t>
      </w:r>
      <w:r>
        <w:rPr>
          <w:rStyle w:val="41"/>
        </w:rPr>
        <w:t>6.1</w:t>
      </w:r>
      <w:r>
        <w:rPr>
          <w:rStyle w:val="41"/>
        </w:rPr>
        <w:noBreakHyphen/>
      </w:r>
      <w:r>
        <w:rPr>
          <w:rStyle w:val="41"/>
        </w:rPr>
        <w:t>4</w:t>
      </w:r>
      <w:r>
        <w:rPr>
          <w:rStyle w:val="41"/>
        </w:rPr>
        <w:fldChar w:fldCharType="end"/>
      </w:r>
      <w:r>
        <w:rPr>
          <w:rStyle w:val="41"/>
          <w:rFonts w:hint="eastAsia"/>
        </w:rPr>
        <w:t>的</w:t>
      </w:r>
      <w:r>
        <w:rPr>
          <w:rFonts w:hint="eastAsia"/>
        </w:rPr>
        <w:t>预测结果，</w:t>
      </w:r>
      <w:r>
        <w:rPr>
          <w:rFonts w:hint="eastAsia" w:cs="宋体"/>
          <w:kern w:val="0"/>
          <w:szCs w:val="20"/>
        </w:rPr>
        <w:t>施工机械</w:t>
      </w:r>
      <w:r>
        <w:rPr>
          <w:rFonts w:hint="eastAsia" w:cs="宋体"/>
          <w:color w:val="FF0000"/>
          <w:kern w:val="0"/>
          <w:szCs w:val="20"/>
        </w:rPr>
        <w:t>单独施工过程</w:t>
      </w:r>
      <w:r>
        <w:rPr>
          <w:rFonts w:cs="宋体"/>
          <w:color w:val="FF0000"/>
          <w:kern w:val="0"/>
          <w:szCs w:val="20"/>
        </w:rPr>
        <w:t>中</w:t>
      </w:r>
      <w:r>
        <w:rPr>
          <w:rFonts w:hint="eastAsia" w:cs="宋体"/>
          <w:kern w:val="0"/>
          <w:szCs w:val="20"/>
        </w:rPr>
        <w:t>最近达标范围为</w:t>
      </w:r>
      <w:r>
        <w:rPr>
          <w:rFonts w:hint="eastAsia" w:cs="宋体"/>
          <w:color w:val="FF0000"/>
          <w:kern w:val="0"/>
          <w:szCs w:val="20"/>
        </w:rPr>
        <w:t>挖掘机施工</w:t>
      </w:r>
      <w:r>
        <w:rPr>
          <w:rFonts w:cs="宋体"/>
          <w:color w:val="FF0000"/>
          <w:kern w:val="0"/>
          <w:szCs w:val="20"/>
        </w:rPr>
        <w:t>的达标范围</w:t>
      </w:r>
      <w:r>
        <w:rPr>
          <w:rFonts w:cs="宋体"/>
          <w:kern w:val="0"/>
          <w:szCs w:val="20"/>
        </w:rPr>
        <w:t>28.1m</w:t>
      </w:r>
      <w:r>
        <w:rPr>
          <w:rFonts w:hint="eastAsia" w:cs="宋体"/>
          <w:kern w:val="0"/>
          <w:szCs w:val="20"/>
        </w:rPr>
        <w:t>，</w:t>
      </w:r>
      <w:r>
        <w:rPr>
          <w:rFonts w:hint="eastAsia" w:cs="宋体"/>
          <w:color w:val="FF0000"/>
          <w:kern w:val="0"/>
          <w:szCs w:val="20"/>
        </w:rPr>
        <w:t>最远</w:t>
      </w:r>
      <w:r>
        <w:rPr>
          <w:rFonts w:cs="宋体"/>
          <w:color w:val="FF0000"/>
          <w:kern w:val="0"/>
          <w:szCs w:val="20"/>
        </w:rPr>
        <w:t>达标范围为</w:t>
      </w:r>
      <w:r>
        <w:rPr>
          <w:rFonts w:hint="eastAsia" w:cs="宋体"/>
          <w:color w:val="FF0000"/>
          <w:kern w:val="0"/>
          <w:szCs w:val="20"/>
        </w:rPr>
        <w:t>推土机施工</w:t>
      </w:r>
      <w:r>
        <w:rPr>
          <w:rFonts w:cs="宋体"/>
          <w:color w:val="FF0000"/>
          <w:kern w:val="0"/>
          <w:szCs w:val="20"/>
        </w:rPr>
        <w:t>的达标范围</w:t>
      </w:r>
      <w:r>
        <w:rPr>
          <w:rFonts w:hint="eastAsia" w:cs="宋体"/>
          <w:color w:val="FF0000"/>
          <w:kern w:val="0"/>
          <w:szCs w:val="20"/>
        </w:rPr>
        <w:t>50</w:t>
      </w:r>
      <w:r>
        <w:rPr>
          <w:rFonts w:cs="宋体"/>
          <w:color w:val="FF0000"/>
          <w:kern w:val="0"/>
          <w:szCs w:val="20"/>
        </w:rPr>
        <w:t>m，</w:t>
      </w:r>
      <w:r>
        <w:rPr>
          <w:rFonts w:hint="eastAsia" w:cs="宋体"/>
          <w:color w:val="FF0000"/>
          <w:kern w:val="0"/>
          <w:szCs w:val="20"/>
        </w:rPr>
        <w:t>实际施工过程</w:t>
      </w:r>
      <w:r>
        <w:rPr>
          <w:rFonts w:cs="宋体"/>
          <w:color w:val="FF0000"/>
          <w:kern w:val="0"/>
          <w:szCs w:val="20"/>
        </w:rPr>
        <w:t>中各种施工机械组合作业，</w:t>
      </w:r>
      <w:r>
        <w:rPr>
          <w:rFonts w:hint="eastAsia" w:cs="宋体"/>
          <w:color w:val="FF0000"/>
          <w:kern w:val="0"/>
          <w:szCs w:val="20"/>
        </w:rPr>
        <w:t>最不利条件</w:t>
      </w:r>
      <w:r>
        <w:rPr>
          <w:rFonts w:cs="宋体"/>
          <w:color w:val="FF0000"/>
          <w:kern w:val="0"/>
          <w:szCs w:val="20"/>
        </w:rPr>
        <w:t>下，各</w:t>
      </w:r>
      <w:r>
        <w:rPr>
          <w:rFonts w:hint="eastAsia" w:cs="宋体"/>
          <w:color w:val="FF0000"/>
          <w:kern w:val="0"/>
          <w:szCs w:val="20"/>
        </w:rPr>
        <w:t>施工</w:t>
      </w:r>
      <w:r>
        <w:rPr>
          <w:rFonts w:cs="宋体"/>
          <w:color w:val="FF0000"/>
          <w:kern w:val="0"/>
          <w:szCs w:val="20"/>
        </w:rPr>
        <w:t>机械同时作业</w:t>
      </w:r>
      <w:r>
        <w:rPr>
          <w:rFonts w:hint="eastAsia" w:cs="宋体"/>
          <w:color w:val="FF0000"/>
          <w:kern w:val="0"/>
          <w:szCs w:val="20"/>
        </w:rPr>
        <w:t>时</w:t>
      </w:r>
      <w:r>
        <w:rPr>
          <w:rFonts w:cs="宋体"/>
          <w:color w:val="FF0000"/>
          <w:kern w:val="0"/>
          <w:szCs w:val="20"/>
        </w:rPr>
        <w:t>最远的达标范围为</w:t>
      </w:r>
      <w:r>
        <w:rPr>
          <w:rFonts w:hint="eastAsia" w:cs="宋体"/>
          <w:color w:val="FF0000"/>
          <w:kern w:val="0"/>
          <w:szCs w:val="20"/>
        </w:rPr>
        <w:t>79</w:t>
      </w:r>
      <w:r>
        <w:rPr>
          <w:rFonts w:cs="宋体"/>
          <w:color w:val="FF0000"/>
          <w:kern w:val="0"/>
          <w:szCs w:val="20"/>
        </w:rPr>
        <w:t>m，</w:t>
      </w:r>
      <w:r>
        <w:rPr>
          <w:rFonts w:hint="eastAsia" w:cs="宋体"/>
          <w:color w:val="FF0000"/>
          <w:kern w:val="0"/>
          <w:szCs w:val="20"/>
        </w:rPr>
        <w:t>会</w:t>
      </w:r>
      <w:r>
        <w:rPr>
          <w:rFonts w:cs="宋体"/>
          <w:color w:val="FF0000"/>
          <w:kern w:val="0"/>
          <w:szCs w:val="20"/>
        </w:rPr>
        <w:t>对周围敏感点产生影响，</w:t>
      </w:r>
      <w:r>
        <w:rPr>
          <w:rFonts w:hint="eastAsia" w:cs="宋体"/>
          <w:kern w:val="0"/>
          <w:szCs w:val="20"/>
        </w:rPr>
        <w:t>项目</w:t>
      </w:r>
      <w:r>
        <w:rPr>
          <w:rFonts w:cs="宋体"/>
          <w:kern w:val="0"/>
          <w:szCs w:val="20"/>
        </w:rPr>
        <w:t>周围</w:t>
      </w:r>
      <w:r>
        <w:rPr>
          <w:rFonts w:hint="eastAsia" w:cs="宋体"/>
          <w:kern w:val="0"/>
          <w:szCs w:val="20"/>
        </w:rPr>
        <w:t>200</w:t>
      </w:r>
      <w:r>
        <w:rPr>
          <w:rFonts w:cs="宋体"/>
          <w:kern w:val="0"/>
          <w:szCs w:val="20"/>
        </w:rPr>
        <w:t>m范围的</w:t>
      </w:r>
      <w:r>
        <w:rPr>
          <w:rFonts w:hint="eastAsia" w:cs="宋体"/>
          <w:kern w:val="0"/>
          <w:szCs w:val="20"/>
        </w:rPr>
        <w:t>噪声</w:t>
      </w:r>
      <w:r>
        <w:rPr>
          <w:rFonts w:cs="宋体"/>
          <w:kern w:val="0"/>
          <w:szCs w:val="20"/>
        </w:rPr>
        <w:t>敏感点为</w:t>
      </w:r>
      <w:r>
        <w:rPr>
          <w:rFonts w:hint="eastAsia" w:cs="宋体"/>
          <w:kern w:val="0"/>
          <w:szCs w:val="20"/>
        </w:rPr>
        <w:t>南</w:t>
      </w:r>
      <w:r>
        <w:rPr>
          <w:rFonts w:cs="宋体"/>
          <w:kern w:val="0"/>
          <w:szCs w:val="20"/>
        </w:rPr>
        <w:t>侧</w:t>
      </w:r>
      <w:r>
        <w:rPr>
          <w:rFonts w:hint="eastAsia" w:cs="宋体"/>
          <w:kern w:val="0"/>
          <w:szCs w:val="20"/>
        </w:rPr>
        <w:t>及</w:t>
      </w:r>
      <w:r>
        <w:rPr>
          <w:rFonts w:cs="宋体"/>
          <w:kern w:val="0"/>
          <w:szCs w:val="20"/>
        </w:rPr>
        <w:t>东侧紧邻的</w:t>
      </w:r>
      <w:r>
        <w:rPr>
          <w:rFonts w:hint="eastAsia" w:cs="宋体"/>
          <w:kern w:val="0"/>
          <w:szCs w:val="20"/>
        </w:rPr>
        <w:t>越南村</w:t>
      </w:r>
      <w:r>
        <w:rPr>
          <w:rFonts w:cs="宋体"/>
          <w:kern w:val="0"/>
          <w:szCs w:val="20"/>
        </w:rPr>
        <w:t>村民</w:t>
      </w:r>
      <w:r>
        <w:rPr>
          <w:rFonts w:hint="eastAsia" w:cs="宋体"/>
          <w:kern w:val="0"/>
          <w:szCs w:val="20"/>
        </w:rPr>
        <w:t>、</w:t>
      </w:r>
      <w:r>
        <w:rPr>
          <w:rFonts w:cs="宋体"/>
          <w:kern w:val="0"/>
          <w:szCs w:val="20"/>
        </w:rPr>
        <w:t>南侧越南刘星耀小学</w:t>
      </w:r>
      <w:r>
        <w:rPr>
          <w:rFonts w:hint="eastAsia" w:cs="宋体"/>
          <w:kern w:val="0"/>
          <w:szCs w:val="20"/>
        </w:rPr>
        <w:t>。</w:t>
      </w:r>
    </w:p>
    <w:p>
      <w:pPr>
        <w:pStyle w:val="40"/>
        <w:adjustRightInd w:val="0"/>
        <w:snapToGrid w:val="0"/>
        <w:ind w:firstLine="480"/>
      </w:pPr>
      <w:r>
        <w:rPr>
          <w:rFonts w:hint="eastAsia"/>
        </w:rPr>
        <w:t>环评要求建设单位应做好施工期的工程管理工作，合理安排工期和施工工序，严格控制高噪声设备的运行时段并</w:t>
      </w:r>
      <w:r>
        <w:t>将高噪声设备</w:t>
      </w:r>
      <w:r>
        <w:rPr>
          <w:rFonts w:hint="eastAsia"/>
        </w:rPr>
        <w:t>设置</w:t>
      </w:r>
      <w:r>
        <w:t>西北侧，远离项目</w:t>
      </w:r>
      <w:r>
        <w:rPr>
          <w:rFonts w:hint="eastAsia"/>
        </w:rPr>
        <w:t>南</w:t>
      </w:r>
      <w:r>
        <w:t>侧</w:t>
      </w:r>
      <w:r>
        <w:rPr>
          <w:rFonts w:hint="eastAsia"/>
        </w:rPr>
        <w:t>和</w:t>
      </w:r>
      <w:r>
        <w:t>东侧的</w:t>
      </w:r>
      <w:r>
        <w:rPr>
          <w:rFonts w:hint="eastAsia"/>
        </w:rPr>
        <w:t>越南村、</w:t>
      </w:r>
      <w:r>
        <w:t>南侧越南</w:t>
      </w:r>
      <w:r>
        <w:rPr>
          <w:rFonts w:hint="eastAsia"/>
        </w:rPr>
        <w:t>刘星耀</w:t>
      </w:r>
      <w:r>
        <w:t>小学</w:t>
      </w:r>
      <w:r>
        <w:rPr>
          <w:rFonts w:hint="eastAsia"/>
        </w:rPr>
        <w:t>，并按照《建筑施工场界环境噪声排放标准》</w:t>
      </w:r>
      <w:r>
        <w:rPr>
          <w:rFonts w:hint="eastAsia" w:hAnsi="宋体" w:cs="宋体"/>
          <w:szCs w:val="20"/>
        </w:rPr>
        <w:t>（</w:t>
      </w:r>
      <w:r>
        <w:rPr>
          <w:rFonts w:hAnsi="宋体" w:cs="宋体"/>
          <w:szCs w:val="20"/>
        </w:rPr>
        <w:t>GB12523-2011</w:t>
      </w:r>
      <w:r>
        <w:rPr>
          <w:rFonts w:hint="eastAsia" w:hAnsi="宋体" w:cs="宋体"/>
          <w:szCs w:val="20"/>
        </w:rPr>
        <w:t>）</w:t>
      </w:r>
      <w:r>
        <w:rPr>
          <w:rFonts w:hint="eastAsia"/>
        </w:rPr>
        <w:t>要求，严禁夜间施工（夜间</w:t>
      </w:r>
      <w:r>
        <w:t>22</w:t>
      </w:r>
      <w:r>
        <w:rPr>
          <w:rFonts w:hint="eastAsia"/>
        </w:rPr>
        <w:t>：</w:t>
      </w:r>
      <w:r>
        <w:t>00</w:t>
      </w:r>
      <w:r>
        <w:rPr>
          <w:rFonts w:hint="eastAsia"/>
        </w:rPr>
        <w:t>～</w:t>
      </w:r>
      <w:r>
        <w:t>06</w:t>
      </w:r>
      <w:r>
        <w:rPr>
          <w:rFonts w:hint="eastAsia"/>
        </w:rPr>
        <w:t>：</w:t>
      </w:r>
      <w:r>
        <w:t>00</w:t>
      </w:r>
      <w:r>
        <w:rPr>
          <w:rFonts w:hint="eastAsia"/>
        </w:rPr>
        <w:t>），避免夜间施工产生扰民现象，对于确需夜间连续施工的，应办理相关施工环保手续。施工噪声将会对周围声环境产生一定的影响，但是施工噪声对周围声环境的影响会随着施工期的结束而消失。</w:t>
      </w:r>
    </w:p>
    <w:p>
      <w:pPr>
        <w:pStyle w:val="49"/>
        <w:ind w:firstLine="482"/>
        <w:rPr>
          <w:b/>
        </w:rPr>
      </w:pPr>
      <w:r>
        <w:rPr>
          <w:rFonts w:hint="eastAsia"/>
          <w:b/>
        </w:rPr>
        <w:t>3、运输车辆噪声影响分析</w:t>
      </w:r>
    </w:p>
    <w:p>
      <w:pPr>
        <w:pStyle w:val="40"/>
        <w:adjustRightInd w:val="0"/>
        <w:snapToGrid w:val="0"/>
        <w:ind w:firstLine="480"/>
        <w:rPr>
          <w:snapToGrid w:val="0"/>
        </w:rPr>
      </w:pPr>
      <w:r>
        <w:rPr>
          <w:rFonts w:hint="eastAsia"/>
          <w:snapToGrid w:val="0"/>
        </w:rPr>
        <w:t>施工期建筑垃圾及建筑材料运输车辆将对施工场地沿线周围的金盆湾村声环境造成影响。</w:t>
      </w:r>
    </w:p>
    <w:p>
      <w:pPr>
        <w:pStyle w:val="40"/>
        <w:adjustRightInd w:val="0"/>
        <w:snapToGrid w:val="0"/>
        <w:ind w:firstLine="480"/>
        <w:rPr>
          <w:snapToGrid w:val="0"/>
          <w:highlight w:val="yellow"/>
        </w:rPr>
      </w:pPr>
      <w:r>
        <w:rPr>
          <w:rFonts w:hint="eastAsia"/>
          <w:snapToGrid w:val="0"/>
        </w:rPr>
        <w:t>评价要求对出入施工场地运输物料车辆限速行驶、禁鸣喇叭，同时要求运输合理安排时间，夜间应避免物料运输，以减轻施工运输物料车辆交通噪声对沿线声环境敏感点影响。</w:t>
      </w:r>
    </w:p>
    <w:bookmarkEnd w:id="54"/>
    <w:bookmarkEnd w:id="55"/>
    <w:bookmarkEnd w:id="56"/>
    <w:bookmarkEnd w:id="57"/>
    <w:bookmarkEnd w:id="58"/>
    <w:bookmarkEnd w:id="59"/>
    <w:p>
      <w:pPr>
        <w:pStyle w:val="4"/>
        <w:adjustRightInd w:val="0"/>
        <w:snapToGrid w:val="0"/>
      </w:pPr>
      <w:bookmarkStart w:id="61" w:name="_Toc10643"/>
      <w:r>
        <w:rPr>
          <w:rFonts w:hint="eastAsia"/>
        </w:rPr>
        <w:t>施工期</w:t>
      </w:r>
      <w:r>
        <w:t>固体废物影响分析</w:t>
      </w:r>
      <w:bookmarkEnd w:id="61"/>
    </w:p>
    <w:p>
      <w:pPr>
        <w:pStyle w:val="49"/>
        <w:ind w:firstLine="480"/>
      </w:pPr>
      <w:r>
        <w:t>施工期的固体废物主要有两类：一是施工建设过程中产生的建筑垃圾；二是施工人员的生活垃圾。</w:t>
      </w:r>
    </w:p>
    <w:p>
      <w:pPr>
        <w:pStyle w:val="49"/>
        <w:ind w:firstLine="482"/>
        <w:rPr>
          <w:b/>
        </w:rPr>
      </w:pPr>
      <w:r>
        <w:rPr>
          <w:rFonts w:hint="eastAsia"/>
          <w:b/>
        </w:rPr>
        <w:t>1、建筑</w:t>
      </w:r>
      <w:r>
        <w:rPr>
          <w:b/>
        </w:rPr>
        <w:t>垃圾</w:t>
      </w:r>
    </w:p>
    <w:p>
      <w:pPr>
        <w:pStyle w:val="49"/>
        <w:ind w:firstLine="480"/>
      </w:pPr>
      <w:r>
        <w:t>工程施工过程中产生的固体废物主要来源于开挖土方和建筑施工中的废物如水泥、砖瓦、石灰、沙石等。对于建筑垃圾，虽然这些废物不含有毒有害成份，但粉状废料可随降雨产生的地面径流进入水体，使水中悬浮物大量增加，严重时可使水体产生暂时的污染，因此，施工期的垃圾应有计划地堆放，并采取相应的处理措施，如设置挡土墙等，避免废物随地面径流进入附近沟渠。应禁止四处乱堆乱倾倒建筑垃圾，防止对环境景观和土壤的破坏。建筑垃圾收集后运至建筑垃圾填埋场。</w:t>
      </w:r>
    </w:p>
    <w:p>
      <w:pPr>
        <w:pStyle w:val="49"/>
        <w:ind w:firstLine="482"/>
        <w:rPr>
          <w:b/>
        </w:rPr>
      </w:pPr>
      <w:r>
        <w:rPr>
          <w:rFonts w:hint="eastAsia"/>
          <w:b/>
        </w:rPr>
        <w:t>2、生活</w:t>
      </w:r>
      <w:r>
        <w:rPr>
          <w:b/>
        </w:rPr>
        <w:t>垃圾</w:t>
      </w:r>
    </w:p>
    <w:p>
      <w:pPr>
        <w:pStyle w:val="49"/>
        <w:ind w:firstLine="480"/>
      </w:pPr>
      <w:r>
        <w:rPr>
          <w:rFonts w:hint="eastAsia"/>
        </w:rPr>
        <w:t>施工期间最大施工人数为</w:t>
      </w:r>
      <w:r>
        <w:t>30</w:t>
      </w:r>
      <w:r>
        <w:rPr>
          <w:rFonts w:hint="eastAsia"/>
        </w:rPr>
        <w:t>人</w:t>
      </w:r>
      <w:r>
        <w:t>/d</w:t>
      </w:r>
      <w:r>
        <w:rPr>
          <w:rFonts w:hint="eastAsia"/>
        </w:rPr>
        <w:t>，产生的生活垃圾按</w:t>
      </w:r>
      <w:r>
        <w:t>0.3kg/</w:t>
      </w:r>
      <w:r>
        <w:rPr>
          <w:rFonts w:hint="eastAsia"/>
        </w:rPr>
        <w:t>人</w:t>
      </w:r>
      <w:r>
        <w:t>·d</w:t>
      </w:r>
      <w:r>
        <w:rPr>
          <w:rFonts w:hint="eastAsia"/>
        </w:rPr>
        <w:t>计算，垃圾产生量为</w:t>
      </w:r>
      <w:r>
        <w:t>9.0kg/d</w:t>
      </w:r>
      <w:r>
        <w:rPr>
          <w:rFonts w:hint="eastAsia"/>
        </w:rPr>
        <w:t>，</w:t>
      </w:r>
      <w:r>
        <w:t>生活垃圾随意堆放将影响周围环境。施工现场应设垃圾桶，将产生的生活垃圾收集，</w:t>
      </w:r>
      <w:r>
        <w:rPr>
          <w:rFonts w:hint="eastAsia"/>
        </w:rPr>
        <w:t>统一</w:t>
      </w:r>
      <w:r>
        <w:t>交由环卫部门处置。</w:t>
      </w:r>
    </w:p>
    <w:p>
      <w:pPr>
        <w:pStyle w:val="3"/>
      </w:pPr>
      <w:bookmarkStart w:id="62" w:name="_Toc113260433"/>
      <w:r>
        <w:rPr>
          <w:rFonts w:hint="eastAsia"/>
        </w:rPr>
        <w:t>运营期</w:t>
      </w:r>
      <w:r>
        <w:t>环境影响预测与评价</w:t>
      </w:r>
      <w:bookmarkEnd w:id="62"/>
    </w:p>
    <w:p>
      <w:pPr>
        <w:pStyle w:val="4"/>
      </w:pPr>
      <w:r>
        <w:rPr>
          <w:rFonts w:hint="eastAsia"/>
        </w:rPr>
        <w:t>大气</w:t>
      </w:r>
      <w:r>
        <w:t>环境影响分析</w:t>
      </w:r>
    </w:p>
    <w:p>
      <w:pPr>
        <w:pStyle w:val="5"/>
      </w:pPr>
      <w:r>
        <w:rPr>
          <w:rFonts w:hint="eastAsia"/>
        </w:rPr>
        <w:t>污染源</w:t>
      </w:r>
      <w:r>
        <w:t>参数</w:t>
      </w:r>
    </w:p>
    <w:p>
      <w:pPr>
        <w:pStyle w:val="49"/>
        <w:ind w:firstLine="480"/>
        <w:rPr>
          <w:rFonts w:cs="Times New Roman"/>
        </w:rPr>
      </w:pPr>
      <w:r>
        <w:rPr>
          <w:rFonts w:hint="eastAsia" w:cs="Times New Roman"/>
        </w:rPr>
        <w:t>（1）污染源</w:t>
      </w:r>
      <w:r>
        <w:rPr>
          <w:rFonts w:cs="Times New Roman"/>
        </w:rPr>
        <w:t>排放因子</w:t>
      </w:r>
    </w:p>
    <w:p>
      <w:pPr>
        <w:pStyle w:val="49"/>
        <w:ind w:firstLine="480"/>
        <w:rPr>
          <w:rFonts w:cs="Times New Roman"/>
          <w:highlight w:val="yellow"/>
        </w:rPr>
      </w:pPr>
      <w:r>
        <w:rPr>
          <w:rFonts w:cs="Times New Roman"/>
        </w:rPr>
        <w:t>根据工程分析可知，项目废气主要为</w:t>
      </w:r>
      <w:r>
        <w:rPr>
          <w:rFonts w:hint="eastAsia" w:cs="Times New Roman"/>
        </w:rPr>
        <w:t>天然气锅炉废气、污水处理站废气、食堂燃料废气、食堂油烟、停车场废气、备用发电机燃油废气等。</w:t>
      </w:r>
    </w:p>
    <w:p>
      <w:pPr>
        <w:pStyle w:val="49"/>
        <w:ind w:firstLine="480"/>
        <w:rPr>
          <w:rFonts w:cs="Times New Roman"/>
          <w:highlight w:val="yellow"/>
        </w:rPr>
      </w:pPr>
      <w:r>
        <w:rPr>
          <w:rFonts w:cs="Times New Roman"/>
        </w:rPr>
        <w:t>为了解拟建项目</w:t>
      </w:r>
      <w:r>
        <w:rPr>
          <w:rFonts w:hint="eastAsia" w:cs="Times New Roman"/>
        </w:rPr>
        <w:t>运营</w:t>
      </w:r>
      <w:r>
        <w:rPr>
          <w:rFonts w:cs="Times New Roman"/>
        </w:rPr>
        <w:t>后对周围环境的影响，根据影响最大原则，本次预测</w:t>
      </w:r>
      <w:r>
        <w:rPr>
          <w:rFonts w:hint="eastAsia" w:cs="Times New Roman"/>
        </w:rPr>
        <w:t>选取天然气</w:t>
      </w:r>
      <w:r>
        <w:rPr>
          <w:rFonts w:cs="Times New Roman"/>
        </w:rPr>
        <w:t>锅炉废气颗粒物、SO</w:t>
      </w:r>
      <w:r>
        <w:rPr>
          <w:rFonts w:cs="Times New Roman"/>
          <w:vertAlign w:val="subscript"/>
        </w:rPr>
        <w:t>2</w:t>
      </w:r>
      <w:r>
        <w:rPr>
          <w:rFonts w:hint="eastAsia" w:cs="Times New Roman"/>
        </w:rPr>
        <w:t>、</w:t>
      </w:r>
      <w:r>
        <w:rPr>
          <w:rFonts w:cs="Times New Roman"/>
        </w:rPr>
        <w:t>NOx</w:t>
      </w:r>
      <w:r>
        <w:rPr>
          <w:rFonts w:hint="eastAsia" w:cs="Times New Roman"/>
        </w:rPr>
        <w:t>，</w:t>
      </w:r>
      <w:r>
        <w:rPr>
          <w:rFonts w:cs="Times New Roman"/>
        </w:rPr>
        <w:t>以及污水处理站</w:t>
      </w:r>
      <w:r>
        <w:rPr>
          <w:rFonts w:hint="eastAsia" w:cs="Times New Roman"/>
        </w:rPr>
        <w:t>恶臭气体</w:t>
      </w:r>
      <w:r>
        <w:rPr>
          <w:rFonts w:cs="Times New Roman"/>
        </w:rPr>
        <w:t>NH</w:t>
      </w:r>
      <w:r>
        <w:rPr>
          <w:rFonts w:cs="Times New Roman"/>
          <w:vertAlign w:val="subscript"/>
        </w:rPr>
        <w:t>3</w:t>
      </w:r>
      <w:r>
        <w:rPr>
          <w:rFonts w:hint="eastAsia" w:cs="Times New Roman"/>
        </w:rPr>
        <w:t>、</w:t>
      </w:r>
      <w:r>
        <w:rPr>
          <w:rFonts w:cs="Times New Roman"/>
        </w:rPr>
        <w:t>H</w:t>
      </w:r>
      <w:r>
        <w:rPr>
          <w:rFonts w:cs="Times New Roman"/>
          <w:vertAlign w:val="subscript"/>
        </w:rPr>
        <w:t>2</w:t>
      </w:r>
      <w:r>
        <w:rPr>
          <w:rFonts w:cs="Times New Roman"/>
        </w:rPr>
        <w:t>S作为预测因子。</w:t>
      </w:r>
    </w:p>
    <w:p>
      <w:pPr>
        <w:pStyle w:val="40"/>
        <w:ind w:firstLine="480"/>
      </w:pPr>
      <w:r>
        <w:rPr>
          <w:rFonts w:hint="eastAsia"/>
        </w:rPr>
        <w:t>（2）污染物</w:t>
      </w:r>
      <w:r>
        <w:t>排放参数</w:t>
      </w:r>
    </w:p>
    <w:p>
      <w:pPr>
        <w:adjustRightInd w:val="0"/>
        <w:snapToGrid w:val="0"/>
        <w:spacing w:line="360" w:lineRule="auto"/>
        <w:ind w:firstLine="480" w:firstLineChars="200"/>
        <w:rPr>
          <w:rFonts w:ascii="Times New Roman" w:hAnsi="Times New Roman" w:eastAsia="宋体" w:cs="Times New Roman"/>
          <w:sz w:val="24"/>
        </w:rPr>
        <w:sectPr>
          <w:headerReference r:id="rId40" w:type="default"/>
          <w:headerReference r:id="rId41" w:type="even"/>
          <w:pgSz w:w="11906" w:h="16838"/>
          <w:pgMar w:top="1440" w:right="1800" w:bottom="1440" w:left="1800" w:header="851" w:footer="992" w:gutter="0"/>
          <w:pgNumType w:fmt="numberInDash"/>
          <w:cols w:space="425" w:num="1"/>
          <w:docGrid w:type="lines" w:linePitch="312" w:charSpace="0"/>
        </w:sectPr>
      </w:pPr>
      <w:r>
        <w:rPr>
          <w:rFonts w:ascii="Times New Roman" w:hAnsi="Times New Roman" w:eastAsia="宋体" w:cs="Times New Roman"/>
          <w:sz w:val="24"/>
        </w:rPr>
        <w:t>根据工程分析，项目点源污染源主要为</w:t>
      </w:r>
      <w:r>
        <w:rPr>
          <w:rFonts w:hint="eastAsia" w:ascii="Times New Roman" w:hAnsi="Times New Roman" w:eastAsia="宋体" w:cs="Times New Roman"/>
          <w:sz w:val="24"/>
        </w:rPr>
        <w:t>采暖锅炉</w:t>
      </w:r>
      <w:r>
        <w:rPr>
          <w:rFonts w:ascii="Times New Roman" w:hAnsi="Times New Roman" w:eastAsia="宋体" w:cs="Times New Roman"/>
          <w:sz w:val="24"/>
        </w:rPr>
        <w:t>排气筒（</w:t>
      </w:r>
      <w:r>
        <w:rPr>
          <w:rFonts w:hint="eastAsia" w:ascii="Times New Roman" w:hAnsi="Times New Roman" w:eastAsia="宋体" w:cs="Times New Roman"/>
          <w:sz w:val="24"/>
        </w:rPr>
        <w:t>P1、</w:t>
      </w:r>
      <w:r>
        <w:rPr>
          <w:rFonts w:ascii="Times New Roman" w:hAnsi="Times New Roman" w:eastAsia="宋体" w:cs="Times New Roman"/>
          <w:sz w:val="24"/>
        </w:rPr>
        <w:t>P2）</w:t>
      </w:r>
      <w:r>
        <w:rPr>
          <w:rFonts w:hint="eastAsia" w:ascii="Times New Roman" w:hAnsi="Times New Roman" w:eastAsia="宋体" w:cs="Times New Roman"/>
          <w:sz w:val="24"/>
        </w:rPr>
        <w:t>，</w:t>
      </w:r>
      <w:r>
        <w:rPr>
          <w:rFonts w:ascii="Times New Roman" w:hAnsi="Times New Roman" w:eastAsia="宋体" w:cs="Times New Roman"/>
          <w:sz w:val="24"/>
        </w:rPr>
        <w:t>热水锅</w:t>
      </w:r>
    </w:p>
    <w:p>
      <w:pPr>
        <w:adjustRightInd w:val="0"/>
        <w:snapToGrid w:val="0"/>
        <w:jc w:val="left"/>
        <w:rPr>
          <w:rFonts w:ascii="Times New Roman" w:hAnsi="Times New Roman" w:eastAsia="宋体" w:cs="Times New Roman"/>
          <w:b/>
          <w:szCs w:val="24"/>
        </w:rPr>
      </w:pPr>
      <w:r>
        <w:rPr>
          <w:rFonts w:ascii="Times New Roman" w:hAnsi="Times New Roman" w:eastAsia="宋体" w:cs="Times New Roman"/>
          <w:sz w:val="24"/>
        </w:rPr>
        <w:t>炉排气筒（</w:t>
      </w:r>
      <w:r>
        <w:rPr>
          <w:rFonts w:hint="eastAsia" w:ascii="Times New Roman" w:hAnsi="Times New Roman" w:eastAsia="宋体" w:cs="Times New Roman"/>
          <w:sz w:val="24"/>
        </w:rPr>
        <w:t>P3</w:t>
      </w:r>
      <w:r>
        <w:rPr>
          <w:rFonts w:ascii="Times New Roman" w:hAnsi="Times New Roman" w:eastAsia="宋体" w:cs="Times New Roman"/>
          <w:sz w:val="24"/>
        </w:rPr>
        <w:t>）</w:t>
      </w:r>
      <w:r>
        <w:rPr>
          <w:rFonts w:hint="eastAsia" w:ascii="Times New Roman" w:hAnsi="Times New Roman" w:eastAsia="宋体" w:cs="Times New Roman"/>
          <w:sz w:val="24"/>
        </w:rPr>
        <w:t>，</w:t>
      </w:r>
      <w:r>
        <w:rPr>
          <w:rFonts w:ascii="Times New Roman" w:hAnsi="Times New Roman" w:eastAsia="宋体" w:cs="Times New Roman"/>
          <w:sz w:val="24"/>
        </w:rPr>
        <w:t>面源污染源为污水处理站（</w:t>
      </w:r>
      <w:r>
        <w:rPr>
          <w:rFonts w:hint="eastAsia" w:ascii="Times New Roman" w:hAnsi="Times New Roman" w:eastAsia="宋体" w:cs="Times New Roman"/>
          <w:sz w:val="24"/>
        </w:rPr>
        <w:t>A1</w:t>
      </w:r>
      <w:r>
        <w:rPr>
          <w:rFonts w:ascii="Times New Roman" w:hAnsi="Times New Roman" w:eastAsia="宋体" w:cs="Times New Roman"/>
          <w:sz w:val="24"/>
        </w:rPr>
        <w:t>）。</w:t>
      </w:r>
      <w:r>
        <w:rPr>
          <w:rFonts w:ascii="Times New Roman" w:hAnsi="Times New Roman" w:cs="Times New Roman"/>
          <w:sz w:val="24"/>
          <w:szCs w:val="24"/>
        </w:rPr>
        <w:t>项目污染源的参数见表6.2-1。</w:t>
      </w:r>
    </w:p>
    <w:p>
      <w:pPr>
        <w:adjustRightInd w:val="0"/>
        <w:snapToGrid w:val="0"/>
        <w:jc w:val="center"/>
        <w:rPr>
          <w:rFonts w:ascii="Times New Roman" w:hAnsi="Times New Roman" w:eastAsia="宋体" w:cs="Times New Roman"/>
          <w:b/>
          <w:sz w:val="20"/>
          <w:szCs w:val="20"/>
        </w:rPr>
      </w:pPr>
      <w:r>
        <w:rPr>
          <w:rFonts w:ascii="Times New Roman" w:hAnsi="Times New Roman" w:eastAsia="宋体" w:cs="Times New Roman"/>
          <w:b/>
          <w:szCs w:val="24"/>
        </w:rPr>
        <w:t>表</w:t>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STYLEREF 2 \s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6.2</w:t>
      </w:r>
      <w:r>
        <w:rPr>
          <w:rFonts w:ascii="Times New Roman" w:hAnsi="Times New Roman" w:eastAsia="宋体" w:cs="Times New Roman"/>
          <w:b/>
          <w:szCs w:val="24"/>
        </w:rPr>
        <w:fldChar w:fldCharType="end"/>
      </w:r>
      <w:r>
        <w:rPr>
          <w:rFonts w:ascii="Times New Roman" w:hAnsi="Times New Roman" w:eastAsia="宋体" w:cs="Times New Roman"/>
          <w:b/>
          <w:szCs w:val="24"/>
        </w:rPr>
        <w:noBreakHyphen/>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SEQ 表 \* ARABIC \s 2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1</w:t>
      </w:r>
      <w:r>
        <w:rPr>
          <w:rFonts w:ascii="Times New Roman" w:hAnsi="Times New Roman" w:eastAsia="宋体" w:cs="Times New Roman"/>
          <w:b/>
          <w:szCs w:val="24"/>
        </w:rPr>
        <w:fldChar w:fldCharType="end"/>
      </w:r>
      <w:r>
        <w:rPr>
          <w:rFonts w:ascii="Times New Roman" w:hAnsi="Times New Roman" w:eastAsia="宋体" w:cs="Times New Roman"/>
          <w:b/>
          <w:szCs w:val="24"/>
        </w:rPr>
        <w:t xml:space="preserve">  </w:t>
      </w:r>
      <w:r>
        <w:rPr>
          <w:rFonts w:ascii="Times New Roman" w:hAnsi="Times New Roman" w:eastAsia="宋体" w:cs="Times New Roman"/>
          <w:b/>
          <w:szCs w:val="21"/>
        </w:rPr>
        <w:t>项目点源参数表</w:t>
      </w:r>
    </w:p>
    <w:tbl>
      <w:tblPr>
        <w:tblStyle w:val="25"/>
        <w:tblW w:w="139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4"/>
        <w:gridCol w:w="1019"/>
        <w:gridCol w:w="1214"/>
        <w:gridCol w:w="1201"/>
        <w:gridCol w:w="860"/>
        <w:gridCol w:w="861"/>
        <w:gridCol w:w="1014"/>
        <w:gridCol w:w="940"/>
        <w:gridCol w:w="1012"/>
        <w:gridCol w:w="861"/>
        <w:gridCol w:w="1160"/>
        <w:gridCol w:w="1162"/>
        <w:gridCol w:w="1012"/>
        <w:gridCol w:w="1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44"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1019"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415"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排气筒底部中心坐标/°</w:t>
            </w:r>
          </w:p>
        </w:tc>
        <w:tc>
          <w:tcPr>
            <w:tcW w:w="860"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排气筒底部海拔高度/m</w:t>
            </w:r>
          </w:p>
        </w:tc>
        <w:tc>
          <w:tcPr>
            <w:tcW w:w="861"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排气筒高度/m</w:t>
            </w:r>
          </w:p>
        </w:tc>
        <w:tc>
          <w:tcPr>
            <w:tcW w:w="1014"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排气筒出口内径/m</w:t>
            </w:r>
          </w:p>
        </w:tc>
        <w:tc>
          <w:tcPr>
            <w:tcW w:w="940"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烟气流速/（m/s）</w:t>
            </w:r>
          </w:p>
        </w:tc>
        <w:tc>
          <w:tcPr>
            <w:tcW w:w="1012"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烟气温度/</w:t>
            </w:r>
            <w:r>
              <w:rPr>
                <w:rFonts w:hint="eastAsia" w:ascii="宋体" w:hAnsi="宋体" w:eastAsia="宋体" w:cs="宋体"/>
                <w:szCs w:val="21"/>
              </w:rPr>
              <w:t>℃</w:t>
            </w:r>
          </w:p>
        </w:tc>
        <w:tc>
          <w:tcPr>
            <w:tcW w:w="861"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年排放小时数/h</w:t>
            </w:r>
          </w:p>
        </w:tc>
        <w:tc>
          <w:tcPr>
            <w:tcW w:w="1160"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排放工况</w:t>
            </w:r>
          </w:p>
        </w:tc>
        <w:tc>
          <w:tcPr>
            <w:tcW w:w="3286" w:type="dxa"/>
            <w:gridSpan w:val="3"/>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00" w:hRule="atLeast"/>
        </w:trPr>
        <w:tc>
          <w:tcPr>
            <w:tcW w:w="544"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019"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21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X</w:t>
            </w:r>
          </w:p>
        </w:tc>
        <w:tc>
          <w:tcPr>
            <w:tcW w:w="120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Y</w:t>
            </w:r>
          </w:p>
        </w:tc>
        <w:tc>
          <w:tcPr>
            <w:tcW w:w="860"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61"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1014"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940"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012"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61"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160" w:type="dxa"/>
            <w:vMerge w:val="continue"/>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162"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c>
          <w:tcPr>
            <w:tcW w:w="101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SO</w:t>
            </w:r>
            <w:r>
              <w:rPr>
                <w:rFonts w:hint="eastAsia" w:ascii="Times New Roman" w:hAnsi="Times New Roman" w:eastAsia="宋体" w:cs="Times New Roman"/>
                <w:szCs w:val="21"/>
                <w:vertAlign w:val="subscript"/>
              </w:rPr>
              <w:t>2</w:t>
            </w:r>
          </w:p>
        </w:tc>
        <w:tc>
          <w:tcPr>
            <w:tcW w:w="1112"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NOx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4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P1</w:t>
            </w:r>
          </w:p>
        </w:tc>
        <w:tc>
          <w:tcPr>
            <w:tcW w:w="1019"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采暖</w:t>
            </w:r>
            <w:r>
              <w:rPr>
                <w:rFonts w:ascii="Times New Roman" w:hAnsi="Times New Roman" w:eastAsia="宋体" w:cs="Times New Roman"/>
                <w:szCs w:val="21"/>
              </w:rPr>
              <w:t>锅炉排气筒</w:t>
            </w:r>
          </w:p>
        </w:tc>
        <w:tc>
          <w:tcPr>
            <w:tcW w:w="121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108.766444</w:t>
            </w:r>
          </w:p>
        </w:tc>
        <w:tc>
          <w:tcPr>
            <w:tcW w:w="120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32.729657</w:t>
            </w:r>
          </w:p>
        </w:tc>
        <w:tc>
          <w:tcPr>
            <w:tcW w:w="860"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281</w:t>
            </w:r>
          </w:p>
        </w:tc>
        <w:tc>
          <w:tcPr>
            <w:tcW w:w="861"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60</w:t>
            </w:r>
          </w:p>
        </w:tc>
        <w:tc>
          <w:tcPr>
            <w:tcW w:w="101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0.5</w:t>
            </w:r>
          </w:p>
        </w:tc>
        <w:tc>
          <w:tcPr>
            <w:tcW w:w="940"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10.63</w:t>
            </w:r>
          </w:p>
        </w:tc>
        <w:tc>
          <w:tcPr>
            <w:tcW w:w="1012"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150</w:t>
            </w:r>
          </w:p>
        </w:tc>
        <w:tc>
          <w:tcPr>
            <w:tcW w:w="86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1440</w:t>
            </w:r>
          </w:p>
        </w:tc>
        <w:tc>
          <w:tcPr>
            <w:tcW w:w="1160"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正常排放</w:t>
            </w:r>
          </w:p>
        </w:tc>
        <w:tc>
          <w:tcPr>
            <w:tcW w:w="1162"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072</w:t>
            </w:r>
          </w:p>
        </w:tc>
        <w:tc>
          <w:tcPr>
            <w:tcW w:w="10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120</w:t>
            </w:r>
          </w:p>
        </w:tc>
        <w:tc>
          <w:tcPr>
            <w:tcW w:w="11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44"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P2</w:t>
            </w:r>
          </w:p>
        </w:tc>
        <w:tc>
          <w:tcPr>
            <w:tcW w:w="1019"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采暖</w:t>
            </w:r>
            <w:r>
              <w:rPr>
                <w:rFonts w:ascii="Times New Roman" w:hAnsi="Times New Roman" w:eastAsia="宋体" w:cs="Times New Roman"/>
                <w:szCs w:val="21"/>
              </w:rPr>
              <w:t>锅炉排气筒</w:t>
            </w:r>
          </w:p>
        </w:tc>
        <w:tc>
          <w:tcPr>
            <w:tcW w:w="121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108.766458</w:t>
            </w:r>
          </w:p>
        </w:tc>
        <w:tc>
          <w:tcPr>
            <w:tcW w:w="120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32.729669</w:t>
            </w:r>
          </w:p>
        </w:tc>
        <w:tc>
          <w:tcPr>
            <w:tcW w:w="860"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2</w:t>
            </w:r>
            <w:r>
              <w:rPr>
                <w:rFonts w:ascii="Times New Roman" w:hAnsi="Times New Roman" w:eastAsia="宋体" w:cs="Times New Roman"/>
                <w:szCs w:val="21"/>
              </w:rPr>
              <w:t>81</w:t>
            </w:r>
          </w:p>
        </w:tc>
        <w:tc>
          <w:tcPr>
            <w:tcW w:w="861"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ascii="Times New Roman" w:hAnsi="Times New Roman" w:eastAsia="宋体" w:cs="Times New Roman"/>
                <w:color w:val="FF0000"/>
                <w:szCs w:val="21"/>
              </w:rPr>
              <w:t>60</w:t>
            </w:r>
          </w:p>
        </w:tc>
        <w:tc>
          <w:tcPr>
            <w:tcW w:w="1014"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0.5</w:t>
            </w:r>
          </w:p>
        </w:tc>
        <w:tc>
          <w:tcPr>
            <w:tcW w:w="940"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10.63</w:t>
            </w:r>
          </w:p>
        </w:tc>
        <w:tc>
          <w:tcPr>
            <w:tcW w:w="1012"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150</w:t>
            </w:r>
          </w:p>
        </w:tc>
        <w:tc>
          <w:tcPr>
            <w:tcW w:w="86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1440</w:t>
            </w:r>
          </w:p>
        </w:tc>
        <w:tc>
          <w:tcPr>
            <w:tcW w:w="1160" w:type="dxa"/>
            <w:shd w:val="clear" w:color="auto" w:fill="auto"/>
            <w:vAlign w:val="center"/>
          </w:tcPr>
          <w:p>
            <w:pPr>
              <w:jc w:val="center"/>
            </w:pPr>
            <w:r>
              <w:rPr>
                <w:rFonts w:ascii="Times New Roman" w:hAnsi="Times New Roman" w:eastAsia="宋体" w:cs="Times New Roman"/>
                <w:szCs w:val="21"/>
              </w:rPr>
              <w:t>正常排放</w:t>
            </w:r>
          </w:p>
        </w:tc>
        <w:tc>
          <w:tcPr>
            <w:tcW w:w="1162"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072</w:t>
            </w:r>
          </w:p>
        </w:tc>
        <w:tc>
          <w:tcPr>
            <w:tcW w:w="10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120</w:t>
            </w:r>
          </w:p>
        </w:tc>
        <w:tc>
          <w:tcPr>
            <w:tcW w:w="11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w:t>
            </w:r>
            <w:r>
              <w:rPr>
                <w:rFonts w:ascii="Times New Roman" w:hAnsi="Times New Roman" w:eastAsia="宋体" w:cs="Times New Roman"/>
                <w:color w:val="FF0000"/>
                <w:szCs w:val="21"/>
              </w:rPr>
              <w:t>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44"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P3</w:t>
            </w:r>
          </w:p>
        </w:tc>
        <w:tc>
          <w:tcPr>
            <w:tcW w:w="1019"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热水</w:t>
            </w:r>
            <w:r>
              <w:rPr>
                <w:rFonts w:ascii="Times New Roman" w:hAnsi="Times New Roman" w:eastAsia="宋体" w:cs="Times New Roman"/>
                <w:szCs w:val="21"/>
              </w:rPr>
              <w:t>锅炉排气筒</w:t>
            </w:r>
          </w:p>
        </w:tc>
        <w:tc>
          <w:tcPr>
            <w:tcW w:w="1214"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108.766455</w:t>
            </w:r>
          </w:p>
        </w:tc>
        <w:tc>
          <w:tcPr>
            <w:tcW w:w="1201"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32.729752</w:t>
            </w:r>
          </w:p>
        </w:tc>
        <w:tc>
          <w:tcPr>
            <w:tcW w:w="860"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281</w:t>
            </w:r>
          </w:p>
        </w:tc>
        <w:tc>
          <w:tcPr>
            <w:tcW w:w="861"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60</w:t>
            </w:r>
          </w:p>
        </w:tc>
        <w:tc>
          <w:tcPr>
            <w:tcW w:w="1014"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0.3</w:t>
            </w:r>
          </w:p>
        </w:tc>
        <w:tc>
          <w:tcPr>
            <w:tcW w:w="940"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11.15</w:t>
            </w:r>
          </w:p>
        </w:tc>
        <w:tc>
          <w:tcPr>
            <w:tcW w:w="1012"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150</w:t>
            </w:r>
          </w:p>
        </w:tc>
        <w:tc>
          <w:tcPr>
            <w:tcW w:w="861"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4380</w:t>
            </w:r>
          </w:p>
        </w:tc>
        <w:tc>
          <w:tcPr>
            <w:tcW w:w="1160" w:type="dxa"/>
            <w:shd w:val="clear" w:color="auto" w:fill="auto"/>
            <w:vAlign w:val="center"/>
          </w:tcPr>
          <w:p>
            <w:pPr>
              <w:jc w:val="center"/>
            </w:pPr>
            <w:r>
              <w:rPr>
                <w:rFonts w:ascii="Times New Roman" w:hAnsi="Times New Roman" w:eastAsia="宋体" w:cs="Times New Roman"/>
                <w:szCs w:val="21"/>
              </w:rPr>
              <w:t>正常排放</w:t>
            </w:r>
          </w:p>
        </w:tc>
        <w:tc>
          <w:tcPr>
            <w:tcW w:w="1162" w:type="dxa"/>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0.0</w:t>
            </w:r>
            <w:r>
              <w:rPr>
                <w:rFonts w:ascii="Times New Roman" w:hAnsi="Times New Roman" w:eastAsia="宋体" w:cs="Times New Roman"/>
                <w:color w:val="FF0000"/>
                <w:szCs w:val="21"/>
              </w:rPr>
              <w:t>14</w:t>
            </w:r>
          </w:p>
        </w:tc>
        <w:tc>
          <w:tcPr>
            <w:tcW w:w="10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0.023</w:t>
            </w:r>
          </w:p>
        </w:tc>
        <w:tc>
          <w:tcPr>
            <w:tcW w:w="1112" w:type="dxa"/>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0.034</w:t>
            </w:r>
          </w:p>
        </w:tc>
      </w:tr>
    </w:tbl>
    <w:p>
      <w:pPr>
        <w:adjustRightInd w:val="0"/>
        <w:snapToGrid w:val="0"/>
        <w:jc w:val="center"/>
        <w:rPr>
          <w:rFonts w:ascii="Times New Roman" w:hAnsi="Times New Roman" w:eastAsia="宋体" w:cs="Times New Roman"/>
          <w:b/>
          <w:szCs w:val="24"/>
          <w:highlight w:val="yellow"/>
        </w:rPr>
      </w:pPr>
    </w:p>
    <w:p>
      <w:pPr>
        <w:adjustRightInd w:val="0"/>
        <w:snapToGrid w:val="0"/>
        <w:jc w:val="center"/>
        <w:rPr>
          <w:rFonts w:ascii="Times New Roman" w:hAnsi="Times New Roman" w:eastAsia="宋体" w:cs="Times New Roman"/>
          <w:b/>
          <w:szCs w:val="24"/>
        </w:rPr>
      </w:pPr>
      <w:r>
        <w:rPr>
          <w:rFonts w:ascii="Times New Roman" w:hAnsi="Times New Roman" w:eastAsia="宋体" w:cs="Times New Roman"/>
          <w:b/>
          <w:szCs w:val="24"/>
        </w:rPr>
        <w:t>表</w:t>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STYLEREF 2 \s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6.2</w:t>
      </w:r>
      <w:r>
        <w:rPr>
          <w:rFonts w:ascii="Times New Roman" w:hAnsi="Times New Roman" w:eastAsia="宋体" w:cs="Times New Roman"/>
          <w:b/>
          <w:szCs w:val="24"/>
        </w:rPr>
        <w:fldChar w:fldCharType="end"/>
      </w:r>
      <w:r>
        <w:rPr>
          <w:rFonts w:ascii="Times New Roman" w:hAnsi="Times New Roman" w:eastAsia="宋体" w:cs="Times New Roman"/>
          <w:b/>
          <w:szCs w:val="24"/>
        </w:rPr>
        <w:noBreakHyphen/>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SEQ 表 \* ARABIC \s 2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2</w:t>
      </w:r>
      <w:r>
        <w:rPr>
          <w:rFonts w:ascii="Times New Roman" w:hAnsi="Times New Roman" w:eastAsia="宋体" w:cs="Times New Roman"/>
          <w:b/>
          <w:szCs w:val="24"/>
        </w:rPr>
        <w:fldChar w:fldCharType="end"/>
      </w:r>
      <w:r>
        <w:rPr>
          <w:rFonts w:ascii="Times New Roman" w:hAnsi="Times New Roman" w:eastAsia="宋体" w:cs="Times New Roman"/>
          <w:b/>
          <w:snapToGrid w:val="0"/>
          <w:szCs w:val="24"/>
        </w:rPr>
        <w:t xml:space="preserve">  项目矩形面源参数表</w:t>
      </w:r>
    </w:p>
    <w:tbl>
      <w:tblPr>
        <w:tblStyle w:val="25"/>
        <w:tblW w:w="139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9"/>
        <w:gridCol w:w="939"/>
        <w:gridCol w:w="1244"/>
        <w:gridCol w:w="1308"/>
        <w:gridCol w:w="953"/>
        <w:gridCol w:w="852"/>
        <w:gridCol w:w="852"/>
        <w:gridCol w:w="852"/>
        <w:gridCol w:w="852"/>
        <w:gridCol w:w="749"/>
        <w:gridCol w:w="961"/>
        <w:gridCol w:w="2104"/>
        <w:gridCol w:w="17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09"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编号</w:t>
            </w:r>
          </w:p>
        </w:tc>
        <w:tc>
          <w:tcPr>
            <w:tcW w:w="939"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名称</w:t>
            </w:r>
          </w:p>
        </w:tc>
        <w:tc>
          <w:tcPr>
            <w:tcW w:w="2552" w:type="dxa"/>
            <w:gridSpan w:val="2"/>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面源起点坐标</w:t>
            </w:r>
            <w:r>
              <w:rPr>
                <w:rFonts w:hint="eastAsia" w:ascii="Times New Roman" w:hAnsi="Times New Roman" w:eastAsia="宋体" w:cs="Times New Roman"/>
                <w:szCs w:val="21"/>
              </w:rPr>
              <w:t>（）</w:t>
            </w:r>
          </w:p>
        </w:tc>
        <w:tc>
          <w:tcPr>
            <w:tcW w:w="953"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面源海拔高度/m</w:t>
            </w:r>
          </w:p>
        </w:tc>
        <w:tc>
          <w:tcPr>
            <w:tcW w:w="852"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面源长度/m</w:t>
            </w:r>
          </w:p>
        </w:tc>
        <w:tc>
          <w:tcPr>
            <w:tcW w:w="852"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面源宽度/m</w:t>
            </w:r>
          </w:p>
        </w:tc>
        <w:tc>
          <w:tcPr>
            <w:tcW w:w="852"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与正北向夹角/°</w:t>
            </w:r>
          </w:p>
        </w:tc>
        <w:tc>
          <w:tcPr>
            <w:tcW w:w="852"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面源有效排放高度/m</w:t>
            </w:r>
          </w:p>
        </w:tc>
        <w:tc>
          <w:tcPr>
            <w:tcW w:w="749"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年排放小时数/h</w:t>
            </w:r>
          </w:p>
        </w:tc>
        <w:tc>
          <w:tcPr>
            <w:tcW w:w="961" w:type="dxa"/>
            <w:vMerge w:val="restart"/>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排放工况</w:t>
            </w:r>
          </w:p>
        </w:tc>
        <w:tc>
          <w:tcPr>
            <w:tcW w:w="3901" w:type="dxa"/>
            <w:gridSpan w:val="2"/>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09"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939"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1244" w:type="dxa"/>
            <w:shd w:val="clear" w:color="auto" w:fill="auto"/>
            <w:vAlign w:val="center"/>
          </w:tcPr>
          <w:p>
            <w:pPr>
              <w:jc w:val="center"/>
            </w:pPr>
            <w:r>
              <w:rPr>
                <w:rFonts w:ascii="宋体" w:hAnsi="宋体" w:eastAsia="宋体"/>
                <w:sz w:val="23"/>
                <w:szCs w:val="23"/>
              </w:rPr>
              <w:t>经度</w:t>
            </w:r>
          </w:p>
        </w:tc>
        <w:tc>
          <w:tcPr>
            <w:tcW w:w="1308" w:type="dxa"/>
            <w:shd w:val="clear" w:color="auto" w:fill="auto"/>
            <w:vAlign w:val="center"/>
          </w:tcPr>
          <w:p>
            <w:pPr>
              <w:jc w:val="center"/>
            </w:pPr>
            <w:r>
              <w:rPr>
                <w:rFonts w:ascii="宋体" w:hAnsi="宋体" w:eastAsia="宋体"/>
                <w:sz w:val="23"/>
                <w:szCs w:val="23"/>
              </w:rPr>
              <w:t>纬度</w:t>
            </w:r>
          </w:p>
        </w:tc>
        <w:tc>
          <w:tcPr>
            <w:tcW w:w="953"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852"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852"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852"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852"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749"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961" w:type="dxa"/>
            <w:vMerge w:val="continue"/>
            <w:shd w:val="clear" w:color="auto" w:fill="auto"/>
            <w:vAlign w:val="center"/>
          </w:tcPr>
          <w:p>
            <w:pPr>
              <w:adjustRightInd w:val="0"/>
              <w:snapToGrid w:val="0"/>
              <w:jc w:val="center"/>
              <w:rPr>
                <w:rFonts w:ascii="Times New Roman" w:hAnsi="Times New Roman" w:eastAsia="宋体" w:cs="Times New Roman"/>
                <w:szCs w:val="21"/>
              </w:rPr>
            </w:pPr>
          </w:p>
        </w:tc>
        <w:tc>
          <w:tcPr>
            <w:tcW w:w="2104"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NH</w:t>
            </w:r>
            <w:r>
              <w:rPr>
                <w:rFonts w:hint="eastAsia" w:ascii="Times New Roman" w:hAnsi="Times New Roman" w:eastAsia="宋体" w:cs="Times New Roman"/>
                <w:szCs w:val="21"/>
                <w:vertAlign w:val="subscript"/>
              </w:rPr>
              <w:t>3</w:t>
            </w:r>
          </w:p>
        </w:tc>
        <w:tc>
          <w:tcPr>
            <w:tcW w:w="1797"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0" w:hRule="atLeast"/>
        </w:trPr>
        <w:tc>
          <w:tcPr>
            <w:tcW w:w="509"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A1</w:t>
            </w:r>
          </w:p>
        </w:tc>
        <w:tc>
          <w:tcPr>
            <w:tcW w:w="939"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处理站</w:t>
            </w:r>
          </w:p>
        </w:tc>
        <w:tc>
          <w:tcPr>
            <w:tcW w:w="1244" w:type="dxa"/>
            <w:shd w:val="clear" w:color="auto" w:fill="auto"/>
            <w:vAlign w:val="center"/>
          </w:tcPr>
          <w:p>
            <w:pPr>
              <w:pStyle w:val="43"/>
              <w:rPr>
                <w:highlight w:val="yellow"/>
              </w:rPr>
            </w:pPr>
            <w:r>
              <w:t>108.766429</w:t>
            </w:r>
          </w:p>
        </w:tc>
        <w:tc>
          <w:tcPr>
            <w:tcW w:w="1308" w:type="dxa"/>
            <w:shd w:val="clear" w:color="auto" w:fill="auto"/>
            <w:vAlign w:val="center"/>
          </w:tcPr>
          <w:p>
            <w:pPr>
              <w:pStyle w:val="43"/>
              <w:rPr>
                <w:highlight w:val="yellow"/>
              </w:rPr>
            </w:pPr>
            <w:r>
              <w:t>32.730518</w:t>
            </w:r>
          </w:p>
        </w:tc>
        <w:tc>
          <w:tcPr>
            <w:tcW w:w="953" w:type="dxa"/>
            <w:shd w:val="clear" w:color="auto" w:fill="auto"/>
            <w:vAlign w:val="center"/>
          </w:tcPr>
          <w:p>
            <w:pPr>
              <w:pStyle w:val="43"/>
            </w:pPr>
            <w:r>
              <w:t>279</w:t>
            </w:r>
          </w:p>
        </w:tc>
        <w:tc>
          <w:tcPr>
            <w:tcW w:w="852"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30</w:t>
            </w:r>
          </w:p>
        </w:tc>
        <w:tc>
          <w:tcPr>
            <w:tcW w:w="852"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20</w:t>
            </w:r>
          </w:p>
        </w:tc>
        <w:tc>
          <w:tcPr>
            <w:tcW w:w="852"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0</w:t>
            </w:r>
          </w:p>
        </w:tc>
        <w:tc>
          <w:tcPr>
            <w:tcW w:w="852"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szCs w:val="21"/>
              </w:rPr>
              <w:t>10</w:t>
            </w:r>
          </w:p>
        </w:tc>
        <w:tc>
          <w:tcPr>
            <w:tcW w:w="749"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8760</w:t>
            </w:r>
          </w:p>
        </w:tc>
        <w:tc>
          <w:tcPr>
            <w:tcW w:w="961" w:type="dxa"/>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正常排放</w:t>
            </w:r>
          </w:p>
        </w:tc>
        <w:tc>
          <w:tcPr>
            <w:tcW w:w="2104"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0.0003</w:t>
            </w:r>
          </w:p>
        </w:tc>
        <w:tc>
          <w:tcPr>
            <w:tcW w:w="1797" w:type="dxa"/>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0.00001</w:t>
            </w:r>
          </w:p>
        </w:tc>
      </w:tr>
    </w:tbl>
    <w:p>
      <w:pPr>
        <w:pStyle w:val="40"/>
        <w:ind w:firstLine="480"/>
        <w:rPr>
          <w:highlight w:val="yellow"/>
        </w:rPr>
      </w:pPr>
    </w:p>
    <w:p>
      <w:pPr>
        <w:pStyle w:val="40"/>
        <w:ind w:firstLine="480"/>
        <w:rPr>
          <w:highlight w:val="yellow"/>
        </w:rPr>
      </w:pPr>
    </w:p>
    <w:p>
      <w:pPr>
        <w:pStyle w:val="40"/>
        <w:ind w:firstLine="480"/>
        <w:rPr>
          <w:highlight w:val="yellow"/>
        </w:rPr>
      </w:pPr>
    </w:p>
    <w:p>
      <w:pPr>
        <w:pStyle w:val="40"/>
        <w:ind w:firstLine="480"/>
        <w:rPr>
          <w:highlight w:val="yellow"/>
        </w:rPr>
      </w:pPr>
    </w:p>
    <w:p>
      <w:pPr>
        <w:pStyle w:val="40"/>
        <w:ind w:firstLine="480"/>
        <w:rPr>
          <w:highlight w:val="yellow"/>
        </w:rPr>
        <w:sectPr>
          <w:headerReference r:id="rId42" w:type="default"/>
          <w:headerReference r:id="rId43" w:type="even"/>
          <w:pgSz w:w="16838" w:h="11906" w:orient="landscape"/>
          <w:pgMar w:top="1588" w:right="1418" w:bottom="1418" w:left="1418" w:header="851" w:footer="992" w:gutter="0"/>
          <w:pgNumType w:fmt="numberInDash"/>
          <w:cols w:space="425" w:num="1"/>
          <w:docGrid w:type="linesAndChars" w:linePitch="312" w:charSpace="0"/>
        </w:sectPr>
      </w:pPr>
    </w:p>
    <w:p>
      <w:pPr>
        <w:pStyle w:val="5"/>
      </w:pPr>
      <w:r>
        <w:rPr>
          <w:rFonts w:hint="eastAsia"/>
        </w:rPr>
        <w:t>预测</w:t>
      </w:r>
      <w:r>
        <w:t>模式及相关参数</w:t>
      </w:r>
    </w:p>
    <w:p>
      <w:pPr>
        <w:pStyle w:val="40"/>
        <w:ind w:firstLine="480"/>
      </w:pPr>
      <w:r>
        <w:t>本次环境空气预测采用《环境影响评价技术导则 大气环境》（HJ2.2-2018）附录A推荐的估算模型AERSCREEN进行预测。估算模型参数见</w:t>
      </w:r>
      <w:r>
        <w:fldChar w:fldCharType="begin"/>
      </w:r>
      <w:r>
        <w:instrText xml:space="preserve"> REF _Ref26782473 \h  \* MERGEFORMAT </w:instrText>
      </w:r>
      <w:r>
        <w:fldChar w:fldCharType="separate"/>
      </w:r>
      <w:r>
        <w:t>表6.2</w:t>
      </w:r>
      <w:r>
        <w:noBreakHyphen/>
      </w:r>
      <w:r>
        <w:fldChar w:fldCharType="end"/>
      </w:r>
      <w:r>
        <w:t>3。</w:t>
      </w:r>
    </w:p>
    <w:p>
      <w:pPr>
        <w:pStyle w:val="44"/>
        <w:ind w:firstLine="480"/>
        <w:rPr>
          <w:rFonts w:hAnsi="Times New Roman"/>
        </w:rPr>
      </w:pPr>
      <w:bookmarkStart w:id="63" w:name="_Ref26782473"/>
      <w:r>
        <w:rPr>
          <w:rFonts w:hAnsi="Times New Roman"/>
        </w:rPr>
        <w:t>表</w:t>
      </w:r>
      <w:r>
        <w:rPr>
          <w:rFonts w:hAnsi="Times New Roman"/>
        </w:rPr>
        <w:fldChar w:fldCharType="begin"/>
      </w:r>
      <w:r>
        <w:rPr>
          <w:rFonts w:hAnsi="Times New Roman"/>
        </w:rPr>
        <w:instrText xml:space="preserve"> STYLEREF 2 \s </w:instrText>
      </w:r>
      <w:r>
        <w:rPr>
          <w:rFonts w:hAnsi="Times New Roman"/>
        </w:rPr>
        <w:fldChar w:fldCharType="separate"/>
      </w:r>
      <w:r>
        <w:rPr>
          <w:rFonts w:hAnsi="Times New Roman"/>
        </w:rPr>
        <w:t>6.2</w:t>
      </w:r>
      <w:r>
        <w:rPr>
          <w:rFonts w:hAnsi="Times New Roman"/>
        </w:rPr>
        <w:fldChar w:fldCharType="end"/>
      </w:r>
      <w:r>
        <w:rPr>
          <w:rFonts w:hAnsi="Times New Roman"/>
        </w:rPr>
        <w:noBreakHyphen/>
      </w:r>
      <w:bookmarkEnd w:id="63"/>
      <w:r>
        <w:rPr>
          <w:rFonts w:hAnsi="Times New Roman"/>
        </w:rPr>
        <w:t>3</w:t>
      </w:r>
      <w:r>
        <w:rPr>
          <w:rFonts w:hAnsi="Times New Roman"/>
          <w:snapToGrid w:val="0"/>
        </w:rPr>
        <w:t xml:space="preserve">  估算模型参数表</w:t>
      </w:r>
    </w:p>
    <w:tbl>
      <w:tblPr>
        <w:tblStyle w:val="25"/>
        <w:tblW w:w="884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49"/>
        <w:gridCol w:w="2949"/>
        <w:gridCol w:w="2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43"/>
            </w:pPr>
            <w:r>
              <w:t>参数</w:t>
            </w:r>
          </w:p>
        </w:tc>
        <w:tc>
          <w:tcPr>
            <w:tcW w:w="2949" w:type="dxa"/>
            <w:shd w:val="clear" w:color="auto" w:fill="auto"/>
            <w:vAlign w:val="center"/>
          </w:tcPr>
          <w:p>
            <w:pPr>
              <w:pStyle w:val="43"/>
            </w:pPr>
            <w: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43"/>
            </w:pPr>
            <w:r>
              <w:t>城市/农村选项</w:t>
            </w:r>
          </w:p>
        </w:tc>
        <w:tc>
          <w:tcPr>
            <w:tcW w:w="2949" w:type="dxa"/>
            <w:shd w:val="clear" w:color="auto" w:fill="auto"/>
            <w:vAlign w:val="center"/>
          </w:tcPr>
          <w:p>
            <w:pPr>
              <w:pStyle w:val="43"/>
            </w:pPr>
            <w:r>
              <w:t>城市/农村</w:t>
            </w:r>
          </w:p>
        </w:tc>
        <w:tc>
          <w:tcPr>
            <w:tcW w:w="2949" w:type="dxa"/>
            <w:shd w:val="clear" w:color="auto" w:fill="auto"/>
            <w:vAlign w:val="center"/>
          </w:tcPr>
          <w:p>
            <w:pPr>
              <w:pStyle w:val="43"/>
            </w:pPr>
            <w:r>
              <w:rPr>
                <w:rFonts w:hint="eastAsia"/>
              </w:rPr>
              <w:t>城市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43"/>
            </w:pPr>
          </w:p>
        </w:tc>
        <w:tc>
          <w:tcPr>
            <w:tcW w:w="2949" w:type="dxa"/>
            <w:shd w:val="clear" w:color="auto" w:fill="auto"/>
            <w:vAlign w:val="center"/>
          </w:tcPr>
          <w:p>
            <w:pPr>
              <w:pStyle w:val="43"/>
            </w:pPr>
            <w:r>
              <w:t>人口数（城市选项时）</w:t>
            </w:r>
          </w:p>
        </w:tc>
        <w:tc>
          <w:tcPr>
            <w:tcW w:w="2949" w:type="dxa"/>
            <w:shd w:val="clear" w:color="auto" w:fill="auto"/>
            <w:vAlign w:val="center"/>
          </w:tcPr>
          <w:p>
            <w:pPr>
              <w:pStyle w:val="43"/>
            </w:pPr>
            <w:r>
              <w:t>16</w:t>
            </w:r>
            <w:r>
              <w:rPr>
                <w:rFonts w:hint="eastAsia"/>
              </w:rPr>
              <w:t>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43"/>
            </w:pPr>
            <w:r>
              <w:t>最高环境温度/</w:t>
            </w:r>
            <w:r>
              <w:rPr>
                <w:rFonts w:hint="eastAsia" w:ascii="宋体" w:cs="宋体"/>
              </w:rPr>
              <w:t>℃</w:t>
            </w:r>
          </w:p>
        </w:tc>
        <w:tc>
          <w:tcPr>
            <w:tcW w:w="2949" w:type="dxa"/>
            <w:shd w:val="clear" w:color="auto" w:fill="auto"/>
            <w:vAlign w:val="center"/>
          </w:tcPr>
          <w:p>
            <w:pPr>
              <w:pStyle w:val="43"/>
            </w:pPr>
            <w:r>
              <w:t>41.9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43"/>
            </w:pPr>
            <w:r>
              <w:t>最低环境温度/</w:t>
            </w:r>
            <w:r>
              <w:rPr>
                <w:rFonts w:hint="eastAsia" w:ascii="宋体" w:cs="宋体"/>
              </w:rPr>
              <w:t>℃</w:t>
            </w:r>
          </w:p>
        </w:tc>
        <w:tc>
          <w:tcPr>
            <w:tcW w:w="2949" w:type="dxa"/>
            <w:shd w:val="clear" w:color="auto" w:fill="auto"/>
            <w:vAlign w:val="center"/>
          </w:tcPr>
          <w:p>
            <w:pPr>
              <w:pStyle w:val="43"/>
            </w:pPr>
            <w: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43"/>
            </w:pPr>
            <w:r>
              <w:t>土地利用类型</w:t>
            </w:r>
          </w:p>
        </w:tc>
        <w:tc>
          <w:tcPr>
            <w:tcW w:w="2949" w:type="dxa"/>
            <w:shd w:val="clear" w:color="auto" w:fill="auto"/>
            <w:vAlign w:val="center"/>
          </w:tcPr>
          <w:p>
            <w:pPr>
              <w:pStyle w:val="43"/>
            </w:pPr>
            <w:r>
              <w:t>农田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5898" w:type="dxa"/>
            <w:gridSpan w:val="2"/>
            <w:shd w:val="clear" w:color="auto" w:fill="auto"/>
            <w:vAlign w:val="center"/>
          </w:tcPr>
          <w:p>
            <w:pPr>
              <w:pStyle w:val="43"/>
            </w:pPr>
            <w:r>
              <w:t>区域湿度条件</w:t>
            </w:r>
          </w:p>
        </w:tc>
        <w:tc>
          <w:tcPr>
            <w:tcW w:w="2949" w:type="dxa"/>
            <w:shd w:val="clear" w:color="auto" w:fill="auto"/>
            <w:vAlign w:val="center"/>
          </w:tcPr>
          <w:p>
            <w:pPr>
              <w:pStyle w:val="43"/>
            </w:pPr>
            <w:r>
              <w:rPr>
                <w:rFonts w:hint="eastAsia"/>
              </w:rPr>
              <w:t>潮湿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43"/>
            </w:pPr>
            <w:r>
              <w:t>是否考虑地形</w:t>
            </w:r>
          </w:p>
        </w:tc>
        <w:tc>
          <w:tcPr>
            <w:tcW w:w="2949" w:type="dxa"/>
            <w:shd w:val="clear" w:color="auto" w:fill="auto"/>
            <w:vAlign w:val="center"/>
          </w:tcPr>
          <w:p>
            <w:pPr>
              <w:pStyle w:val="43"/>
            </w:pPr>
            <w:r>
              <w:t>考虑地形</w:t>
            </w:r>
          </w:p>
        </w:tc>
        <w:tc>
          <w:tcPr>
            <w:tcW w:w="2949" w:type="dxa"/>
            <w:shd w:val="clear" w:color="auto" w:fill="auto"/>
            <w:vAlign w:val="center"/>
          </w:tcPr>
          <w:p>
            <w:pPr>
              <w:pStyle w:val="43"/>
            </w:pPr>
            <w: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43"/>
            </w:pPr>
          </w:p>
        </w:tc>
        <w:tc>
          <w:tcPr>
            <w:tcW w:w="2949" w:type="dxa"/>
            <w:shd w:val="clear" w:color="auto" w:fill="auto"/>
            <w:vAlign w:val="center"/>
          </w:tcPr>
          <w:p>
            <w:pPr>
              <w:pStyle w:val="43"/>
            </w:pPr>
            <w:r>
              <w:t>地形数据分辨率</w:t>
            </w:r>
          </w:p>
        </w:tc>
        <w:tc>
          <w:tcPr>
            <w:tcW w:w="2949" w:type="dxa"/>
            <w:shd w:val="clear" w:color="auto" w:fill="auto"/>
            <w:vAlign w:val="center"/>
          </w:tcPr>
          <w:p>
            <w:pPr>
              <w:pStyle w:val="43"/>
            </w:pPr>
            <w:r>
              <w:t>90m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restart"/>
            <w:shd w:val="clear" w:color="auto" w:fill="auto"/>
            <w:vAlign w:val="center"/>
          </w:tcPr>
          <w:p>
            <w:pPr>
              <w:pStyle w:val="43"/>
            </w:pPr>
            <w:r>
              <w:t>是否考虑岸线熏烟</w:t>
            </w:r>
          </w:p>
        </w:tc>
        <w:tc>
          <w:tcPr>
            <w:tcW w:w="2949" w:type="dxa"/>
            <w:shd w:val="clear" w:color="auto" w:fill="auto"/>
            <w:vAlign w:val="center"/>
          </w:tcPr>
          <w:p>
            <w:pPr>
              <w:pStyle w:val="43"/>
            </w:pPr>
            <w:r>
              <w:t>考虑岸线熏烟</w:t>
            </w:r>
          </w:p>
        </w:tc>
        <w:tc>
          <w:tcPr>
            <w:tcW w:w="2949" w:type="dxa"/>
            <w:shd w:val="clear" w:color="auto" w:fill="auto"/>
            <w:vAlign w:val="center"/>
          </w:tcPr>
          <w:p>
            <w:pPr>
              <w:pStyle w:val="43"/>
            </w:pPr>
            <w: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43"/>
            </w:pPr>
          </w:p>
        </w:tc>
        <w:tc>
          <w:tcPr>
            <w:tcW w:w="2949" w:type="dxa"/>
            <w:shd w:val="clear" w:color="auto" w:fill="auto"/>
            <w:vAlign w:val="center"/>
          </w:tcPr>
          <w:p>
            <w:pPr>
              <w:pStyle w:val="43"/>
            </w:pPr>
            <w:r>
              <w:t>岸线距离/km</w:t>
            </w:r>
          </w:p>
        </w:tc>
        <w:tc>
          <w:tcPr>
            <w:tcW w:w="2949" w:type="dxa"/>
            <w:shd w:val="clear" w:color="auto" w:fill="auto"/>
            <w:vAlign w:val="center"/>
          </w:tcPr>
          <w:p>
            <w:pPr>
              <w:pStyle w:val="43"/>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949" w:type="dxa"/>
            <w:vMerge w:val="continue"/>
            <w:shd w:val="clear" w:color="auto" w:fill="auto"/>
            <w:vAlign w:val="center"/>
          </w:tcPr>
          <w:p>
            <w:pPr>
              <w:pStyle w:val="43"/>
            </w:pPr>
          </w:p>
        </w:tc>
        <w:tc>
          <w:tcPr>
            <w:tcW w:w="2949" w:type="dxa"/>
            <w:shd w:val="clear" w:color="auto" w:fill="auto"/>
            <w:vAlign w:val="center"/>
          </w:tcPr>
          <w:p>
            <w:pPr>
              <w:pStyle w:val="43"/>
            </w:pPr>
            <w:r>
              <w:t>岸线方向/°</w:t>
            </w:r>
          </w:p>
        </w:tc>
        <w:tc>
          <w:tcPr>
            <w:tcW w:w="2949" w:type="dxa"/>
            <w:shd w:val="clear" w:color="auto" w:fill="auto"/>
            <w:vAlign w:val="center"/>
          </w:tcPr>
          <w:p>
            <w:pPr>
              <w:pStyle w:val="43"/>
            </w:pPr>
            <w:r>
              <w:t>/</w:t>
            </w:r>
          </w:p>
        </w:tc>
      </w:tr>
    </w:tbl>
    <w:p>
      <w:pPr>
        <w:pStyle w:val="5"/>
      </w:pPr>
      <w:r>
        <w:rPr>
          <w:rFonts w:hint="eastAsia"/>
        </w:rPr>
        <w:t>预测</w:t>
      </w:r>
      <w:r>
        <w:t>结果及评价</w:t>
      </w:r>
    </w:p>
    <w:p>
      <w:pPr>
        <w:pStyle w:val="40"/>
        <w:ind w:firstLine="482"/>
        <w:rPr>
          <w:b/>
        </w:rPr>
      </w:pPr>
      <w:r>
        <w:rPr>
          <w:rFonts w:hint="eastAsia"/>
          <w:b/>
        </w:rPr>
        <w:t>1、</w:t>
      </w:r>
      <w:r>
        <w:rPr>
          <w:b/>
        </w:rPr>
        <w:t>预测结果输出</w:t>
      </w:r>
    </w:p>
    <w:p>
      <w:pPr>
        <w:pStyle w:val="40"/>
        <w:ind w:firstLine="480"/>
      </w:pPr>
      <w:r>
        <w:rPr>
          <w:rFonts w:hint="eastAsia"/>
        </w:rPr>
        <w:t>（1）正常</w:t>
      </w:r>
      <w:r>
        <w:t>工况预测结果</w:t>
      </w:r>
    </w:p>
    <w:p>
      <w:pPr>
        <w:pStyle w:val="40"/>
        <w:ind w:firstLine="480"/>
        <w:rPr>
          <w:rFonts w:cs="Times New Roman"/>
          <w:kern w:val="0"/>
          <w:highlight w:val="yellow"/>
        </w:rPr>
      </w:pPr>
      <w:r>
        <w:rPr>
          <w:rFonts w:hint="eastAsia" w:cs="Times New Roman"/>
          <w:kern w:val="0"/>
        </w:rPr>
        <w:t>由</w:t>
      </w:r>
      <w:r>
        <w:rPr>
          <w:rFonts w:cs="Times New Roman"/>
          <w:kern w:val="0"/>
        </w:rPr>
        <w:t>表6</w:t>
      </w:r>
      <w:r>
        <w:rPr>
          <w:rFonts w:hint="eastAsia" w:cs="Times New Roman"/>
          <w:kern w:val="0"/>
        </w:rPr>
        <w:t>.2-</w:t>
      </w:r>
      <w:r>
        <w:rPr>
          <w:rFonts w:cs="Times New Roman"/>
          <w:kern w:val="0"/>
        </w:rPr>
        <w:t>3</w:t>
      </w:r>
      <w:r>
        <w:rPr>
          <w:rFonts w:hint="eastAsia" w:cs="Times New Roman"/>
          <w:kern w:val="0"/>
        </w:rPr>
        <w:t>知</w:t>
      </w:r>
      <w:r>
        <w:rPr>
          <w:rFonts w:cs="Times New Roman"/>
          <w:kern w:val="0"/>
        </w:rPr>
        <w:t>，</w:t>
      </w:r>
      <w:r>
        <w:rPr>
          <w:rFonts w:hint="eastAsia" w:cs="Times New Roman"/>
          <w:kern w:val="0"/>
        </w:rPr>
        <w:t>项目采暖</w:t>
      </w:r>
      <w:r>
        <w:rPr>
          <w:rFonts w:cs="Times New Roman"/>
          <w:kern w:val="0"/>
        </w:rPr>
        <w:t>锅炉排气筒</w:t>
      </w:r>
      <w:r>
        <w:rPr>
          <w:rFonts w:hint="eastAsia" w:cs="Times New Roman"/>
          <w:kern w:val="0"/>
        </w:rPr>
        <w:t>（P1、</w:t>
      </w:r>
      <w:r>
        <w:rPr>
          <w:rFonts w:cs="Times New Roman"/>
          <w:kern w:val="0"/>
        </w:rPr>
        <w:t>P2</w:t>
      </w:r>
      <w:r>
        <w:rPr>
          <w:rFonts w:hint="eastAsia" w:cs="Times New Roman"/>
          <w:kern w:val="0"/>
        </w:rPr>
        <w:t>）颗粒物</w:t>
      </w:r>
      <w:r>
        <w:rPr>
          <w:rFonts w:cs="Times New Roman"/>
          <w:kern w:val="0"/>
        </w:rPr>
        <w:t>、SO</w:t>
      </w:r>
      <w:r>
        <w:rPr>
          <w:rFonts w:cs="Times New Roman"/>
          <w:kern w:val="0"/>
          <w:vertAlign w:val="subscript"/>
        </w:rPr>
        <w:t>2</w:t>
      </w:r>
      <w:r>
        <w:rPr>
          <w:rFonts w:cs="Times New Roman"/>
          <w:kern w:val="0"/>
        </w:rPr>
        <w:t>、NOx</w:t>
      </w:r>
      <w:r>
        <w:rPr>
          <w:rFonts w:hint="eastAsia" w:cs="Times New Roman"/>
          <w:kern w:val="0"/>
        </w:rPr>
        <w:t>的最大落地浓度分别为</w:t>
      </w:r>
      <w:r>
        <w:rPr>
          <w:rFonts w:cs="Times New Roman"/>
          <w:color w:val="FF0000"/>
          <w:kern w:val="0"/>
        </w:rPr>
        <w:t>2.8083μg/m</w:t>
      </w:r>
      <w:r>
        <w:rPr>
          <w:rFonts w:cs="Times New Roman"/>
          <w:color w:val="FF0000"/>
          <w:kern w:val="0"/>
          <w:vertAlign w:val="superscript"/>
        </w:rPr>
        <w:t>3</w:t>
      </w:r>
      <w:r>
        <w:rPr>
          <w:rFonts w:cs="Times New Roman"/>
          <w:color w:val="FF0000"/>
          <w:kern w:val="0"/>
        </w:rPr>
        <w:t>、4.6804μg/m</w:t>
      </w:r>
      <w:r>
        <w:rPr>
          <w:rFonts w:cs="Times New Roman"/>
          <w:color w:val="FF0000"/>
          <w:kern w:val="0"/>
          <w:vertAlign w:val="superscript"/>
        </w:rPr>
        <w:t>3</w:t>
      </w:r>
      <w:r>
        <w:rPr>
          <w:rFonts w:hint="eastAsia" w:cs="Times New Roman"/>
          <w:color w:val="FF0000"/>
          <w:kern w:val="0"/>
        </w:rPr>
        <w:t>、</w:t>
      </w:r>
      <w:r>
        <w:rPr>
          <w:rFonts w:cs="Times New Roman"/>
          <w:color w:val="FF0000"/>
          <w:kern w:val="0"/>
        </w:rPr>
        <w:t>7.0987μg/m</w:t>
      </w:r>
      <w:r>
        <w:rPr>
          <w:rFonts w:cs="Times New Roman"/>
          <w:color w:val="FF0000"/>
          <w:kern w:val="0"/>
          <w:vertAlign w:val="superscript"/>
        </w:rPr>
        <w:t>3</w:t>
      </w:r>
      <w:r>
        <w:rPr>
          <w:rFonts w:hint="eastAsia" w:cs="Times New Roman"/>
          <w:color w:val="FF0000"/>
          <w:kern w:val="0"/>
        </w:rPr>
        <w:t>，占标率分别为</w:t>
      </w:r>
      <w:r>
        <w:rPr>
          <w:rFonts w:cs="Times New Roman"/>
          <w:color w:val="FF0000"/>
          <w:kern w:val="0"/>
        </w:rPr>
        <w:t>0.6240%</w:t>
      </w:r>
      <w:r>
        <w:rPr>
          <w:rFonts w:hint="eastAsia" w:cs="Times New Roman"/>
          <w:color w:val="FF0000"/>
          <w:kern w:val="0"/>
        </w:rPr>
        <w:t>、</w:t>
      </w:r>
      <w:r>
        <w:rPr>
          <w:rFonts w:cs="Times New Roman"/>
          <w:color w:val="FF0000"/>
          <w:kern w:val="0"/>
        </w:rPr>
        <w:t>0.9361%</w:t>
      </w:r>
      <w:r>
        <w:rPr>
          <w:rFonts w:hint="eastAsia" w:cs="Times New Roman"/>
          <w:color w:val="FF0000"/>
          <w:kern w:val="0"/>
        </w:rPr>
        <w:t>、</w:t>
      </w:r>
      <w:r>
        <w:rPr>
          <w:rFonts w:cs="Times New Roman"/>
          <w:color w:val="FF0000"/>
          <w:kern w:val="0"/>
        </w:rPr>
        <w:t>2.8395%</w:t>
      </w:r>
      <w:r>
        <w:rPr>
          <w:rFonts w:hint="eastAsia" w:cs="Times New Roman"/>
          <w:color w:val="FF0000"/>
          <w:kern w:val="0"/>
        </w:rPr>
        <w:t>，最大落地浓度值出现在下风向</w:t>
      </w:r>
      <w:r>
        <w:rPr>
          <w:rFonts w:cs="Times New Roman"/>
          <w:color w:val="FF0000"/>
          <w:kern w:val="0"/>
        </w:rPr>
        <w:t>305m</w:t>
      </w:r>
      <w:r>
        <w:rPr>
          <w:rFonts w:hint="eastAsia" w:cs="Times New Roman"/>
          <w:color w:val="FF0000"/>
          <w:kern w:val="0"/>
        </w:rPr>
        <w:t>处；项目热水</w:t>
      </w:r>
      <w:r>
        <w:rPr>
          <w:rFonts w:cs="Times New Roman"/>
          <w:color w:val="FF0000"/>
          <w:kern w:val="0"/>
        </w:rPr>
        <w:t>锅炉排气筒</w:t>
      </w:r>
      <w:r>
        <w:rPr>
          <w:rFonts w:hint="eastAsia" w:cs="Times New Roman"/>
          <w:color w:val="FF0000"/>
          <w:kern w:val="0"/>
        </w:rPr>
        <w:t>（P3）颗粒物</w:t>
      </w:r>
      <w:r>
        <w:rPr>
          <w:rFonts w:cs="Times New Roman"/>
          <w:color w:val="FF0000"/>
          <w:kern w:val="0"/>
        </w:rPr>
        <w:t>、SO</w:t>
      </w:r>
      <w:r>
        <w:rPr>
          <w:rFonts w:cs="Times New Roman"/>
          <w:color w:val="FF0000"/>
          <w:kern w:val="0"/>
          <w:vertAlign w:val="subscript"/>
        </w:rPr>
        <w:t>2</w:t>
      </w:r>
      <w:r>
        <w:rPr>
          <w:rFonts w:cs="Times New Roman"/>
          <w:color w:val="FF0000"/>
          <w:kern w:val="0"/>
        </w:rPr>
        <w:t>、NOx</w:t>
      </w:r>
      <w:r>
        <w:rPr>
          <w:rFonts w:hint="eastAsia" w:cs="Times New Roman"/>
          <w:color w:val="FF0000"/>
          <w:kern w:val="0"/>
        </w:rPr>
        <w:t>的最大落地浓度分别为</w:t>
      </w:r>
      <w:r>
        <w:rPr>
          <w:rFonts w:cs="Times New Roman"/>
          <w:color w:val="FF0000"/>
          <w:kern w:val="0"/>
        </w:rPr>
        <w:t>0.6762μg/m</w:t>
      </w:r>
      <w:r>
        <w:rPr>
          <w:rFonts w:cs="Times New Roman"/>
          <w:color w:val="FF0000"/>
          <w:kern w:val="0"/>
          <w:vertAlign w:val="superscript"/>
        </w:rPr>
        <w:t>3</w:t>
      </w:r>
      <w:r>
        <w:rPr>
          <w:rFonts w:cs="Times New Roman"/>
          <w:color w:val="FF0000"/>
          <w:kern w:val="0"/>
        </w:rPr>
        <w:t>、1.1109μg/m</w:t>
      </w:r>
      <w:r>
        <w:rPr>
          <w:rFonts w:cs="Times New Roman"/>
          <w:color w:val="FF0000"/>
          <w:kern w:val="0"/>
          <w:vertAlign w:val="superscript"/>
        </w:rPr>
        <w:t>3</w:t>
      </w:r>
      <w:r>
        <w:rPr>
          <w:rFonts w:hint="eastAsia" w:cs="Times New Roman"/>
          <w:color w:val="FF0000"/>
          <w:kern w:val="0"/>
        </w:rPr>
        <w:t>、</w:t>
      </w:r>
      <w:r>
        <w:rPr>
          <w:rFonts w:cs="Times New Roman"/>
          <w:color w:val="FF0000"/>
          <w:kern w:val="0"/>
        </w:rPr>
        <w:t>1.6422μg/m</w:t>
      </w:r>
      <w:r>
        <w:rPr>
          <w:rFonts w:cs="Times New Roman"/>
          <w:color w:val="FF0000"/>
          <w:kern w:val="0"/>
          <w:vertAlign w:val="superscript"/>
        </w:rPr>
        <w:t>3</w:t>
      </w:r>
      <w:r>
        <w:rPr>
          <w:rFonts w:hint="eastAsia" w:cs="Times New Roman"/>
          <w:color w:val="FF0000"/>
          <w:kern w:val="0"/>
        </w:rPr>
        <w:t>，占标率分别为</w:t>
      </w:r>
      <w:r>
        <w:rPr>
          <w:rFonts w:cs="Times New Roman"/>
          <w:color w:val="FF0000"/>
          <w:kern w:val="0"/>
        </w:rPr>
        <w:t>0.1503%</w:t>
      </w:r>
      <w:r>
        <w:rPr>
          <w:rFonts w:hint="eastAsia" w:cs="Times New Roman"/>
          <w:color w:val="FF0000"/>
          <w:kern w:val="0"/>
        </w:rPr>
        <w:t>、</w:t>
      </w:r>
      <w:r>
        <w:rPr>
          <w:rFonts w:cs="Times New Roman"/>
          <w:color w:val="FF0000"/>
          <w:kern w:val="0"/>
        </w:rPr>
        <w:t>0.6665%</w:t>
      </w:r>
      <w:r>
        <w:rPr>
          <w:rFonts w:hint="eastAsia" w:cs="Times New Roman"/>
          <w:color w:val="FF0000"/>
          <w:kern w:val="0"/>
        </w:rPr>
        <w:t>、</w:t>
      </w:r>
      <w:r>
        <w:rPr>
          <w:rFonts w:cs="Times New Roman"/>
          <w:color w:val="FF0000"/>
          <w:kern w:val="0"/>
        </w:rPr>
        <w:t>0.6569%</w:t>
      </w:r>
      <w:r>
        <w:rPr>
          <w:rFonts w:hint="eastAsia" w:cs="Times New Roman"/>
          <w:color w:val="FF0000"/>
          <w:kern w:val="0"/>
        </w:rPr>
        <w:t>，最大落地浓度值出现在下风向</w:t>
      </w:r>
      <w:r>
        <w:rPr>
          <w:rFonts w:cs="Times New Roman"/>
          <w:color w:val="FF0000"/>
          <w:kern w:val="0"/>
        </w:rPr>
        <w:t xml:space="preserve">294m </w:t>
      </w:r>
      <w:r>
        <w:rPr>
          <w:rFonts w:hint="eastAsia" w:cs="Times New Roman"/>
          <w:color w:val="FF0000"/>
          <w:kern w:val="0"/>
        </w:rPr>
        <w:t>处；</w:t>
      </w:r>
    </w:p>
    <w:p>
      <w:pPr>
        <w:pStyle w:val="40"/>
        <w:ind w:firstLine="480"/>
        <w:rPr>
          <w:rFonts w:cs="Times New Roman"/>
          <w:kern w:val="0"/>
        </w:rPr>
      </w:pPr>
      <w:r>
        <w:rPr>
          <w:rFonts w:hint="eastAsia" w:cs="Times New Roman"/>
          <w:kern w:val="0"/>
        </w:rPr>
        <w:t>由表6.2-4可知</w:t>
      </w:r>
      <w:r>
        <w:rPr>
          <w:rFonts w:cs="Times New Roman"/>
          <w:kern w:val="0"/>
        </w:rPr>
        <w:t>，</w:t>
      </w:r>
      <w:r>
        <w:rPr>
          <w:rFonts w:hint="eastAsia" w:cs="Times New Roman"/>
          <w:kern w:val="0"/>
        </w:rPr>
        <w:t>项目面源</w:t>
      </w:r>
      <w:r>
        <w:rPr>
          <w:rFonts w:cs="Times New Roman"/>
          <w:kern w:val="0"/>
        </w:rPr>
        <w:t>污水处理站NH</w:t>
      </w:r>
      <w:r>
        <w:rPr>
          <w:rFonts w:cs="Times New Roman"/>
          <w:kern w:val="0"/>
          <w:vertAlign w:val="subscript"/>
        </w:rPr>
        <w:t>3</w:t>
      </w:r>
      <w:r>
        <w:rPr>
          <w:rFonts w:hint="eastAsia" w:cs="Times New Roman"/>
          <w:kern w:val="0"/>
        </w:rPr>
        <w:t>、</w:t>
      </w:r>
      <w:r>
        <w:rPr>
          <w:rFonts w:cs="Times New Roman"/>
          <w:kern w:val="0"/>
        </w:rPr>
        <w:t>H</w:t>
      </w:r>
      <w:r>
        <w:rPr>
          <w:rFonts w:cs="Times New Roman"/>
          <w:kern w:val="0"/>
          <w:vertAlign w:val="subscript"/>
        </w:rPr>
        <w:t>2</w:t>
      </w:r>
      <w:r>
        <w:rPr>
          <w:rFonts w:cs="Times New Roman"/>
          <w:kern w:val="0"/>
        </w:rPr>
        <w:t>S</w:t>
      </w:r>
      <w:r>
        <w:rPr>
          <w:rFonts w:hint="eastAsia" w:cs="Times New Roman"/>
          <w:kern w:val="0"/>
        </w:rPr>
        <w:t>的最大落地浓度分别为</w:t>
      </w:r>
      <w:r>
        <w:rPr>
          <w:rFonts w:cs="Times New Roman"/>
          <w:kern w:val="0"/>
        </w:rPr>
        <w:t>0.3612μg/m</w:t>
      </w:r>
      <w:r>
        <w:rPr>
          <w:rFonts w:cs="Times New Roman"/>
          <w:kern w:val="0"/>
          <w:vertAlign w:val="superscript"/>
        </w:rPr>
        <w:t>3</w:t>
      </w:r>
      <w:r>
        <w:rPr>
          <w:rFonts w:cs="Times New Roman"/>
          <w:kern w:val="0"/>
        </w:rPr>
        <w:t>、0.0120μg/m</w:t>
      </w:r>
      <w:r>
        <w:rPr>
          <w:rFonts w:cs="Times New Roman"/>
          <w:kern w:val="0"/>
          <w:vertAlign w:val="superscript"/>
        </w:rPr>
        <w:t>3</w:t>
      </w:r>
      <w:r>
        <w:rPr>
          <w:rFonts w:hint="eastAsia" w:cs="Times New Roman"/>
          <w:kern w:val="0"/>
        </w:rPr>
        <w:t>，占标率分别为</w:t>
      </w:r>
      <w:r>
        <w:rPr>
          <w:rFonts w:cs="Times New Roman"/>
          <w:kern w:val="0"/>
        </w:rPr>
        <w:t>0.1806%</w:t>
      </w:r>
      <w:r>
        <w:rPr>
          <w:rFonts w:hint="eastAsia" w:cs="Times New Roman"/>
          <w:kern w:val="0"/>
        </w:rPr>
        <w:t>、</w:t>
      </w:r>
      <w:r>
        <w:rPr>
          <w:rFonts w:cs="Times New Roman"/>
          <w:kern w:val="0"/>
        </w:rPr>
        <w:t>0.1204%</w:t>
      </w:r>
      <w:r>
        <w:rPr>
          <w:rFonts w:hint="eastAsia" w:cs="Times New Roman"/>
          <w:kern w:val="0"/>
        </w:rPr>
        <w:t>，最大落地浓度值出现在下风向</w:t>
      </w:r>
      <w:r>
        <w:rPr>
          <w:rFonts w:cs="Times New Roman"/>
          <w:kern w:val="0"/>
        </w:rPr>
        <w:t xml:space="preserve">28m </w:t>
      </w:r>
      <w:r>
        <w:rPr>
          <w:rFonts w:hint="eastAsia" w:cs="Times New Roman"/>
          <w:kern w:val="0"/>
        </w:rPr>
        <w:t>处；</w:t>
      </w:r>
    </w:p>
    <w:p>
      <w:pPr>
        <w:pStyle w:val="40"/>
        <w:ind w:firstLine="480"/>
        <w:rPr>
          <w:rFonts w:cs="Times New Roman"/>
          <w:kern w:val="0"/>
        </w:rPr>
      </w:pPr>
      <w:r>
        <w:rPr>
          <w:rFonts w:cs="Times New Roman"/>
          <w:kern w:val="0"/>
        </w:rPr>
        <w:t>由表6.2-3</w:t>
      </w:r>
      <w:r>
        <w:rPr>
          <w:rFonts w:hint="eastAsia" w:cs="Times New Roman"/>
          <w:kern w:val="0"/>
        </w:rPr>
        <w:t>，</w:t>
      </w:r>
      <w:r>
        <w:rPr>
          <w:rFonts w:cs="Times New Roman"/>
          <w:kern w:val="0"/>
        </w:rPr>
        <w:t>表</w:t>
      </w:r>
      <w:r>
        <w:rPr>
          <w:rFonts w:hint="eastAsia" w:cs="Times New Roman"/>
          <w:kern w:val="0"/>
        </w:rPr>
        <w:t>6.2-4</w:t>
      </w:r>
      <w:r>
        <w:rPr>
          <w:rFonts w:cs="Times New Roman"/>
          <w:kern w:val="0"/>
        </w:rPr>
        <w:t>，本项目</w:t>
      </w:r>
      <w:r>
        <w:rPr>
          <w:rFonts w:cs="Times New Roman"/>
          <w:color w:val="000000" w:themeColor="text1"/>
          <w:kern w:val="0"/>
          <w14:textFill>
            <w14:solidFill>
              <w14:schemeClr w14:val="tx1"/>
            </w14:solidFill>
          </w14:textFill>
        </w:rPr>
        <w:t>Pmax 最大值</w:t>
      </w:r>
      <w:r>
        <w:rPr>
          <w:rFonts w:hint="eastAsia" w:cs="Times New Roman"/>
          <w:color w:val="000000" w:themeColor="text1"/>
          <w:kern w:val="0"/>
          <w14:textFill>
            <w14:solidFill>
              <w14:schemeClr w14:val="tx1"/>
            </w14:solidFill>
          </w14:textFill>
        </w:rPr>
        <w:t>为点源</w:t>
      </w:r>
      <w:r>
        <w:rPr>
          <w:rFonts w:cs="Times New Roman"/>
          <w:color w:val="000000" w:themeColor="text1"/>
          <w:kern w:val="0"/>
          <w14:textFill>
            <w14:solidFill>
              <w14:schemeClr w14:val="tx1"/>
            </w14:solidFill>
          </w14:textFill>
        </w:rPr>
        <w:t>采暖锅炉</w:t>
      </w:r>
      <w:r>
        <w:rPr>
          <w:rFonts w:hint="eastAsia" w:cs="Times New Roman"/>
          <w:color w:val="000000" w:themeColor="text1"/>
          <w:kern w:val="0"/>
          <w14:textFill>
            <w14:solidFill>
              <w14:schemeClr w14:val="tx1"/>
            </w14:solidFill>
          </w14:textFill>
        </w:rPr>
        <w:t>排气筒排放的</w:t>
      </w:r>
      <w:r>
        <w:rPr>
          <w:rFonts w:cs="Times New Roman"/>
          <w:color w:val="000000" w:themeColor="text1"/>
          <w:kern w:val="0"/>
          <w14:textFill>
            <w14:solidFill>
              <w14:schemeClr w14:val="tx1"/>
            </w14:solidFill>
          </w14:textFill>
        </w:rPr>
        <w:t>NOx</w:t>
      </w:r>
      <w:r>
        <w:rPr>
          <w:rFonts w:hint="eastAsia" w:cs="Times New Roman"/>
          <w:color w:val="000000" w:themeColor="text1"/>
          <w:kern w:val="0"/>
          <w14:textFill>
            <w14:solidFill>
              <w14:schemeClr w14:val="tx1"/>
            </w14:solidFill>
          </w14:textFill>
        </w:rPr>
        <w:t>，Pma</w:t>
      </w:r>
      <w:r>
        <w:rPr>
          <w:rFonts w:hint="eastAsia" w:cs="Times New Roman"/>
          <w:color w:val="FF0000"/>
          <w:kern w:val="0"/>
        </w:rPr>
        <w:t>x=</w:t>
      </w:r>
      <w:r>
        <w:rPr>
          <w:rFonts w:cs="Times New Roman"/>
          <w:color w:val="FF0000"/>
          <w:kern w:val="0"/>
        </w:rPr>
        <w:t>2.8395</w:t>
      </w:r>
      <w:r>
        <w:rPr>
          <w:rFonts w:hint="eastAsia" w:cs="Times New Roman"/>
          <w:color w:val="FF0000"/>
          <w:kern w:val="0"/>
        </w:rPr>
        <w:t>%&lt;1</w:t>
      </w:r>
      <w:r>
        <w:rPr>
          <w:rFonts w:cs="Times New Roman"/>
          <w:color w:val="FF0000"/>
          <w:kern w:val="0"/>
        </w:rPr>
        <w:t>0</w:t>
      </w:r>
      <w:r>
        <w:rPr>
          <w:rFonts w:hint="eastAsia" w:cs="Times New Roman"/>
          <w:color w:val="FF0000"/>
          <w:kern w:val="0"/>
        </w:rPr>
        <w:t>%</w:t>
      </w:r>
      <w:r>
        <w:rPr>
          <w:rFonts w:hint="eastAsia" w:cs="Times New Roman"/>
          <w:color w:val="000000" w:themeColor="text1"/>
          <w:kern w:val="0"/>
          <w14:textFill>
            <w14:solidFill>
              <w14:schemeClr w14:val="tx1"/>
            </w14:solidFill>
          </w14:textFill>
        </w:rPr>
        <w:t>，</w:t>
      </w:r>
      <w:r>
        <w:rPr>
          <w:rFonts w:cs="Times New Roman"/>
          <w:kern w:val="0"/>
        </w:rPr>
        <w:t>根据《环境影响评价技术导则大气环境》（HJ2.2-2018）分级判据，确定项目大气环境影响评价等级为</w:t>
      </w:r>
      <w:r>
        <w:rPr>
          <w:rFonts w:hint="eastAsia" w:cs="Times New Roman"/>
          <w:kern w:val="0"/>
        </w:rPr>
        <w:t>二</w:t>
      </w:r>
      <w:r>
        <w:rPr>
          <w:rFonts w:cs="Times New Roman"/>
          <w:kern w:val="0"/>
        </w:rPr>
        <w:t>级。</w:t>
      </w:r>
    </w:p>
    <w:p>
      <w:pPr>
        <w:pStyle w:val="40"/>
        <w:ind w:firstLine="0" w:firstLineChars="0"/>
        <w:rPr>
          <w:highlight w:val="yellow"/>
        </w:rPr>
      </w:pPr>
    </w:p>
    <w:p>
      <w:pPr>
        <w:pStyle w:val="40"/>
        <w:ind w:firstLine="480"/>
        <w:rPr>
          <w:highlight w:val="yellow"/>
        </w:rPr>
        <w:sectPr>
          <w:headerReference r:id="rId44" w:type="default"/>
          <w:headerReference r:id="rId45" w:type="even"/>
          <w:pgSz w:w="11906" w:h="16838"/>
          <w:pgMar w:top="1418" w:right="1418" w:bottom="1418" w:left="1588" w:header="851" w:footer="992" w:gutter="0"/>
          <w:pgNumType w:fmt="numberInDash"/>
          <w:cols w:space="425" w:num="1"/>
          <w:docGrid w:type="linesAndChars" w:linePitch="312" w:charSpace="0"/>
        </w:sectPr>
      </w:pPr>
    </w:p>
    <w:p>
      <w:pPr>
        <w:pStyle w:val="22"/>
        <w:rPr>
          <w:sz w:val="20"/>
          <w:szCs w:val="20"/>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3</w:t>
      </w:r>
      <w:r>
        <w:rPr>
          <w:color w:val="000000" w:themeColor="text1"/>
          <w:szCs w:val="21"/>
          <w14:textFill>
            <w14:solidFill>
              <w14:schemeClr w14:val="tx1"/>
            </w14:solidFill>
          </w14:textFill>
        </w:rPr>
        <w:t xml:space="preserve">  正常情</w:t>
      </w:r>
      <w:r>
        <w:rPr>
          <w:szCs w:val="21"/>
        </w:rPr>
        <w:t>况</w:t>
      </w:r>
      <w:r>
        <w:t>下</w:t>
      </w:r>
      <w:r>
        <w:rPr>
          <w:rFonts w:hint="eastAsia"/>
        </w:rPr>
        <w:t>锅炉</w:t>
      </w:r>
      <w:r>
        <w:t>排气筒</w:t>
      </w:r>
      <w:r>
        <w:rPr>
          <w:rFonts w:hint="eastAsia"/>
        </w:rPr>
        <w:t>点源</w:t>
      </w:r>
      <w:r>
        <w:t>P1</w:t>
      </w:r>
      <w:r>
        <w:rPr>
          <w:rFonts w:hint="eastAsia"/>
        </w:rPr>
        <w:t>、</w:t>
      </w:r>
      <w:r>
        <w:t>P2</w:t>
      </w:r>
      <w:r>
        <w:rPr>
          <w:rFonts w:hint="eastAsia"/>
        </w:rPr>
        <w:t>、</w:t>
      </w:r>
      <w:r>
        <w:t>P3</w:t>
      </w:r>
      <w:r>
        <w:rPr>
          <w:rFonts w:hint="eastAsia"/>
        </w:rPr>
        <w:t>排放</w:t>
      </w:r>
      <w:r>
        <w:t>预测结果</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31"/>
        <w:gridCol w:w="1076"/>
        <w:gridCol w:w="1188"/>
        <w:gridCol w:w="1174"/>
        <w:gridCol w:w="1087"/>
        <w:gridCol w:w="1216"/>
        <w:gridCol w:w="1034"/>
        <w:gridCol w:w="1034"/>
        <w:gridCol w:w="1031"/>
        <w:gridCol w:w="1028"/>
        <w:gridCol w:w="1028"/>
        <w:gridCol w:w="1028"/>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05" w:hRule="atLeast"/>
          <w:tblHeader/>
          <w:jc w:val="center"/>
        </w:trPr>
        <w:tc>
          <w:tcPr>
            <w:tcW w:w="1031" w:type="dxa"/>
            <w:vMerge w:val="restart"/>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距源中心下风向距离（m）</w:t>
            </w:r>
          </w:p>
        </w:tc>
        <w:tc>
          <w:tcPr>
            <w:tcW w:w="6775" w:type="dxa"/>
            <w:gridSpan w:val="6"/>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采暖</w:t>
            </w:r>
            <w:r>
              <w:rPr>
                <w:rFonts w:ascii="Times New Roman" w:hAnsi="Times New Roman" w:eastAsia="宋体" w:cs="Times New Roman"/>
                <w:kern w:val="0"/>
                <w:szCs w:val="20"/>
              </w:rPr>
              <w:t>锅炉排气筒P1、P2</w:t>
            </w:r>
          </w:p>
        </w:tc>
        <w:tc>
          <w:tcPr>
            <w:tcW w:w="6166" w:type="dxa"/>
            <w:gridSpan w:val="6"/>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热水</w:t>
            </w:r>
            <w:r>
              <w:rPr>
                <w:rFonts w:ascii="Times New Roman" w:hAnsi="Times New Roman" w:eastAsia="宋体" w:cs="Times New Roman"/>
                <w:kern w:val="0"/>
                <w:szCs w:val="20"/>
              </w:rPr>
              <w:t>锅炉排气筒P3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05" w:hRule="atLeast"/>
          <w:tblHeader/>
          <w:jc w:val="center"/>
        </w:trPr>
        <w:tc>
          <w:tcPr>
            <w:tcW w:w="1031"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2264"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2261"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2250"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NOx</w:t>
            </w:r>
          </w:p>
        </w:tc>
        <w:tc>
          <w:tcPr>
            <w:tcW w:w="2065"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2056"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2045"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1031"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076"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18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117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08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1216"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0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10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10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0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10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101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w:t>
            </w:r>
          </w:p>
        </w:tc>
        <w:tc>
          <w:tcPr>
            <w:tcW w:w="1076" w:type="dxa"/>
            <w:vAlign w:val="bottom"/>
          </w:tcPr>
          <w:p>
            <w:pPr>
              <w:pStyle w:val="43"/>
            </w:pPr>
            <w:r>
              <w:rPr>
                <w:rFonts w:hint="eastAsia"/>
              </w:rPr>
              <w:t>1.5235</w:t>
            </w:r>
          </w:p>
        </w:tc>
        <w:tc>
          <w:tcPr>
            <w:tcW w:w="1188" w:type="dxa"/>
            <w:vAlign w:val="bottom"/>
          </w:tcPr>
          <w:p>
            <w:pPr>
              <w:pStyle w:val="43"/>
            </w:pPr>
            <w:r>
              <w:rPr>
                <w:rFonts w:hint="eastAsia"/>
              </w:rPr>
              <w:t>0.3385</w:t>
            </w:r>
          </w:p>
        </w:tc>
        <w:tc>
          <w:tcPr>
            <w:tcW w:w="1174" w:type="dxa"/>
            <w:vAlign w:val="bottom"/>
          </w:tcPr>
          <w:p>
            <w:pPr>
              <w:pStyle w:val="43"/>
            </w:pPr>
            <w:r>
              <w:rPr>
                <w:rFonts w:hint="eastAsia"/>
              </w:rPr>
              <w:t>2.5391</w:t>
            </w:r>
          </w:p>
        </w:tc>
        <w:tc>
          <w:tcPr>
            <w:tcW w:w="1087" w:type="dxa"/>
            <w:vAlign w:val="bottom"/>
          </w:tcPr>
          <w:p>
            <w:pPr>
              <w:pStyle w:val="43"/>
            </w:pPr>
            <w:r>
              <w:rPr>
                <w:rFonts w:hint="eastAsia"/>
              </w:rPr>
              <w:t>0.5079</w:t>
            </w:r>
          </w:p>
        </w:tc>
        <w:tc>
          <w:tcPr>
            <w:tcW w:w="1216" w:type="dxa"/>
            <w:vAlign w:val="bottom"/>
          </w:tcPr>
          <w:p>
            <w:pPr>
              <w:pStyle w:val="43"/>
            </w:pPr>
            <w:r>
              <w:rPr>
                <w:rFonts w:hint="eastAsia"/>
              </w:rPr>
              <w:t>3.8510</w:t>
            </w:r>
          </w:p>
        </w:tc>
        <w:tc>
          <w:tcPr>
            <w:tcW w:w="1034" w:type="dxa"/>
            <w:vAlign w:val="bottom"/>
          </w:tcPr>
          <w:p>
            <w:pPr>
              <w:pStyle w:val="43"/>
            </w:pPr>
            <w:r>
              <w:rPr>
                <w:rFonts w:hint="eastAsia"/>
              </w:rPr>
              <w:t>1.5404</w:t>
            </w:r>
          </w:p>
        </w:tc>
        <w:tc>
          <w:tcPr>
            <w:tcW w:w="1034" w:type="dxa"/>
            <w:vAlign w:val="bottom"/>
          </w:tcPr>
          <w:p>
            <w:pPr>
              <w:pStyle w:val="43"/>
            </w:pPr>
            <w:r>
              <w:rPr>
                <w:rFonts w:hint="eastAsia"/>
              </w:rPr>
              <w:t>0.4622</w:t>
            </w:r>
          </w:p>
        </w:tc>
        <w:tc>
          <w:tcPr>
            <w:tcW w:w="1031" w:type="dxa"/>
            <w:vAlign w:val="bottom"/>
          </w:tcPr>
          <w:p>
            <w:pPr>
              <w:pStyle w:val="43"/>
            </w:pPr>
            <w:r>
              <w:rPr>
                <w:rFonts w:hint="eastAsia"/>
              </w:rPr>
              <w:t>0.1027</w:t>
            </w:r>
          </w:p>
        </w:tc>
        <w:tc>
          <w:tcPr>
            <w:tcW w:w="1028" w:type="dxa"/>
            <w:vAlign w:val="bottom"/>
          </w:tcPr>
          <w:p>
            <w:pPr>
              <w:pStyle w:val="43"/>
            </w:pPr>
            <w:r>
              <w:rPr>
                <w:rFonts w:hint="eastAsia"/>
              </w:rPr>
              <w:t>0.7594</w:t>
            </w:r>
          </w:p>
        </w:tc>
        <w:tc>
          <w:tcPr>
            <w:tcW w:w="1028" w:type="dxa"/>
            <w:vAlign w:val="bottom"/>
          </w:tcPr>
          <w:p>
            <w:pPr>
              <w:pStyle w:val="43"/>
            </w:pPr>
            <w:r>
              <w:rPr>
                <w:rFonts w:hint="eastAsia"/>
              </w:rPr>
              <w:t>0.4556</w:t>
            </w:r>
          </w:p>
        </w:tc>
        <w:tc>
          <w:tcPr>
            <w:tcW w:w="1028" w:type="dxa"/>
            <w:vAlign w:val="bottom"/>
          </w:tcPr>
          <w:p>
            <w:pPr>
              <w:pStyle w:val="43"/>
            </w:pPr>
            <w:r>
              <w:rPr>
                <w:rFonts w:hint="eastAsia"/>
              </w:rPr>
              <w:t>1.1226</w:t>
            </w:r>
          </w:p>
        </w:tc>
        <w:tc>
          <w:tcPr>
            <w:tcW w:w="1017" w:type="dxa"/>
            <w:vAlign w:val="bottom"/>
          </w:tcPr>
          <w:p>
            <w:pPr>
              <w:pStyle w:val="43"/>
            </w:pPr>
            <w:r>
              <w:rPr>
                <w:rFonts w:hint="eastAsia"/>
              </w:rPr>
              <w:t>0.4491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w:t>
            </w:r>
          </w:p>
        </w:tc>
        <w:tc>
          <w:tcPr>
            <w:tcW w:w="1076" w:type="dxa"/>
            <w:vAlign w:val="bottom"/>
          </w:tcPr>
          <w:p>
            <w:pPr>
              <w:pStyle w:val="43"/>
            </w:pPr>
            <w:r>
              <w:rPr>
                <w:rFonts w:hint="eastAsia"/>
              </w:rPr>
              <w:t>1.4207</w:t>
            </w:r>
          </w:p>
        </w:tc>
        <w:tc>
          <w:tcPr>
            <w:tcW w:w="1188" w:type="dxa"/>
            <w:vAlign w:val="bottom"/>
          </w:tcPr>
          <w:p>
            <w:pPr>
              <w:pStyle w:val="43"/>
            </w:pPr>
            <w:r>
              <w:rPr>
                <w:rFonts w:hint="eastAsia"/>
              </w:rPr>
              <w:t>0.3157</w:t>
            </w:r>
          </w:p>
        </w:tc>
        <w:tc>
          <w:tcPr>
            <w:tcW w:w="1174" w:type="dxa"/>
            <w:vAlign w:val="bottom"/>
          </w:tcPr>
          <w:p>
            <w:pPr>
              <w:pStyle w:val="43"/>
            </w:pPr>
            <w:r>
              <w:rPr>
                <w:rFonts w:hint="eastAsia"/>
              </w:rPr>
              <w:t>2.3677</w:t>
            </w:r>
          </w:p>
        </w:tc>
        <w:tc>
          <w:tcPr>
            <w:tcW w:w="1087" w:type="dxa"/>
            <w:vAlign w:val="bottom"/>
          </w:tcPr>
          <w:p>
            <w:pPr>
              <w:pStyle w:val="43"/>
            </w:pPr>
            <w:r>
              <w:rPr>
                <w:rFonts w:hint="eastAsia"/>
              </w:rPr>
              <w:t>0.4736</w:t>
            </w:r>
          </w:p>
        </w:tc>
        <w:tc>
          <w:tcPr>
            <w:tcW w:w="1216" w:type="dxa"/>
            <w:vAlign w:val="bottom"/>
          </w:tcPr>
          <w:p>
            <w:pPr>
              <w:pStyle w:val="43"/>
            </w:pPr>
            <w:r>
              <w:rPr>
                <w:rFonts w:hint="eastAsia"/>
              </w:rPr>
              <w:t>3.5912</w:t>
            </w:r>
          </w:p>
        </w:tc>
        <w:tc>
          <w:tcPr>
            <w:tcW w:w="1034" w:type="dxa"/>
            <w:vAlign w:val="bottom"/>
          </w:tcPr>
          <w:p>
            <w:pPr>
              <w:pStyle w:val="43"/>
            </w:pPr>
            <w:r>
              <w:rPr>
                <w:rFonts w:hint="eastAsia"/>
              </w:rPr>
              <w:t>1.4365</w:t>
            </w:r>
          </w:p>
        </w:tc>
        <w:tc>
          <w:tcPr>
            <w:tcW w:w="1034" w:type="dxa"/>
            <w:vAlign w:val="bottom"/>
          </w:tcPr>
          <w:p>
            <w:pPr>
              <w:pStyle w:val="43"/>
            </w:pPr>
            <w:r>
              <w:rPr>
                <w:rFonts w:hint="eastAsia"/>
              </w:rPr>
              <w:t>0.3899</w:t>
            </w:r>
          </w:p>
        </w:tc>
        <w:tc>
          <w:tcPr>
            <w:tcW w:w="1031" w:type="dxa"/>
            <w:vAlign w:val="bottom"/>
          </w:tcPr>
          <w:p>
            <w:pPr>
              <w:pStyle w:val="43"/>
            </w:pPr>
            <w:r>
              <w:rPr>
                <w:rFonts w:hint="eastAsia"/>
              </w:rPr>
              <w:t>0.0866</w:t>
            </w:r>
          </w:p>
        </w:tc>
        <w:tc>
          <w:tcPr>
            <w:tcW w:w="1028" w:type="dxa"/>
            <w:vAlign w:val="bottom"/>
          </w:tcPr>
          <w:p>
            <w:pPr>
              <w:pStyle w:val="43"/>
            </w:pPr>
            <w:r>
              <w:rPr>
                <w:rFonts w:hint="eastAsia"/>
              </w:rPr>
              <w:t>0.6406</w:t>
            </w:r>
          </w:p>
        </w:tc>
        <w:tc>
          <w:tcPr>
            <w:tcW w:w="1028" w:type="dxa"/>
            <w:vAlign w:val="bottom"/>
          </w:tcPr>
          <w:p>
            <w:pPr>
              <w:pStyle w:val="43"/>
            </w:pPr>
            <w:r>
              <w:rPr>
                <w:rFonts w:hint="eastAsia"/>
              </w:rPr>
              <w:t>0.3844</w:t>
            </w:r>
          </w:p>
        </w:tc>
        <w:tc>
          <w:tcPr>
            <w:tcW w:w="1028" w:type="dxa"/>
            <w:vAlign w:val="bottom"/>
          </w:tcPr>
          <w:p>
            <w:pPr>
              <w:pStyle w:val="43"/>
            </w:pPr>
            <w:r>
              <w:rPr>
                <w:rFonts w:hint="eastAsia"/>
              </w:rPr>
              <w:t>0.9470</w:t>
            </w:r>
          </w:p>
        </w:tc>
        <w:tc>
          <w:tcPr>
            <w:tcW w:w="1017" w:type="dxa"/>
            <w:vAlign w:val="bottom"/>
          </w:tcPr>
          <w:p>
            <w:pPr>
              <w:pStyle w:val="43"/>
            </w:pPr>
            <w:r>
              <w:rPr>
                <w:rFonts w:hint="eastAsia"/>
              </w:rPr>
              <w:t>0.3788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w:t>
            </w:r>
          </w:p>
        </w:tc>
        <w:tc>
          <w:tcPr>
            <w:tcW w:w="1076" w:type="dxa"/>
            <w:vAlign w:val="bottom"/>
          </w:tcPr>
          <w:p>
            <w:pPr>
              <w:pStyle w:val="43"/>
            </w:pPr>
            <w:r>
              <w:rPr>
                <w:rFonts w:hint="eastAsia"/>
              </w:rPr>
              <w:t>0.9397</w:t>
            </w:r>
          </w:p>
        </w:tc>
        <w:tc>
          <w:tcPr>
            <w:tcW w:w="1188" w:type="dxa"/>
            <w:vAlign w:val="bottom"/>
          </w:tcPr>
          <w:p>
            <w:pPr>
              <w:pStyle w:val="43"/>
            </w:pPr>
            <w:r>
              <w:rPr>
                <w:rFonts w:hint="eastAsia"/>
              </w:rPr>
              <w:t>0.2088</w:t>
            </w:r>
          </w:p>
        </w:tc>
        <w:tc>
          <w:tcPr>
            <w:tcW w:w="1174" w:type="dxa"/>
            <w:vAlign w:val="bottom"/>
          </w:tcPr>
          <w:p>
            <w:pPr>
              <w:pStyle w:val="43"/>
            </w:pPr>
            <w:r>
              <w:rPr>
                <w:rFonts w:hint="eastAsia"/>
              </w:rPr>
              <w:t>1.5661</w:t>
            </w:r>
          </w:p>
        </w:tc>
        <w:tc>
          <w:tcPr>
            <w:tcW w:w="1087" w:type="dxa"/>
            <w:vAlign w:val="bottom"/>
          </w:tcPr>
          <w:p>
            <w:pPr>
              <w:pStyle w:val="43"/>
            </w:pPr>
            <w:r>
              <w:rPr>
                <w:rFonts w:hint="eastAsia"/>
              </w:rPr>
              <w:t>0.3132</w:t>
            </w:r>
          </w:p>
        </w:tc>
        <w:tc>
          <w:tcPr>
            <w:tcW w:w="1216" w:type="dxa"/>
            <w:vAlign w:val="bottom"/>
          </w:tcPr>
          <w:p>
            <w:pPr>
              <w:pStyle w:val="43"/>
            </w:pPr>
            <w:r>
              <w:rPr>
                <w:rFonts w:hint="eastAsia"/>
              </w:rPr>
              <w:t>2.3754</w:t>
            </w:r>
          </w:p>
        </w:tc>
        <w:tc>
          <w:tcPr>
            <w:tcW w:w="1034" w:type="dxa"/>
            <w:vAlign w:val="bottom"/>
          </w:tcPr>
          <w:p>
            <w:pPr>
              <w:pStyle w:val="43"/>
            </w:pPr>
            <w:r>
              <w:rPr>
                <w:rFonts w:hint="eastAsia"/>
              </w:rPr>
              <w:t>0.9501</w:t>
            </w:r>
          </w:p>
        </w:tc>
        <w:tc>
          <w:tcPr>
            <w:tcW w:w="1034" w:type="dxa"/>
            <w:vAlign w:val="bottom"/>
          </w:tcPr>
          <w:p>
            <w:pPr>
              <w:pStyle w:val="43"/>
            </w:pPr>
            <w:r>
              <w:rPr>
                <w:rFonts w:hint="eastAsia"/>
              </w:rPr>
              <w:t>0.2592</w:t>
            </w:r>
          </w:p>
        </w:tc>
        <w:tc>
          <w:tcPr>
            <w:tcW w:w="1031" w:type="dxa"/>
            <w:vAlign w:val="bottom"/>
          </w:tcPr>
          <w:p>
            <w:pPr>
              <w:pStyle w:val="43"/>
            </w:pPr>
            <w:r>
              <w:rPr>
                <w:rFonts w:hint="eastAsia"/>
              </w:rPr>
              <w:t>0.0576</w:t>
            </w:r>
          </w:p>
        </w:tc>
        <w:tc>
          <w:tcPr>
            <w:tcW w:w="1028" w:type="dxa"/>
            <w:vAlign w:val="bottom"/>
          </w:tcPr>
          <w:p>
            <w:pPr>
              <w:pStyle w:val="43"/>
            </w:pPr>
            <w:r>
              <w:rPr>
                <w:rFonts w:hint="eastAsia"/>
              </w:rPr>
              <w:t>0.4259</w:t>
            </w:r>
          </w:p>
        </w:tc>
        <w:tc>
          <w:tcPr>
            <w:tcW w:w="1028" w:type="dxa"/>
            <w:vAlign w:val="bottom"/>
          </w:tcPr>
          <w:p>
            <w:pPr>
              <w:pStyle w:val="43"/>
            </w:pPr>
            <w:r>
              <w:rPr>
                <w:rFonts w:hint="eastAsia"/>
              </w:rPr>
              <w:t>0.2555</w:t>
            </w:r>
          </w:p>
        </w:tc>
        <w:tc>
          <w:tcPr>
            <w:tcW w:w="1028" w:type="dxa"/>
            <w:vAlign w:val="bottom"/>
          </w:tcPr>
          <w:p>
            <w:pPr>
              <w:pStyle w:val="43"/>
            </w:pPr>
            <w:r>
              <w:rPr>
                <w:rFonts w:hint="eastAsia"/>
              </w:rPr>
              <w:t>0.6295</w:t>
            </w:r>
          </w:p>
        </w:tc>
        <w:tc>
          <w:tcPr>
            <w:tcW w:w="1017" w:type="dxa"/>
            <w:vAlign w:val="bottom"/>
          </w:tcPr>
          <w:p>
            <w:pPr>
              <w:pStyle w:val="43"/>
            </w:pPr>
            <w:r>
              <w:rPr>
                <w:rFonts w:hint="eastAsia"/>
              </w:rPr>
              <w:t>0.2518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300</w:t>
            </w:r>
          </w:p>
        </w:tc>
        <w:tc>
          <w:tcPr>
            <w:tcW w:w="1076" w:type="dxa"/>
            <w:vAlign w:val="bottom"/>
          </w:tcPr>
          <w:p>
            <w:pPr>
              <w:pStyle w:val="43"/>
            </w:pPr>
            <w:r>
              <w:rPr>
                <w:rFonts w:hint="eastAsia"/>
              </w:rPr>
              <w:t>2.7009</w:t>
            </w:r>
          </w:p>
        </w:tc>
        <w:tc>
          <w:tcPr>
            <w:tcW w:w="1188" w:type="dxa"/>
            <w:vAlign w:val="bottom"/>
          </w:tcPr>
          <w:p>
            <w:pPr>
              <w:pStyle w:val="43"/>
            </w:pPr>
            <w:r>
              <w:rPr>
                <w:rFonts w:hint="eastAsia"/>
              </w:rPr>
              <w:t>0.6003</w:t>
            </w:r>
          </w:p>
        </w:tc>
        <w:tc>
          <w:tcPr>
            <w:tcW w:w="1174" w:type="dxa"/>
            <w:vAlign w:val="bottom"/>
          </w:tcPr>
          <w:p>
            <w:pPr>
              <w:pStyle w:val="43"/>
            </w:pPr>
            <w:r>
              <w:rPr>
                <w:rFonts w:hint="eastAsia"/>
              </w:rPr>
              <w:t>4.5016</w:t>
            </w:r>
          </w:p>
        </w:tc>
        <w:tc>
          <w:tcPr>
            <w:tcW w:w="1087" w:type="dxa"/>
            <w:vAlign w:val="bottom"/>
          </w:tcPr>
          <w:p>
            <w:pPr>
              <w:pStyle w:val="43"/>
            </w:pPr>
            <w:r>
              <w:rPr>
                <w:rFonts w:hint="eastAsia"/>
              </w:rPr>
              <w:t>0.9003</w:t>
            </w:r>
          </w:p>
        </w:tc>
        <w:tc>
          <w:tcPr>
            <w:tcW w:w="1216" w:type="dxa"/>
            <w:vAlign w:val="bottom"/>
          </w:tcPr>
          <w:p>
            <w:pPr>
              <w:pStyle w:val="43"/>
            </w:pPr>
            <w:r>
              <w:rPr>
                <w:rFonts w:hint="eastAsia"/>
              </w:rPr>
              <w:t>6.8274</w:t>
            </w:r>
          </w:p>
        </w:tc>
        <w:tc>
          <w:tcPr>
            <w:tcW w:w="1034" w:type="dxa"/>
            <w:vAlign w:val="bottom"/>
          </w:tcPr>
          <w:p>
            <w:pPr>
              <w:pStyle w:val="43"/>
            </w:pPr>
            <w:r>
              <w:rPr>
                <w:rFonts w:hint="eastAsia"/>
              </w:rPr>
              <w:t>2.7309</w:t>
            </w:r>
          </w:p>
        </w:tc>
        <w:tc>
          <w:tcPr>
            <w:tcW w:w="1034" w:type="dxa"/>
            <w:vAlign w:val="bottom"/>
          </w:tcPr>
          <w:p>
            <w:pPr>
              <w:pStyle w:val="43"/>
            </w:pPr>
            <w:r>
              <w:rPr>
                <w:rFonts w:hint="eastAsia"/>
              </w:rPr>
              <w:t>0.6736</w:t>
            </w:r>
          </w:p>
        </w:tc>
        <w:tc>
          <w:tcPr>
            <w:tcW w:w="1031" w:type="dxa"/>
            <w:vAlign w:val="bottom"/>
          </w:tcPr>
          <w:p>
            <w:pPr>
              <w:pStyle w:val="43"/>
            </w:pPr>
            <w:r>
              <w:rPr>
                <w:rFonts w:hint="eastAsia"/>
              </w:rPr>
              <w:t>0.1497</w:t>
            </w:r>
          </w:p>
        </w:tc>
        <w:tc>
          <w:tcPr>
            <w:tcW w:w="1028" w:type="dxa"/>
            <w:vAlign w:val="bottom"/>
          </w:tcPr>
          <w:p>
            <w:pPr>
              <w:pStyle w:val="43"/>
            </w:pPr>
            <w:r>
              <w:rPr>
                <w:rFonts w:hint="eastAsia"/>
              </w:rPr>
              <w:t>1.1066</w:t>
            </w:r>
          </w:p>
        </w:tc>
        <w:tc>
          <w:tcPr>
            <w:tcW w:w="1028" w:type="dxa"/>
            <w:vAlign w:val="bottom"/>
          </w:tcPr>
          <w:p>
            <w:pPr>
              <w:pStyle w:val="43"/>
            </w:pPr>
            <w:r>
              <w:rPr>
                <w:rFonts w:hint="eastAsia"/>
              </w:rPr>
              <w:t>0.6639</w:t>
            </w:r>
          </w:p>
        </w:tc>
        <w:tc>
          <w:tcPr>
            <w:tcW w:w="1028" w:type="dxa"/>
            <w:vAlign w:val="bottom"/>
          </w:tcPr>
          <w:p>
            <w:pPr>
              <w:pStyle w:val="43"/>
            </w:pPr>
            <w:r>
              <w:rPr>
                <w:rFonts w:hint="eastAsia"/>
              </w:rPr>
              <w:t>1.6358</w:t>
            </w:r>
          </w:p>
        </w:tc>
        <w:tc>
          <w:tcPr>
            <w:tcW w:w="1017" w:type="dxa"/>
            <w:vAlign w:val="bottom"/>
          </w:tcPr>
          <w:p>
            <w:pPr>
              <w:pStyle w:val="43"/>
            </w:pPr>
            <w:r>
              <w:rPr>
                <w:rFonts w:hint="eastAsia"/>
              </w:rPr>
              <w:t>0.6543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400</w:t>
            </w:r>
          </w:p>
        </w:tc>
        <w:tc>
          <w:tcPr>
            <w:tcW w:w="1076" w:type="dxa"/>
            <w:vAlign w:val="bottom"/>
          </w:tcPr>
          <w:p>
            <w:pPr>
              <w:pStyle w:val="43"/>
            </w:pPr>
            <w:r>
              <w:rPr>
                <w:rFonts w:hint="eastAsia"/>
              </w:rPr>
              <w:t>1.8245</w:t>
            </w:r>
          </w:p>
        </w:tc>
        <w:tc>
          <w:tcPr>
            <w:tcW w:w="1188" w:type="dxa"/>
            <w:vAlign w:val="bottom"/>
          </w:tcPr>
          <w:p>
            <w:pPr>
              <w:pStyle w:val="43"/>
            </w:pPr>
            <w:r>
              <w:rPr>
                <w:rFonts w:hint="eastAsia"/>
              </w:rPr>
              <w:t>0.4055</w:t>
            </w:r>
          </w:p>
        </w:tc>
        <w:tc>
          <w:tcPr>
            <w:tcW w:w="1174" w:type="dxa"/>
            <w:vAlign w:val="bottom"/>
          </w:tcPr>
          <w:p>
            <w:pPr>
              <w:pStyle w:val="43"/>
            </w:pPr>
            <w:r>
              <w:rPr>
                <w:rFonts w:hint="eastAsia"/>
              </w:rPr>
              <w:t>3.0409</w:t>
            </w:r>
          </w:p>
        </w:tc>
        <w:tc>
          <w:tcPr>
            <w:tcW w:w="1087" w:type="dxa"/>
            <w:vAlign w:val="bottom"/>
          </w:tcPr>
          <w:p>
            <w:pPr>
              <w:pStyle w:val="43"/>
            </w:pPr>
            <w:r>
              <w:rPr>
                <w:rFonts w:hint="eastAsia"/>
              </w:rPr>
              <w:t>0.6081</w:t>
            </w:r>
          </w:p>
        </w:tc>
        <w:tc>
          <w:tcPr>
            <w:tcW w:w="1216" w:type="dxa"/>
            <w:vAlign w:val="bottom"/>
          </w:tcPr>
          <w:p>
            <w:pPr>
              <w:pStyle w:val="43"/>
            </w:pPr>
            <w:r>
              <w:rPr>
                <w:rFonts w:hint="eastAsia"/>
              </w:rPr>
              <w:t>4.6120</w:t>
            </w:r>
          </w:p>
        </w:tc>
        <w:tc>
          <w:tcPr>
            <w:tcW w:w="1034" w:type="dxa"/>
            <w:vAlign w:val="bottom"/>
          </w:tcPr>
          <w:p>
            <w:pPr>
              <w:pStyle w:val="43"/>
            </w:pPr>
            <w:r>
              <w:rPr>
                <w:rFonts w:hint="eastAsia"/>
              </w:rPr>
              <w:t>1.8448</w:t>
            </w:r>
          </w:p>
        </w:tc>
        <w:tc>
          <w:tcPr>
            <w:tcW w:w="1034" w:type="dxa"/>
            <w:vAlign w:val="bottom"/>
          </w:tcPr>
          <w:p>
            <w:pPr>
              <w:pStyle w:val="43"/>
            </w:pPr>
            <w:r>
              <w:rPr>
                <w:rFonts w:hint="eastAsia"/>
              </w:rPr>
              <w:t>0.4943</w:t>
            </w:r>
          </w:p>
        </w:tc>
        <w:tc>
          <w:tcPr>
            <w:tcW w:w="1031" w:type="dxa"/>
            <w:vAlign w:val="bottom"/>
          </w:tcPr>
          <w:p>
            <w:pPr>
              <w:pStyle w:val="43"/>
            </w:pPr>
            <w:r>
              <w:rPr>
                <w:rFonts w:hint="eastAsia"/>
              </w:rPr>
              <w:t>0.1098</w:t>
            </w:r>
          </w:p>
        </w:tc>
        <w:tc>
          <w:tcPr>
            <w:tcW w:w="1028" w:type="dxa"/>
            <w:vAlign w:val="bottom"/>
          </w:tcPr>
          <w:p>
            <w:pPr>
              <w:pStyle w:val="43"/>
            </w:pPr>
            <w:r>
              <w:rPr>
                <w:rFonts w:hint="eastAsia"/>
              </w:rPr>
              <w:t>0.8121</w:t>
            </w:r>
          </w:p>
        </w:tc>
        <w:tc>
          <w:tcPr>
            <w:tcW w:w="1028" w:type="dxa"/>
            <w:vAlign w:val="bottom"/>
          </w:tcPr>
          <w:p>
            <w:pPr>
              <w:pStyle w:val="43"/>
            </w:pPr>
            <w:r>
              <w:rPr>
                <w:rFonts w:hint="eastAsia"/>
              </w:rPr>
              <w:t>0.4873</w:t>
            </w:r>
          </w:p>
        </w:tc>
        <w:tc>
          <w:tcPr>
            <w:tcW w:w="1028" w:type="dxa"/>
            <w:vAlign w:val="bottom"/>
          </w:tcPr>
          <w:p>
            <w:pPr>
              <w:pStyle w:val="43"/>
            </w:pPr>
            <w:r>
              <w:rPr>
                <w:rFonts w:hint="eastAsia"/>
              </w:rPr>
              <w:t>1.2004</w:t>
            </w:r>
          </w:p>
        </w:tc>
        <w:tc>
          <w:tcPr>
            <w:tcW w:w="1017" w:type="dxa"/>
            <w:vAlign w:val="bottom"/>
          </w:tcPr>
          <w:p>
            <w:pPr>
              <w:pStyle w:val="43"/>
            </w:pPr>
            <w:r>
              <w:rPr>
                <w:rFonts w:hint="eastAsia"/>
              </w:rPr>
              <w:t>0.4802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500</w:t>
            </w:r>
          </w:p>
        </w:tc>
        <w:tc>
          <w:tcPr>
            <w:tcW w:w="1076" w:type="dxa"/>
            <w:vAlign w:val="bottom"/>
          </w:tcPr>
          <w:p>
            <w:pPr>
              <w:pStyle w:val="43"/>
            </w:pPr>
            <w:r>
              <w:rPr>
                <w:rFonts w:hint="eastAsia"/>
              </w:rPr>
              <w:t>1.4404</w:t>
            </w:r>
          </w:p>
        </w:tc>
        <w:tc>
          <w:tcPr>
            <w:tcW w:w="1188" w:type="dxa"/>
            <w:vAlign w:val="bottom"/>
          </w:tcPr>
          <w:p>
            <w:pPr>
              <w:pStyle w:val="43"/>
            </w:pPr>
            <w:r>
              <w:rPr>
                <w:rFonts w:hint="eastAsia"/>
              </w:rPr>
              <w:t>0.3201</w:t>
            </w:r>
          </w:p>
        </w:tc>
        <w:tc>
          <w:tcPr>
            <w:tcW w:w="1174" w:type="dxa"/>
            <w:vAlign w:val="bottom"/>
          </w:tcPr>
          <w:p>
            <w:pPr>
              <w:pStyle w:val="43"/>
            </w:pPr>
            <w:r>
              <w:rPr>
                <w:rFonts w:hint="eastAsia"/>
              </w:rPr>
              <w:t>2.4007</w:t>
            </w:r>
          </w:p>
        </w:tc>
        <w:tc>
          <w:tcPr>
            <w:tcW w:w="1087" w:type="dxa"/>
            <w:vAlign w:val="bottom"/>
          </w:tcPr>
          <w:p>
            <w:pPr>
              <w:pStyle w:val="43"/>
            </w:pPr>
            <w:r>
              <w:rPr>
                <w:rFonts w:hint="eastAsia"/>
              </w:rPr>
              <w:t>0.4801</w:t>
            </w:r>
          </w:p>
        </w:tc>
        <w:tc>
          <w:tcPr>
            <w:tcW w:w="1216" w:type="dxa"/>
            <w:vAlign w:val="bottom"/>
          </w:tcPr>
          <w:p>
            <w:pPr>
              <w:pStyle w:val="43"/>
            </w:pPr>
            <w:r>
              <w:rPr>
                <w:rFonts w:hint="eastAsia"/>
              </w:rPr>
              <w:t>3.6411</w:t>
            </w:r>
          </w:p>
        </w:tc>
        <w:tc>
          <w:tcPr>
            <w:tcW w:w="1034" w:type="dxa"/>
            <w:vAlign w:val="bottom"/>
          </w:tcPr>
          <w:p>
            <w:pPr>
              <w:pStyle w:val="43"/>
            </w:pPr>
            <w:r>
              <w:rPr>
                <w:rFonts w:hint="eastAsia"/>
              </w:rPr>
              <w:t>1.4564</w:t>
            </w:r>
          </w:p>
        </w:tc>
        <w:tc>
          <w:tcPr>
            <w:tcW w:w="1034" w:type="dxa"/>
            <w:vAlign w:val="bottom"/>
          </w:tcPr>
          <w:p>
            <w:pPr>
              <w:pStyle w:val="43"/>
            </w:pPr>
            <w:r>
              <w:rPr>
                <w:rFonts w:hint="eastAsia"/>
              </w:rPr>
              <w:t>0.4271</w:t>
            </w:r>
          </w:p>
        </w:tc>
        <w:tc>
          <w:tcPr>
            <w:tcW w:w="1031" w:type="dxa"/>
            <w:vAlign w:val="bottom"/>
          </w:tcPr>
          <w:p>
            <w:pPr>
              <w:pStyle w:val="43"/>
            </w:pPr>
            <w:r>
              <w:rPr>
                <w:rFonts w:hint="eastAsia"/>
              </w:rPr>
              <w:t>0.0949</w:t>
            </w:r>
          </w:p>
        </w:tc>
        <w:tc>
          <w:tcPr>
            <w:tcW w:w="1028" w:type="dxa"/>
            <w:vAlign w:val="bottom"/>
          </w:tcPr>
          <w:p>
            <w:pPr>
              <w:pStyle w:val="43"/>
            </w:pPr>
            <w:r>
              <w:rPr>
                <w:rFonts w:hint="eastAsia"/>
              </w:rPr>
              <w:t>0.7016</w:t>
            </w:r>
          </w:p>
        </w:tc>
        <w:tc>
          <w:tcPr>
            <w:tcW w:w="1028" w:type="dxa"/>
            <w:vAlign w:val="bottom"/>
          </w:tcPr>
          <w:p>
            <w:pPr>
              <w:pStyle w:val="43"/>
            </w:pPr>
            <w:r>
              <w:rPr>
                <w:rFonts w:hint="eastAsia"/>
              </w:rPr>
              <w:t>0.4209</w:t>
            </w:r>
          </w:p>
        </w:tc>
        <w:tc>
          <w:tcPr>
            <w:tcW w:w="1028" w:type="dxa"/>
            <w:vAlign w:val="bottom"/>
          </w:tcPr>
          <w:p>
            <w:pPr>
              <w:pStyle w:val="43"/>
            </w:pPr>
            <w:r>
              <w:rPr>
                <w:rFonts w:hint="eastAsia"/>
              </w:rPr>
              <w:t>1.0371</w:t>
            </w:r>
          </w:p>
        </w:tc>
        <w:tc>
          <w:tcPr>
            <w:tcW w:w="1017" w:type="dxa"/>
            <w:vAlign w:val="bottom"/>
          </w:tcPr>
          <w:p>
            <w:pPr>
              <w:pStyle w:val="43"/>
            </w:pPr>
            <w:r>
              <w:rPr>
                <w:rFonts w:hint="eastAsia"/>
              </w:rPr>
              <w:t>0.4149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600</w:t>
            </w:r>
          </w:p>
        </w:tc>
        <w:tc>
          <w:tcPr>
            <w:tcW w:w="1076" w:type="dxa"/>
            <w:vAlign w:val="bottom"/>
          </w:tcPr>
          <w:p>
            <w:pPr>
              <w:pStyle w:val="43"/>
            </w:pPr>
            <w:r>
              <w:rPr>
                <w:rFonts w:hint="eastAsia"/>
              </w:rPr>
              <w:t>1.2324</w:t>
            </w:r>
          </w:p>
        </w:tc>
        <w:tc>
          <w:tcPr>
            <w:tcW w:w="1188" w:type="dxa"/>
            <w:vAlign w:val="bottom"/>
          </w:tcPr>
          <w:p>
            <w:pPr>
              <w:pStyle w:val="43"/>
            </w:pPr>
            <w:r>
              <w:rPr>
                <w:rFonts w:hint="eastAsia"/>
              </w:rPr>
              <w:t>0.2739</w:t>
            </w:r>
          </w:p>
        </w:tc>
        <w:tc>
          <w:tcPr>
            <w:tcW w:w="1174" w:type="dxa"/>
            <w:vAlign w:val="bottom"/>
          </w:tcPr>
          <w:p>
            <w:pPr>
              <w:pStyle w:val="43"/>
            </w:pPr>
            <w:r>
              <w:rPr>
                <w:rFonts w:hint="eastAsia"/>
              </w:rPr>
              <w:t>2.0541</w:t>
            </w:r>
          </w:p>
        </w:tc>
        <w:tc>
          <w:tcPr>
            <w:tcW w:w="1087" w:type="dxa"/>
            <w:vAlign w:val="bottom"/>
          </w:tcPr>
          <w:p>
            <w:pPr>
              <w:pStyle w:val="43"/>
            </w:pPr>
            <w:r>
              <w:rPr>
                <w:rFonts w:hint="eastAsia"/>
              </w:rPr>
              <w:t>0.4108</w:t>
            </w:r>
          </w:p>
        </w:tc>
        <w:tc>
          <w:tcPr>
            <w:tcW w:w="1216" w:type="dxa"/>
            <w:vAlign w:val="bottom"/>
          </w:tcPr>
          <w:p>
            <w:pPr>
              <w:pStyle w:val="43"/>
            </w:pPr>
            <w:r>
              <w:rPr>
                <w:rFonts w:hint="eastAsia"/>
              </w:rPr>
              <w:t>3.1153</w:t>
            </w:r>
          </w:p>
        </w:tc>
        <w:tc>
          <w:tcPr>
            <w:tcW w:w="1034" w:type="dxa"/>
            <w:vAlign w:val="bottom"/>
          </w:tcPr>
          <w:p>
            <w:pPr>
              <w:pStyle w:val="43"/>
            </w:pPr>
            <w:r>
              <w:rPr>
                <w:rFonts w:hint="eastAsia"/>
              </w:rPr>
              <w:t>1.2462</w:t>
            </w:r>
          </w:p>
        </w:tc>
        <w:tc>
          <w:tcPr>
            <w:tcW w:w="1034" w:type="dxa"/>
            <w:vAlign w:val="bottom"/>
          </w:tcPr>
          <w:p>
            <w:pPr>
              <w:pStyle w:val="43"/>
            </w:pPr>
            <w:r>
              <w:rPr>
                <w:rFonts w:hint="eastAsia"/>
              </w:rPr>
              <w:t>0.3729</w:t>
            </w:r>
          </w:p>
        </w:tc>
        <w:tc>
          <w:tcPr>
            <w:tcW w:w="1031" w:type="dxa"/>
            <w:vAlign w:val="bottom"/>
          </w:tcPr>
          <w:p>
            <w:pPr>
              <w:pStyle w:val="43"/>
            </w:pPr>
            <w:r>
              <w:rPr>
                <w:rFonts w:hint="eastAsia"/>
              </w:rPr>
              <w:t>0.0829</w:t>
            </w:r>
          </w:p>
        </w:tc>
        <w:tc>
          <w:tcPr>
            <w:tcW w:w="1028" w:type="dxa"/>
            <w:vAlign w:val="bottom"/>
          </w:tcPr>
          <w:p>
            <w:pPr>
              <w:pStyle w:val="43"/>
            </w:pPr>
            <w:r>
              <w:rPr>
                <w:rFonts w:hint="eastAsia"/>
              </w:rPr>
              <w:t>0.6127</w:t>
            </w:r>
          </w:p>
        </w:tc>
        <w:tc>
          <w:tcPr>
            <w:tcW w:w="1028" w:type="dxa"/>
            <w:vAlign w:val="bottom"/>
          </w:tcPr>
          <w:p>
            <w:pPr>
              <w:pStyle w:val="43"/>
            </w:pPr>
            <w:r>
              <w:rPr>
                <w:rFonts w:hint="eastAsia"/>
              </w:rPr>
              <w:t>0.3675</w:t>
            </w:r>
          </w:p>
        </w:tc>
        <w:tc>
          <w:tcPr>
            <w:tcW w:w="1028" w:type="dxa"/>
            <w:vAlign w:val="bottom"/>
          </w:tcPr>
          <w:p>
            <w:pPr>
              <w:pStyle w:val="43"/>
            </w:pPr>
            <w:r>
              <w:rPr>
                <w:rFonts w:hint="eastAsia"/>
              </w:rPr>
              <w:t>0.9057</w:t>
            </w:r>
          </w:p>
        </w:tc>
        <w:tc>
          <w:tcPr>
            <w:tcW w:w="1017" w:type="dxa"/>
            <w:vAlign w:val="bottom"/>
          </w:tcPr>
          <w:p>
            <w:pPr>
              <w:pStyle w:val="43"/>
            </w:pPr>
            <w:r>
              <w:rPr>
                <w:rFonts w:hint="eastAsia"/>
              </w:rPr>
              <w:t>0.3623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700</w:t>
            </w:r>
          </w:p>
        </w:tc>
        <w:tc>
          <w:tcPr>
            <w:tcW w:w="1076" w:type="dxa"/>
            <w:vAlign w:val="bottom"/>
          </w:tcPr>
          <w:p>
            <w:pPr>
              <w:pStyle w:val="43"/>
            </w:pPr>
            <w:r>
              <w:rPr>
                <w:rFonts w:hint="eastAsia"/>
              </w:rPr>
              <w:t>1.0448</w:t>
            </w:r>
          </w:p>
        </w:tc>
        <w:tc>
          <w:tcPr>
            <w:tcW w:w="1188" w:type="dxa"/>
            <w:vAlign w:val="bottom"/>
          </w:tcPr>
          <w:p>
            <w:pPr>
              <w:pStyle w:val="43"/>
            </w:pPr>
            <w:r>
              <w:rPr>
                <w:rFonts w:hint="eastAsia"/>
              </w:rPr>
              <w:t>0.2321</w:t>
            </w:r>
          </w:p>
        </w:tc>
        <w:tc>
          <w:tcPr>
            <w:tcW w:w="1174" w:type="dxa"/>
            <w:vAlign w:val="bottom"/>
          </w:tcPr>
          <w:p>
            <w:pPr>
              <w:pStyle w:val="43"/>
            </w:pPr>
            <w:r>
              <w:rPr>
                <w:rFonts w:hint="eastAsia"/>
              </w:rPr>
              <w:t>1.7413</w:t>
            </w:r>
          </w:p>
        </w:tc>
        <w:tc>
          <w:tcPr>
            <w:tcW w:w="1087" w:type="dxa"/>
            <w:vAlign w:val="bottom"/>
          </w:tcPr>
          <w:p>
            <w:pPr>
              <w:pStyle w:val="43"/>
            </w:pPr>
            <w:r>
              <w:rPr>
                <w:rFonts w:hint="eastAsia"/>
              </w:rPr>
              <w:t>0.3483</w:t>
            </w:r>
          </w:p>
        </w:tc>
        <w:tc>
          <w:tcPr>
            <w:tcW w:w="1216" w:type="dxa"/>
            <w:vAlign w:val="bottom"/>
          </w:tcPr>
          <w:p>
            <w:pPr>
              <w:pStyle w:val="43"/>
            </w:pPr>
            <w:r>
              <w:rPr>
                <w:rFonts w:hint="eastAsia"/>
              </w:rPr>
              <w:t>2.6411</w:t>
            </w:r>
          </w:p>
        </w:tc>
        <w:tc>
          <w:tcPr>
            <w:tcW w:w="1034" w:type="dxa"/>
            <w:vAlign w:val="bottom"/>
          </w:tcPr>
          <w:p>
            <w:pPr>
              <w:pStyle w:val="43"/>
            </w:pPr>
            <w:r>
              <w:rPr>
                <w:rFonts w:hint="eastAsia"/>
              </w:rPr>
              <w:t>1.0564</w:t>
            </w:r>
          </w:p>
        </w:tc>
        <w:tc>
          <w:tcPr>
            <w:tcW w:w="1034" w:type="dxa"/>
            <w:vAlign w:val="bottom"/>
          </w:tcPr>
          <w:p>
            <w:pPr>
              <w:pStyle w:val="43"/>
            </w:pPr>
            <w:r>
              <w:rPr>
                <w:rFonts w:hint="eastAsia"/>
              </w:rPr>
              <w:t>0.3256</w:t>
            </w:r>
          </w:p>
        </w:tc>
        <w:tc>
          <w:tcPr>
            <w:tcW w:w="1031" w:type="dxa"/>
            <w:vAlign w:val="bottom"/>
          </w:tcPr>
          <w:p>
            <w:pPr>
              <w:pStyle w:val="43"/>
            </w:pPr>
            <w:r>
              <w:rPr>
                <w:rFonts w:hint="eastAsia"/>
              </w:rPr>
              <w:t>0.0723</w:t>
            </w:r>
          </w:p>
        </w:tc>
        <w:tc>
          <w:tcPr>
            <w:tcW w:w="1028" w:type="dxa"/>
            <w:vAlign w:val="bottom"/>
          </w:tcPr>
          <w:p>
            <w:pPr>
              <w:pStyle w:val="43"/>
            </w:pPr>
            <w:r>
              <w:rPr>
                <w:rFonts w:hint="eastAsia"/>
              </w:rPr>
              <w:t>0.5349</w:t>
            </w:r>
          </w:p>
        </w:tc>
        <w:tc>
          <w:tcPr>
            <w:tcW w:w="1028" w:type="dxa"/>
            <w:vAlign w:val="bottom"/>
          </w:tcPr>
          <w:p>
            <w:pPr>
              <w:pStyle w:val="43"/>
            </w:pPr>
            <w:r>
              <w:rPr>
                <w:rFonts w:hint="eastAsia"/>
              </w:rPr>
              <w:t>0.3209</w:t>
            </w:r>
          </w:p>
        </w:tc>
        <w:tc>
          <w:tcPr>
            <w:tcW w:w="1028" w:type="dxa"/>
            <w:vAlign w:val="bottom"/>
          </w:tcPr>
          <w:p>
            <w:pPr>
              <w:pStyle w:val="43"/>
            </w:pPr>
            <w:r>
              <w:rPr>
                <w:rFonts w:hint="eastAsia"/>
              </w:rPr>
              <w:t>0.7907</w:t>
            </w:r>
          </w:p>
        </w:tc>
        <w:tc>
          <w:tcPr>
            <w:tcW w:w="1017" w:type="dxa"/>
            <w:vAlign w:val="bottom"/>
          </w:tcPr>
          <w:p>
            <w:pPr>
              <w:pStyle w:val="43"/>
            </w:pPr>
            <w:r>
              <w:rPr>
                <w:rFonts w:hint="eastAsia"/>
              </w:rPr>
              <w:t>0.3163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800</w:t>
            </w:r>
          </w:p>
        </w:tc>
        <w:tc>
          <w:tcPr>
            <w:tcW w:w="1076" w:type="dxa"/>
            <w:vAlign w:val="bottom"/>
          </w:tcPr>
          <w:p>
            <w:pPr>
              <w:pStyle w:val="43"/>
            </w:pPr>
            <w:r>
              <w:rPr>
                <w:rFonts w:hint="eastAsia"/>
              </w:rPr>
              <w:t>0.9095</w:t>
            </w:r>
          </w:p>
        </w:tc>
        <w:tc>
          <w:tcPr>
            <w:tcW w:w="1188" w:type="dxa"/>
            <w:vAlign w:val="bottom"/>
          </w:tcPr>
          <w:p>
            <w:pPr>
              <w:pStyle w:val="43"/>
            </w:pPr>
            <w:r>
              <w:rPr>
                <w:rFonts w:hint="eastAsia"/>
              </w:rPr>
              <w:t>0.2021</w:t>
            </w:r>
          </w:p>
        </w:tc>
        <w:tc>
          <w:tcPr>
            <w:tcW w:w="1174" w:type="dxa"/>
            <w:vAlign w:val="bottom"/>
          </w:tcPr>
          <w:p>
            <w:pPr>
              <w:pStyle w:val="43"/>
            </w:pPr>
            <w:r>
              <w:rPr>
                <w:rFonts w:hint="eastAsia"/>
              </w:rPr>
              <w:t>1.5159</w:t>
            </w:r>
          </w:p>
        </w:tc>
        <w:tc>
          <w:tcPr>
            <w:tcW w:w="1087" w:type="dxa"/>
            <w:vAlign w:val="bottom"/>
          </w:tcPr>
          <w:p>
            <w:pPr>
              <w:pStyle w:val="43"/>
            </w:pPr>
            <w:r>
              <w:rPr>
                <w:rFonts w:hint="eastAsia"/>
              </w:rPr>
              <w:t>0.3032</w:t>
            </w:r>
          </w:p>
        </w:tc>
        <w:tc>
          <w:tcPr>
            <w:tcW w:w="1216" w:type="dxa"/>
            <w:vAlign w:val="bottom"/>
          </w:tcPr>
          <w:p>
            <w:pPr>
              <w:pStyle w:val="43"/>
            </w:pPr>
            <w:r>
              <w:rPr>
                <w:rFonts w:hint="eastAsia"/>
              </w:rPr>
              <w:t>2.2991</w:t>
            </w:r>
          </w:p>
        </w:tc>
        <w:tc>
          <w:tcPr>
            <w:tcW w:w="1034" w:type="dxa"/>
            <w:vAlign w:val="bottom"/>
          </w:tcPr>
          <w:p>
            <w:pPr>
              <w:pStyle w:val="43"/>
            </w:pPr>
            <w:r>
              <w:rPr>
                <w:rFonts w:hint="eastAsia"/>
              </w:rPr>
              <w:t>0.9196</w:t>
            </w:r>
          </w:p>
        </w:tc>
        <w:tc>
          <w:tcPr>
            <w:tcW w:w="1034" w:type="dxa"/>
            <w:vAlign w:val="bottom"/>
          </w:tcPr>
          <w:p>
            <w:pPr>
              <w:pStyle w:val="43"/>
            </w:pPr>
            <w:r>
              <w:rPr>
                <w:rFonts w:hint="eastAsia"/>
              </w:rPr>
              <w:t>0.2993</w:t>
            </w:r>
          </w:p>
        </w:tc>
        <w:tc>
          <w:tcPr>
            <w:tcW w:w="1031" w:type="dxa"/>
            <w:vAlign w:val="bottom"/>
          </w:tcPr>
          <w:p>
            <w:pPr>
              <w:pStyle w:val="43"/>
            </w:pPr>
            <w:r>
              <w:rPr>
                <w:rFonts w:hint="eastAsia"/>
              </w:rPr>
              <w:t>0.0665</w:t>
            </w:r>
          </w:p>
        </w:tc>
        <w:tc>
          <w:tcPr>
            <w:tcW w:w="1028" w:type="dxa"/>
            <w:vAlign w:val="bottom"/>
          </w:tcPr>
          <w:p>
            <w:pPr>
              <w:pStyle w:val="43"/>
            </w:pPr>
            <w:r>
              <w:rPr>
                <w:rFonts w:hint="eastAsia"/>
              </w:rPr>
              <w:t>0.4917</w:t>
            </w:r>
          </w:p>
        </w:tc>
        <w:tc>
          <w:tcPr>
            <w:tcW w:w="1028" w:type="dxa"/>
            <w:vAlign w:val="bottom"/>
          </w:tcPr>
          <w:p>
            <w:pPr>
              <w:pStyle w:val="43"/>
            </w:pPr>
            <w:r>
              <w:rPr>
                <w:rFonts w:hint="eastAsia"/>
              </w:rPr>
              <w:t>0.2950</w:t>
            </w:r>
          </w:p>
        </w:tc>
        <w:tc>
          <w:tcPr>
            <w:tcW w:w="1028" w:type="dxa"/>
            <w:vAlign w:val="bottom"/>
          </w:tcPr>
          <w:p>
            <w:pPr>
              <w:pStyle w:val="43"/>
            </w:pPr>
            <w:r>
              <w:rPr>
                <w:rFonts w:hint="eastAsia"/>
              </w:rPr>
              <w:t>0.7269</w:t>
            </w:r>
          </w:p>
        </w:tc>
        <w:tc>
          <w:tcPr>
            <w:tcW w:w="1017" w:type="dxa"/>
            <w:vAlign w:val="bottom"/>
          </w:tcPr>
          <w:p>
            <w:pPr>
              <w:pStyle w:val="43"/>
            </w:pPr>
            <w:r>
              <w:rPr>
                <w:rFonts w:hint="eastAsia"/>
              </w:rPr>
              <w:t>0.2908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900</w:t>
            </w:r>
          </w:p>
        </w:tc>
        <w:tc>
          <w:tcPr>
            <w:tcW w:w="1076" w:type="dxa"/>
            <w:vAlign w:val="bottom"/>
          </w:tcPr>
          <w:p>
            <w:pPr>
              <w:pStyle w:val="43"/>
            </w:pPr>
            <w:r>
              <w:rPr>
                <w:rFonts w:hint="eastAsia"/>
              </w:rPr>
              <w:t>0.8832</w:t>
            </w:r>
          </w:p>
        </w:tc>
        <w:tc>
          <w:tcPr>
            <w:tcW w:w="1188" w:type="dxa"/>
            <w:vAlign w:val="bottom"/>
          </w:tcPr>
          <w:p>
            <w:pPr>
              <w:pStyle w:val="43"/>
            </w:pPr>
            <w:r>
              <w:rPr>
                <w:rFonts w:hint="eastAsia"/>
              </w:rPr>
              <w:t>0.1963</w:t>
            </w:r>
          </w:p>
        </w:tc>
        <w:tc>
          <w:tcPr>
            <w:tcW w:w="1174" w:type="dxa"/>
            <w:vAlign w:val="bottom"/>
          </w:tcPr>
          <w:p>
            <w:pPr>
              <w:pStyle w:val="43"/>
            </w:pPr>
            <w:r>
              <w:rPr>
                <w:rFonts w:hint="eastAsia"/>
              </w:rPr>
              <w:t>1.4720</w:t>
            </w:r>
          </w:p>
        </w:tc>
        <w:tc>
          <w:tcPr>
            <w:tcW w:w="1087" w:type="dxa"/>
            <w:vAlign w:val="bottom"/>
          </w:tcPr>
          <w:p>
            <w:pPr>
              <w:pStyle w:val="43"/>
            </w:pPr>
            <w:r>
              <w:rPr>
                <w:rFonts w:hint="eastAsia"/>
              </w:rPr>
              <w:t>0.2944</w:t>
            </w:r>
          </w:p>
        </w:tc>
        <w:tc>
          <w:tcPr>
            <w:tcW w:w="1216" w:type="dxa"/>
            <w:vAlign w:val="bottom"/>
          </w:tcPr>
          <w:p>
            <w:pPr>
              <w:pStyle w:val="43"/>
            </w:pPr>
            <w:r>
              <w:rPr>
                <w:rFonts w:hint="eastAsia"/>
              </w:rPr>
              <w:t>2.2326</w:t>
            </w:r>
          </w:p>
        </w:tc>
        <w:tc>
          <w:tcPr>
            <w:tcW w:w="1034" w:type="dxa"/>
            <w:vAlign w:val="bottom"/>
          </w:tcPr>
          <w:p>
            <w:pPr>
              <w:pStyle w:val="43"/>
            </w:pPr>
            <w:r>
              <w:rPr>
                <w:rFonts w:hint="eastAsia"/>
              </w:rPr>
              <w:t>0.8930</w:t>
            </w:r>
          </w:p>
        </w:tc>
        <w:tc>
          <w:tcPr>
            <w:tcW w:w="1034" w:type="dxa"/>
            <w:vAlign w:val="bottom"/>
          </w:tcPr>
          <w:p>
            <w:pPr>
              <w:pStyle w:val="43"/>
            </w:pPr>
            <w:r>
              <w:rPr>
                <w:rFonts w:hint="eastAsia"/>
              </w:rPr>
              <w:t>0.2746</w:t>
            </w:r>
          </w:p>
        </w:tc>
        <w:tc>
          <w:tcPr>
            <w:tcW w:w="1031" w:type="dxa"/>
            <w:vAlign w:val="bottom"/>
          </w:tcPr>
          <w:p>
            <w:pPr>
              <w:pStyle w:val="43"/>
            </w:pPr>
            <w:r>
              <w:rPr>
                <w:rFonts w:hint="eastAsia"/>
              </w:rPr>
              <w:t>0.0610</w:t>
            </w:r>
          </w:p>
        </w:tc>
        <w:tc>
          <w:tcPr>
            <w:tcW w:w="1028" w:type="dxa"/>
            <w:vAlign w:val="bottom"/>
          </w:tcPr>
          <w:p>
            <w:pPr>
              <w:pStyle w:val="43"/>
            </w:pPr>
            <w:r>
              <w:rPr>
                <w:rFonts w:hint="eastAsia"/>
              </w:rPr>
              <w:t>0.4512</w:t>
            </w:r>
          </w:p>
        </w:tc>
        <w:tc>
          <w:tcPr>
            <w:tcW w:w="1028" w:type="dxa"/>
            <w:vAlign w:val="bottom"/>
          </w:tcPr>
          <w:p>
            <w:pPr>
              <w:pStyle w:val="43"/>
            </w:pPr>
            <w:r>
              <w:rPr>
                <w:rFonts w:hint="eastAsia"/>
              </w:rPr>
              <w:t>0.2706</w:t>
            </w:r>
          </w:p>
        </w:tc>
        <w:tc>
          <w:tcPr>
            <w:tcW w:w="1028" w:type="dxa"/>
            <w:vAlign w:val="bottom"/>
          </w:tcPr>
          <w:p>
            <w:pPr>
              <w:pStyle w:val="43"/>
            </w:pPr>
            <w:r>
              <w:rPr>
                <w:rFonts w:hint="eastAsia"/>
              </w:rPr>
              <w:t>0.6669</w:t>
            </w:r>
          </w:p>
        </w:tc>
        <w:tc>
          <w:tcPr>
            <w:tcW w:w="1017" w:type="dxa"/>
            <w:vAlign w:val="bottom"/>
          </w:tcPr>
          <w:p>
            <w:pPr>
              <w:pStyle w:val="43"/>
            </w:pPr>
            <w:r>
              <w:rPr>
                <w:rFonts w:hint="eastAsia"/>
              </w:rPr>
              <w:t>0.2668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1000</w:t>
            </w:r>
          </w:p>
        </w:tc>
        <w:tc>
          <w:tcPr>
            <w:tcW w:w="1076" w:type="dxa"/>
            <w:vAlign w:val="bottom"/>
          </w:tcPr>
          <w:p>
            <w:pPr>
              <w:pStyle w:val="43"/>
            </w:pPr>
            <w:r>
              <w:rPr>
                <w:rFonts w:hint="eastAsia"/>
              </w:rPr>
              <w:t>0.8175</w:t>
            </w:r>
          </w:p>
        </w:tc>
        <w:tc>
          <w:tcPr>
            <w:tcW w:w="1188" w:type="dxa"/>
            <w:vAlign w:val="bottom"/>
          </w:tcPr>
          <w:p>
            <w:pPr>
              <w:pStyle w:val="43"/>
            </w:pPr>
            <w:r>
              <w:rPr>
                <w:rFonts w:hint="eastAsia"/>
              </w:rPr>
              <w:t>0.1816</w:t>
            </w:r>
          </w:p>
        </w:tc>
        <w:tc>
          <w:tcPr>
            <w:tcW w:w="1174" w:type="dxa"/>
            <w:vAlign w:val="bottom"/>
          </w:tcPr>
          <w:p>
            <w:pPr>
              <w:pStyle w:val="43"/>
            </w:pPr>
            <w:r>
              <w:rPr>
                <w:rFonts w:hint="eastAsia"/>
              </w:rPr>
              <w:t>1.3624</w:t>
            </w:r>
          </w:p>
        </w:tc>
        <w:tc>
          <w:tcPr>
            <w:tcW w:w="1087" w:type="dxa"/>
            <w:vAlign w:val="bottom"/>
          </w:tcPr>
          <w:p>
            <w:pPr>
              <w:pStyle w:val="43"/>
            </w:pPr>
            <w:r>
              <w:rPr>
                <w:rFonts w:hint="eastAsia"/>
              </w:rPr>
              <w:t>0.2725</w:t>
            </w:r>
          </w:p>
        </w:tc>
        <w:tc>
          <w:tcPr>
            <w:tcW w:w="1216" w:type="dxa"/>
            <w:vAlign w:val="bottom"/>
          </w:tcPr>
          <w:p>
            <w:pPr>
              <w:pStyle w:val="43"/>
            </w:pPr>
            <w:r>
              <w:rPr>
                <w:rFonts w:hint="eastAsia"/>
              </w:rPr>
              <w:t>2.0664</w:t>
            </w:r>
          </w:p>
        </w:tc>
        <w:tc>
          <w:tcPr>
            <w:tcW w:w="1034" w:type="dxa"/>
            <w:vAlign w:val="bottom"/>
          </w:tcPr>
          <w:p>
            <w:pPr>
              <w:pStyle w:val="43"/>
            </w:pPr>
            <w:r>
              <w:rPr>
                <w:rFonts w:hint="eastAsia"/>
              </w:rPr>
              <w:t>0.8265</w:t>
            </w:r>
          </w:p>
        </w:tc>
        <w:tc>
          <w:tcPr>
            <w:tcW w:w="1034" w:type="dxa"/>
            <w:vAlign w:val="bottom"/>
          </w:tcPr>
          <w:p>
            <w:pPr>
              <w:pStyle w:val="43"/>
            </w:pPr>
            <w:r>
              <w:rPr>
                <w:rFonts w:hint="eastAsia"/>
              </w:rPr>
              <w:t>0.2530</w:t>
            </w:r>
          </w:p>
        </w:tc>
        <w:tc>
          <w:tcPr>
            <w:tcW w:w="1031" w:type="dxa"/>
            <w:vAlign w:val="bottom"/>
          </w:tcPr>
          <w:p>
            <w:pPr>
              <w:pStyle w:val="43"/>
            </w:pPr>
            <w:r>
              <w:rPr>
                <w:rFonts w:hint="eastAsia"/>
              </w:rPr>
              <w:t>0.0562</w:t>
            </w:r>
          </w:p>
        </w:tc>
        <w:tc>
          <w:tcPr>
            <w:tcW w:w="1028" w:type="dxa"/>
            <w:vAlign w:val="bottom"/>
          </w:tcPr>
          <w:p>
            <w:pPr>
              <w:pStyle w:val="43"/>
            </w:pPr>
            <w:r>
              <w:rPr>
                <w:rFonts w:hint="eastAsia"/>
              </w:rPr>
              <w:t>0.4156</w:t>
            </w:r>
          </w:p>
        </w:tc>
        <w:tc>
          <w:tcPr>
            <w:tcW w:w="1028" w:type="dxa"/>
            <w:vAlign w:val="bottom"/>
          </w:tcPr>
          <w:p>
            <w:pPr>
              <w:pStyle w:val="43"/>
            </w:pPr>
            <w:r>
              <w:rPr>
                <w:rFonts w:hint="eastAsia"/>
              </w:rPr>
              <w:t>0.2493</w:t>
            </w:r>
          </w:p>
        </w:tc>
        <w:tc>
          <w:tcPr>
            <w:tcW w:w="1028" w:type="dxa"/>
            <w:vAlign w:val="bottom"/>
          </w:tcPr>
          <w:p>
            <w:pPr>
              <w:pStyle w:val="43"/>
            </w:pPr>
            <w:r>
              <w:rPr>
                <w:rFonts w:hint="eastAsia"/>
              </w:rPr>
              <w:t>0.6144</w:t>
            </w:r>
          </w:p>
        </w:tc>
        <w:tc>
          <w:tcPr>
            <w:tcW w:w="1017" w:type="dxa"/>
            <w:vAlign w:val="bottom"/>
          </w:tcPr>
          <w:p>
            <w:pPr>
              <w:pStyle w:val="43"/>
            </w:pPr>
            <w:r>
              <w:rPr>
                <w:rFonts w:hint="eastAsia"/>
              </w:rPr>
              <w:t>0.2458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1200</w:t>
            </w:r>
          </w:p>
        </w:tc>
        <w:tc>
          <w:tcPr>
            <w:tcW w:w="1076" w:type="dxa"/>
            <w:vAlign w:val="bottom"/>
          </w:tcPr>
          <w:p>
            <w:pPr>
              <w:pStyle w:val="43"/>
            </w:pPr>
            <w:r>
              <w:rPr>
                <w:rFonts w:hint="eastAsia"/>
              </w:rPr>
              <w:t>0.6936</w:t>
            </w:r>
          </w:p>
        </w:tc>
        <w:tc>
          <w:tcPr>
            <w:tcW w:w="1188" w:type="dxa"/>
            <w:vAlign w:val="bottom"/>
          </w:tcPr>
          <w:p>
            <w:pPr>
              <w:pStyle w:val="43"/>
            </w:pPr>
            <w:r>
              <w:rPr>
                <w:rFonts w:hint="eastAsia"/>
              </w:rPr>
              <w:t>0.1541</w:t>
            </w:r>
          </w:p>
        </w:tc>
        <w:tc>
          <w:tcPr>
            <w:tcW w:w="1174" w:type="dxa"/>
            <w:vAlign w:val="bottom"/>
          </w:tcPr>
          <w:p>
            <w:pPr>
              <w:pStyle w:val="43"/>
            </w:pPr>
            <w:r>
              <w:rPr>
                <w:rFonts w:hint="eastAsia"/>
              </w:rPr>
              <w:t>1.1559</w:t>
            </w:r>
          </w:p>
        </w:tc>
        <w:tc>
          <w:tcPr>
            <w:tcW w:w="1087" w:type="dxa"/>
            <w:vAlign w:val="bottom"/>
          </w:tcPr>
          <w:p>
            <w:pPr>
              <w:pStyle w:val="43"/>
            </w:pPr>
            <w:r>
              <w:rPr>
                <w:rFonts w:hint="eastAsia"/>
              </w:rPr>
              <w:t>0.2312</w:t>
            </w:r>
          </w:p>
        </w:tc>
        <w:tc>
          <w:tcPr>
            <w:tcW w:w="1216" w:type="dxa"/>
            <w:vAlign w:val="bottom"/>
          </w:tcPr>
          <w:p>
            <w:pPr>
              <w:pStyle w:val="43"/>
            </w:pPr>
            <w:r>
              <w:rPr>
                <w:rFonts w:hint="eastAsia"/>
              </w:rPr>
              <w:t>1.7531</w:t>
            </w:r>
          </w:p>
        </w:tc>
        <w:tc>
          <w:tcPr>
            <w:tcW w:w="1034" w:type="dxa"/>
            <w:vAlign w:val="bottom"/>
          </w:tcPr>
          <w:p>
            <w:pPr>
              <w:pStyle w:val="43"/>
            </w:pPr>
            <w:r>
              <w:rPr>
                <w:rFonts w:hint="eastAsia"/>
              </w:rPr>
              <w:t>0.7012</w:t>
            </w:r>
          </w:p>
        </w:tc>
        <w:tc>
          <w:tcPr>
            <w:tcW w:w="1034" w:type="dxa"/>
            <w:vAlign w:val="bottom"/>
          </w:tcPr>
          <w:p>
            <w:pPr>
              <w:pStyle w:val="43"/>
            </w:pPr>
            <w:r>
              <w:rPr>
                <w:rFonts w:hint="eastAsia"/>
              </w:rPr>
              <w:t>0.2166</w:t>
            </w:r>
          </w:p>
        </w:tc>
        <w:tc>
          <w:tcPr>
            <w:tcW w:w="1031" w:type="dxa"/>
            <w:vAlign w:val="bottom"/>
          </w:tcPr>
          <w:p>
            <w:pPr>
              <w:pStyle w:val="43"/>
            </w:pPr>
            <w:r>
              <w:rPr>
                <w:rFonts w:hint="eastAsia"/>
              </w:rPr>
              <w:t>0.0481</w:t>
            </w:r>
          </w:p>
        </w:tc>
        <w:tc>
          <w:tcPr>
            <w:tcW w:w="1028" w:type="dxa"/>
            <w:vAlign w:val="bottom"/>
          </w:tcPr>
          <w:p>
            <w:pPr>
              <w:pStyle w:val="43"/>
            </w:pPr>
            <w:r>
              <w:rPr>
                <w:rFonts w:hint="eastAsia"/>
              </w:rPr>
              <w:t>0.3558</w:t>
            </w:r>
          </w:p>
        </w:tc>
        <w:tc>
          <w:tcPr>
            <w:tcW w:w="1028" w:type="dxa"/>
            <w:vAlign w:val="bottom"/>
          </w:tcPr>
          <w:p>
            <w:pPr>
              <w:pStyle w:val="43"/>
            </w:pPr>
            <w:r>
              <w:rPr>
                <w:rFonts w:hint="eastAsia"/>
              </w:rPr>
              <w:t>0.2134</w:t>
            </w:r>
          </w:p>
        </w:tc>
        <w:tc>
          <w:tcPr>
            <w:tcW w:w="1028" w:type="dxa"/>
            <w:vAlign w:val="bottom"/>
          </w:tcPr>
          <w:p>
            <w:pPr>
              <w:pStyle w:val="43"/>
            </w:pPr>
            <w:r>
              <w:rPr>
                <w:rFonts w:hint="eastAsia"/>
              </w:rPr>
              <w:t>0.5261</w:t>
            </w:r>
          </w:p>
        </w:tc>
        <w:tc>
          <w:tcPr>
            <w:tcW w:w="1017" w:type="dxa"/>
            <w:vAlign w:val="bottom"/>
          </w:tcPr>
          <w:p>
            <w:pPr>
              <w:pStyle w:val="43"/>
            </w:pPr>
            <w:r>
              <w:rPr>
                <w:rFonts w:hint="eastAsia"/>
              </w:rPr>
              <w:t>0.2104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1400</w:t>
            </w:r>
          </w:p>
        </w:tc>
        <w:tc>
          <w:tcPr>
            <w:tcW w:w="1076" w:type="dxa"/>
            <w:vAlign w:val="bottom"/>
          </w:tcPr>
          <w:p>
            <w:pPr>
              <w:pStyle w:val="43"/>
            </w:pPr>
            <w:r>
              <w:rPr>
                <w:rFonts w:hint="eastAsia"/>
              </w:rPr>
              <w:t>0.6399</w:t>
            </w:r>
          </w:p>
        </w:tc>
        <w:tc>
          <w:tcPr>
            <w:tcW w:w="1188" w:type="dxa"/>
            <w:vAlign w:val="bottom"/>
          </w:tcPr>
          <w:p>
            <w:pPr>
              <w:pStyle w:val="43"/>
            </w:pPr>
            <w:r>
              <w:rPr>
                <w:rFonts w:hint="eastAsia"/>
              </w:rPr>
              <w:t>0.1421</w:t>
            </w:r>
          </w:p>
        </w:tc>
        <w:tc>
          <w:tcPr>
            <w:tcW w:w="1174" w:type="dxa"/>
            <w:vAlign w:val="bottom"/>
          </w:tcPr>
          <w:p>
            <w:pPr>
              <w:pStyle w:val="43"/>
            </w:pPr>
            <w:r>
              <w:rPr>
                <w:rFonts w:hint="eastAsia"/>
              </w:rPr>
              <w:t>1.0664</w:t>
            </w:r>
          </w:p>
        </w:tc>
        <w:tc>
          <w:tcPr>
            <w:tcW w:w="1087" w:type="dxa"/>
            <w:vAlign w:val="bottom"/>
          </w:tcPr>
          <w:p>
            <w:pPr>
              <w:pStyle w:val="43"/>
            </w:pPr>
            <w:r>
              <w:rPr>
                <w:rFonts w:hint="eastAsia"/>
              </w:rPr>
              <w:t>0.2133</w:t>
            </w:r>
          </w:p>
        </w:tc>
        <w:tc>
          <w:tcPr>
            <w:tcW w:w="1216" w:type="dxa"/>
            <w:vAlign w:val="bottom"/>
          </w:tcPr>
          <w:p>
            <w:pPr>
              <w:pStyle w:val="43"/>
            </w:pPr>
            <w:r>
              <w:rPr>
                <w:rFonts w:hint="eastAsia"/>
              </w:rPr>
              <w:t>1.6174</w:t>
            </w:r>
          </w:p>
        </w:tc>
        <w:tc>
          <w:tcPr>
            <w:tcW w:w="1034" w:type="dxa"/>
            <w:vAlign w:val="bottom"/>
          </w:tcPr>
          <w:p>
            <w:pPr>
              <w:pStyle w:val="43"/>
            </w:pPr>
            <w:r>
              <w:rPr>
                <w:rFonts w:hint="eastAsia"/>
              </w:rPr>
              <w:t>0.6470</w:t>
            </w:r>
          </w:p>
        </w:tc>
        <w:tc>
          <w:tcPr>
            <w:tcW w:w="1034" w:type="dxa"/>
            <w:vAlign w:val="bottom"/>
          </w:tcPr>
          <w:p>
            <w:pPr>
              <w:pStyle w:val="43"/>
            </w:pPr>
            <w:r>
              <w:rPr>
                <w:rFonts w:hint="eastAsia"/>
              </w:rPr>
              <w:t>0.1873</w:t>
            </w:r>
          </w:p>
        </w:tc>
        <w:tc>
          <w:tcPr>
            <w:tcW w:w="1031" w:type="dxa"/>
            <w:vAlign w:val="bottom"/>
          </w:tcPr>
          <w:p>
            <w:pPr>
              <w:pStyle w:val="43"/>
            </w:pPr>
            <w:r>
              <w:rPr>
                <w:rFonts w:hint="eastAsia"/>
              </w:rPr>
              <w:t>0.0416</w:t>
            </w:r>
          </w:p>
        </w:tc>
        <w:tc>
          <w:tcPr>
            <w:tcW w:w="1028" w:type="dxa"/>
            <w:vAlign w:val="bottom"/>
          </w:tcPr>
          <w:p>
            <w:pPr>
              <w:pStyle w:val="43"/>
            </w:pPr>
            <w:r>
              <w:rPr>
                <w:rFonts w:hint="eastAsia"/>
              </w:rPr>
              <w:t>0.3077</w:t>
            </w:r>
          </w:p>
        </w:tc>
        <w:tc>
          <w:tcPr>
            <w:tcW w:w="1028" w:type="dxa"/>
            <w:vAlign w:val="bottom"/>
          </w:tcPr>
          <w:p>
            <w:pPr>
              <w:pStyle w:val="43"/>
            </w:pPr>
            <w:r>
              <w:rPr>
                <w:rFonts w:hint="eastAsia"/>
              </w:rPr>
              <w:t>0.1846</w:t>
            </w:r>
          </w:p>
        </w:tc>
        <w:tc>
          <w:tcPr>
            <w:tcW w:w="1028" w:type="dxa"/>
            <w:vAlign w:val="bottom"/>
          </w:tcPr>
          <w:p>
            <w:pPr>
              <w:pStyle w:val="43"/>
            </w:pPr>
            <w:r>
              <w:rPr>
                <w:rFonts w:hint="eastAsia"/>
              </w:rPr>
              <w:t>0.4549</w:t>
            </w:r>
          </w:p>
        </w:tc>
        <w:tc>
          <w:tcPr>
            <w:tcW w:w="1017" w:type="dxa"/>
            <w:vAlign w:val="bottom"/>
          </w:tcPr>
          <w:p>
            <w:pPr>
              <w:pStyle w:val="43"/>
            </w:pPr>
            <w:r>
              <w:rPr>
                <w:rFonts w:hint="eastAsia"/>
              </w:rPr>
              <w:t>0.1820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1600</w:t>
            </w:r>
          </w:p>
        </w:tc>
        <w:tc>
          <w:tcPr>
            <w:tcW w:w="1076" w:type="dxa"/>
            <w:vAlign w:val="bottom"/>
          </w:tcPr>
          <w:p>
            <w:pPr>
              <w:pStyle w:val="43"/>
            </w:pPr>
            <w:r>
              <w:rPr>
                <w:rFonts w:hint="eastAsia"/>
              </w:rPr>
              <w:t>0.5859</w:t>
            </w:r>
          </w:p>
        </w:tc>
        <w:tc>
          <w:tcPr>
            <w:tcW w:w="1188" w:type="dxa"/>
            <w:vAlign w:val="bottom"/>
          </w:tcPr>
          <w:p>
            <w:pPr>
              <w:pStyle w:val="43"/>
            </w:pPr>
            <w:r>
              <w:rPr>
                <w:rFonts w:hint="eastAsia"/>
              </w:rPr>
              <w:t>0.1303</w:t>
            </w:r>
          </w:p>
        </w:tc>
        <w:tc>
          <w:tcPr>
            <w:tcW w:w="1174" w:type="dxa"/>
            <w:vAlign w:val="bottom"/>
          </w:tcPr>
          <w:p>
            <w:pPr>
              <w:pStyle w:val="43"/>
            </w:pPr>
            <w:r>
              <w:rPr>
                <w:rFonts w:hint="eastAsia"/>
              </w:rPr>
              <w:t>0.9765</w:t>
            </w:r>
          </w:p>
        </w:tc>
        <w:tc>
          <w:tcPr>
            <w:tcW w:w="1087" w:type="dxa"/>
            <w:vAlign w:val="bottom"/>
          </w:tcPr>
          <w:p>
            <w:pPr>
              <w:pStyle w:val="43"/>
            </w:pPr>
            <w:r>
              <w:rPr>
                <w:rFonts w:hint="eastAsia"/>
              </w:rPr>
              <w:t>0.1953</w:t>
            </w:r>
          </w:p>
        </w:tc>
        <w:tc>
          <w:tcPr>
            <w:tcW w:w="1216" w:type="dxa"/>
            <w:vAlign w:val="bottom"/>
          </w:tcPr>
          <w:p>
            <w:pPr>
              <w:pStyle w:val="43"/>
            </w:pPr>
            <w:r>
              <w:rPr>
                <w:rFonts w:hint="eastAsia"/>
              </w:rPr>
              <w:t>1.4810</w:t>
            </w:r>
          </w:p>
        </w:tc>
        <w:tc>
          <w:tcPr>
            <w:tcW w:w="1034" w:type="dxa"/>
            <w:vAlign w:val="bottom"/>
          </w:tcPr>
          <w:p>
            <w:pPr>
              <w:pStyle w:val="43"/>
            </w:pPr>
            <w:r>
              <w:rPr>
                <w:rFonts w:hint="eastAsia"/>
              </w:rPr>
              <w:t>0.5924</w:t>
            </w:r>
          </w:p>
        </w:tc>
        <w:tc>
          <w:tcPr>
            <w:tcW w:w="1034" w:type="dxa"/>
            <w:vAlign w:val="bottom"/>
          </w:tcPr>
          <w:p>
            <w:pPr>
              <w:pStyle w:val="43"/>
            </w:pPr>
            <w:r>
              <w:rPr>
                <w:rFonts w:hint="eastAsia"/>
              </w:rPr>
              <w:t>0.1637</w:t>
            </w:r>
          </w:p>
        </w:tc>
        <w:tc>
          <w:tcPr>
            <w:tcW w:w="1031" w:type="dxa"/>
            <w:vAlign w:val="bottom"/>
          </w:tcPr>
          <w:p>
            <w:pPr>
              <w:pStyle w:val="43"/>
            </w:pPr>
            <w:r>
              <w:rPr>
                <w:rFonts w:hint="eastAsia"/>
              </w:rPr>
              <w:t>0.0364</w:t>
            </w:r>
          </w:p>
        </w:tc>
        <w:tc>
          <w:tcPr>
            <w:tcW w:w="1028" w:type="dxa"/>
            <w:vAlign w:val="bottom"/>
          </w:tcPr>
          <w:p>
            <w:pPr>
              <w:pStyle w:val="43"/>
            </w:pPr>
            <w:r>
              <w:rPr>
                <w:rFonts w:hint="eastAsia"/>
              </w:rPr>
              <w:t>0.2689</w:t>
            </w:r>
          </w:p>
        </w:tc>
        <w:tc>
          <w:tcPr>
            <w:tcW w:w="1028" w:type="dxa"/>
            <w:vAlign w:val="bottom"/>
          </w:tcPr>
          <w:p>
            <w:pPr>
              <w:pStyle w:val="43"/>
            </w:pPr>
            <w:r>
              <w:rPr>
                <w:rFonts w:hint="eastAsia"/>
              </w:rPr>
              <w:t>0.1613</w:t>
            </w:r>
          </w:p>
        </w:tc>
        <w:tc>
          <w:tcPr>
            <w:tcW w:w="1028" w:type="dxa"/>
            <w:vAlign w:val="bottom"/>
          </w:tcPr>
          <w:p>
            <w:pPr>
              <w:pStyle w:val="43"/>
            </w:pPr>
            <w:r>
              <w:rPr>
                <w:rFonts w:hint="eastAsia"/>
              </w:rPr>
              <w:t>0.3976</w:t>
            </w:r>
          </w:p>
        </w:tc>
        <w:tc>
          <w:tcPr>
            <w:tcW w:w="1017" w:type="dxa"/>
            <w:vAlign w:val="bottom"/>
          </w:tcPr>
          <w:p>
            <w:pPr>
              <w:pStyle w:val="43"/>
            </w:pPr>
            <w:r>
              <w:rPr>
                <w:rFonts w:hint="eastAsia"/>
              </w:rPr>
              <w:t>0.1590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1800</w:t>
            </w:r>
          </w:p>
        </w:tc>
        <w:tc>
          <w:tcPr>
            <w:tcW w:w="1076" w:type="dxa"/>
            <w:vAlign w:val="bottom"/>
          </w:tcPr>
          <w:p>
            <w:pPr>
              <w:pStyle w:val="43"/>
            </w:pPr>
            <w:r>
              <w:rPr>
                <w:rFonts w:hint="eastAsia"/>
              </w:rPr>
              <w:t>0.5364</w:t>
            </w:r>
          </w:p>
        </w:tc>
        <w:tc>
          <w:tcPr>
            <w:tcW w:w="1188" w:type="dxa"/>
            <w:vAlign w:val="bottom"/>
          </w:tcPr>
          <w:p>
            <w:pPr>
              <w:pStyle w:val="43"/>
            </w:pPr>
            <w:r>
              <w:rPr>
                <w:rFonts w:hint="eastAsia"/>
              </w:rPr>
              <w:t>0.1192</w:t>
            </w:r>
          </w:p>
        </w:tc>
        <w:tc>
          <w:tcPr>
            <w:tcW w:w="1174" w:type="dxa"/>
            <w:vAlign w:val="bottom"/>
          </w:tcPr>
          <w:p>
            <w:pPr>
              <w:pStyle w:val="43"/>
            </w:pPr>
            <w:r>
              <w:rPr>
                <w:rFonts w:hint="eastAsia"/>
              </w:rPr>
              <w:t>0.8940</w:t>
            </w:r>
          </w:p>
        </w:tc>
        <w:tc>
          <w:tcPr>
            <w:tcW w:w="1087" w:type="dxa"/>
            <w:vAlign w:val="bottom"/>
          </w:tcPr>
          <w:p>
            <w:pPr>
              <w:pStyle w:val="43"/>
            </w:pPr>
            <w:r>
              <w:rPr>
                <w:rFonts w:hint="eastAsia"/>
              </w:rPr>
              <w:t>0.1788</w:t>
            </w:r>
          </w:p>
        </w:tc>
        <w:tc>
          <w:tcPr>
            <w:tcW w:w="1216" w:type="dxa"/>
            <w:vAlign w:val="bottom"/>
          </w:tcPr>
          <w:p>
            <w:pPr>
              <w:pStyle w:val="43"/>
            </w:pPr>
            <w:r>
              <w:rPr>
                <w:rFonts w:hint="eastAsia"/>
              </w:rPr>
              <w:t>1.3558</w:t>
            </w:r>
          </w:p>
        </w:tc>
        <w:tc>
          <w:tcPr>
            <w:tcW w:w="1034" w:type="dxa"/>
            <w:vAlign w:val="bottom"/>
          </w:tcPr>
          <w:p>
            <w:pPr>
              <w:pStyle w:val="43"/>
            </w:pPr>
            <w:r>
              <w:rPr>
                <w:rFonts w:hint="eastAsia"/>
              </w:rPr>
              <w:t>0.5423</w:t>
            </w:r>
          </w:p>
        </w:tc>
        <w:tc>
          <w:tcPr>
            <w:tcW w:w="1034" w:type="dxa"/>
            <w:vAlign w:val="bottom"/>
          </w:tcPr>
          <w:p>
            <w:pPr>
              <w:pStyle w:val="43"/>
            </w:pPr>
            <w:r>
              <w:rPr>
                <w:rFonts w:hint="eastAsia"/>
              </w:rPr>
              <w:t>0.1464</w:t>
            </w:r>
          </w:p>
        </w:tc>
        <w:tc>
          <w:tcPr>
            <w:tcW w:w="1031" w:type="dxa"/>
            <w:vAlign w:val="bottom"/>
          </w:tcPr>
          <w:p>
            <w:pPr>
              <w:pStyle w:val="43"/>
            </w:pPr>
            <w:r>
              <w:rPr>
                <w:rFonts w:hint="eastAsia"/>
              </w:rPr>
              <w:t>0.0326</w:t>
            </w:r>
          </w:p>
        </w:tc>
        <w:tc>
          <w:tcPr>
            <w:tcW w:w="1028" w:type="dxa"/>
            <w:vAlign w:val="bottom"/>
          </w:tcPr>
          <w:p>
            <w:pPr>
              <w:pStyle w:val="43"/>
            </w:pPr>
            <w:r>
              <w:rPr>
                <w:rFonts w:hint="eastAsia"/>
              </w:rPr>
              <w:t>0.2406</w:t>
            </w:r>
          </w:p>
        </w:tc>
        <w:tc>
          <w:tcPr>
            <w:tcW w:w="1028" w:type="dxa"/>
            <w:vAlign w:val="bottom"/>
          </w:tcPr>
          <w:p>
            <w:pPr>
              <w:pStyle w:val="43"/>
            </w:pPr>
            <w:r>
              <w:rPr>
                <w:rFonts w:hint="eastAsia"/>
              </w:rPr>
              <w:t>0.1443</w:t>
            </w:r>
          </w:p>
        </w:tc>
        <w:tc>
          <w:tcPr>
            <w:tcW w:w="1028" w:type="dxa"/>
            <w:vAlign w:val="bottom"/>
          </w:tcPr>
          <w:p>
            <w:pPr>
              <w:pStyle w:val="43"/>
            </w:pPr>
            <w:r>
              <w:rPr>
                <w:rFonts w:hint="eastAsia"/>
              </w:rPr>
              <w:t>0.3557</w:t>
            </w:r>
          </w:p>
        </w:tc>
        <w:tc>
          <w:tcPr>
            <w:tcW w:w="1017" w:type="dxa"/>
            <w:vAlign w:val="bottom"/>
          </w:tcPr>
          <w:p>
            <w:pPr>
              <w:pStyle w:val="43"/>
            </w:pPr>
            <w:r>
              <w:rPr>
                <w:rFonts w:hint="eastAsia"/>
              </w:rPr>
              <w:t>0.1423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2000</w:t>
            </w:r>
          </w:p>
        </w:tc>
        <w:tc>
          <w:tcPr>
            <w:tcW w:w="1076" w:type="dxa"/>
            <w:vAlign w:val="bottom"/>
          </w:tcPr>
          <w:p>
            <w:pPr>
              <w:pStyle w:val="43"/>
            </w:pPr>
            <w:r>
              <w:rPr>
                <w:rFonts w:hint="eastAsia"/>
              </w:rPr>
              <w:t>0.4913</w:t>
            </w:r>
          </w:p>
        </w:tc>
        <w:tc>
          <w:tcPr>
            <w:tcW w:w="1188" w:type="dxa"/>
            <w:vAlign w:val="bottom"/>
          </w:tcPr>
          <w:p>
            <w:pPr>
              <w:pStyle w:val="43"/>
            </w:pPr>
            <w:r>
              <w:rPr>
                <w:rFonts w:hint="eastAsia"/>
              </w:rPr>
              <w:t>0.1092</w:t>
            </w:r>
          </w:p>
        </w:tc>
        <w:tc>
          <w:tcPr>
            <w:tcW w:w="1174" w:type="dxa"/>
            <w:vAlign w:val="bottom"/>
          </w:tcPr>
          <w:p>
            <w:pPr>
              <w:pStyle w:val="43"/>
            </w:pPr>
            <w:r>
              <w:rPr>
                <w:rFonts w:hint="eastAsia"/>
              </w:rPr>
              <w:t>0.8189</w:t>
            </w:r>
          </w:p>
        </w:tc>
        <w:tc>
          <w:tcPr>
            <w:tcW w:w="1087" w:type="dxa"/>
            <w:vAlign w:val="bottom"/>
          </w:tcPr>
          <w:p>
            <w:pPr>
              <w:pStyle w:val="43"/>
            </w:pPr>
            <w:r>
              <w:rPr>
                <w:rFonts w:hint="eastAsia"/>
              </w:rPr>
              <w:t>0.1639</w:t>
            </w:r>
          </w:p>
        </w:tc>
        <w:tc>
          <w:tcPr>
            <w:tcW w:w="1216" w:type="dxa"/>
            <w:vAlign w:val="bottom"/>
          </w:tcPr>
          <w:p>
            <w:pPr>
              <w:pStyle w:val="43"/>
            </w:pPr>
            <w:r>
              <w:rPr>
                <w:rFonts w:hint="eastAsia"/>
              </w:rPr>
              <w:t>1.2422</w:t>
            </w:r>
          </w:p>
        </w:tc>
        <w:tc>
          <w:tcPr>
            <w:tcW w:w="1034" w:type="dxa"/>
            <w:vAlign w:val="bottom"/>
          </w:tcPr>
          <w:p>
            <w:pPr>
              <w:pStyle w:val="43"/>
            </w:pPr>
            <w:r>
              <w:rPr>
                <w:rFonts w:hint="eastAsia"/>
              </w:rPr>
              <w:t>0.4969</w:t>
            </w:r>
          </w:p>
        </w:tc>
        <w:tc>
          <w:tcPr>
            <w:tcW w:w="1034" w:type="dxa"/>
            <w:vAlign w:val="bottom"/>
          </w:tcPr>
          <w:p>
            <w:pPr>
              <w:pStyle w:val="43"/>
            </w:pPr>
            <w:r>
              <w:rPr>
                <w:rFonts w:hint="eastAsia"/>
              </w:rPr>
              <w:t>0.1322</w:t>
            </w:r>
          </w:p>
        </w:tc>
        <w:tc>
          <w:tcPr>
            <w:tcW w:w="1031" w:type="dxa"/>
            <w:vAlign w:val="bottom"/>
          </w:tcPr>
          <w:p>
            <w:pPr>
              <w:pStyle w:val="43"/>
            </w:pPr>
            <w:r>
              <w:rPr>
                <w:rFonts w:hint="eastAsia"/>
              </w:rPr>
              <w:t>0.0293</w:t>
            </w:r>
          </w:p>
        </w:tc>
        <w:tc>
          <w:tcPr>
            <w:tcW w:w="1028" w:type="dxa"/>
            <w:vAlign w:val="bottom"/>
          </w:tcPr>
          <w:p>
            <w:pPr>
              <w:pStyle w:val="43"/>
            </w:pPr>
            <w:r>
              <w:rPr>
                <w:rFonts w:hint="eastAsia"/>
              </w:rPr>
              <w:t>0.2171</w:t>
            </w:r>
          </w:p>
        </w:tc>
        <w:tc>
          <w:tcPr>
            <w:tcW w:w="1028" w:type="dxa"/>
            <w:vAlign w:val="bottom"/>
          </w:tcPr>
          <w:p>
            <w:pPr>
              <w:pStyle w:val="43"/>
            </w:pPr>
            <w:r>
              <w:rPr>
                <w:rFonts w:hint="eastAsia"/>
              </w:rPr>
              <w:t>0.1303</w:t>
            </w:r>
          </w:p>
        </w:tc>
        <w:tc>
          <w:tcPr>
            <w:tcW w:w="1028" w:type="dxa"/>
            <w:vAlign w:val="bottom"/>
          </w:tcPr>
          <w:p>
            <w:pPr>
              <w:pStyle w:val="43"/>
            </w:pPr>
            <w:r>
              <w:rPr>
                <w:rFonts w:hint="eastAsia"/>
              </w:rPr>
              <w:t>0.3210</w:t>
            </w:r>
          </w:p>
        </w:tc>
        <w:tc>
          <w:tcPr>
            <w:tcW w:w="1017" w:type="dxa"/>
            <w:vAlign w:val="bottom"/>
          </w:tcPr>
          <w:p>
            <w:pPr>
              <w:pStyle w:val="43"/>
            </w:pPr>
            <w:r>
              <w:rPr>
                <w:rFonts w:hint="eastAsia"/>
              </w:rPr>
              <w:t>0.1284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2500</w:t>
            </w:r>
          </w:p>
        </w:tc>
        <w:tc>
          <w:tcPr>
            <w:tcW w:w="1076" w:type="dxa"/>
            <w:vAlign w:val="bottom"/>
          </w:tcPr>
          <w:p>
            <w:pPr>
              <w:pStyle w:val="43"/>
            </w:pPr>
            <w:r>
              <w:rPr>
                <w:rFonts w:hint="eastAsia"/>
              </w:rPr>
              <w:t>0.4020</w:t>
            </w:r>
          </w:p>
        </w:tc>
        <w:tc>
          <w:tcPr>
            <w:tcW w:w="1188" w:type="dxa"/>
            <w:vAlign w:val="bottom"/>
          </w:tcPr>
          <w:p>
            <w:pPr>
              <w:pStyle w:val="43"/>
            </w:pPr>
            <w:r>
              <w:rPr>
                <w:rFonts w:hint="eastAsia"/>
              </w:rPr>
              <w:t>0.0893</w:t>
            </w:r>
          </w:p>
        </w:tc>
        <w:tc>
          <w:tcPr>
            <w:tcW w:w="1174" w:type="dxa"/>
            <w:vAlign w:val="bottom"/>
          </w:tcPr>
          <w:p>
            <w:pPr>
              <w:pStyle w:val="43"/>
            </w:pPr>
            <w:r>
              <w:rPr>
                <w:rFonts w:hint="eastAsia"/>
              </w:rPr>
              <w:t>0.6700</w:t>
            </w:r>
          </w:p>
        </w:tc>
        <w:tc>
          <w:tcPr>
            <w:tcW w:w="1087" w:type="dxa"/>
            <w:vAlign w:val="bottom"/>
          </w:tcPr>
          <w:p>
            <w:pPr>
              <w:pStyle w:val="43"/>
            </w:pPr>
            <w:r>
              <w:rPr>
                <w:rFonts w:hint="eastAsia"/>
              </w:rPr>
              <w:t>0.1340</w:t>
            </w:r>
          </w:p>
        </w:tc>
        <w:tc>
          <w:tcPr>
            <w:tcW w:w="1216" w:type="dxa"/>
            <w:vAlign w:val="bottom"/>
          </w:tcPr>
          <w:p>
            <w:pPr>
              <w:pStyle w:val="43"/>
            </w:pPr>
            <w:r>
              <w:rPr>
                <w:rFonts w:hint="eastAsia"/>
              </w:rPr>
              <w:t>1.0161</w:t>
            </w:r>
          </w:p>
        </w:tc>
        <w:tc>
          <w:tcPr>
            <w:tcW w:w="1034" w:type="dxa"/>
            <w:vAlign w:val="bottom"/>
          </w:tcPr>
          <w:p>
            <w:pPr>
              <w:pStyle w:val="43"/>
            </w:pPr>
            <w:r>
              <w:rPr>
                <w:rFonts w:hint="eastAsia"/>
              </w:rPr>
              <w:t>0.4064</w:t>
            </w:r>
          </w:p>
        </w:tc>
        <w:tc>
          <w:tcPr>
            <w:tcW w:w="1034" w:type="dxa"/>
            <w:vAlign w:val="bottom"/>
          </w:tcPr>
          <w:p>
            <w:pPr>
              <w:pStyle w:val="43"/>
            </w:pPr>
            <w:r>
              <w:rPr>
                <w:rFonts w:hint="eastAsia"/>
              </w:rPr>
              <w:t>0.1051</w:t>
            </w:r>
          </w:p>
        </w:tc>
        <w:tc>
          <w:tcPr>
            <w:tcW w:w="1031" w:type="dxa"/>
            <w:vAlign w:val="bottom"/>
          </w:tcPr>
          <w:p>
            <w:pPr>
              <w:pStyle w:val="43"/>
            </w:pPr>
            <w:r>
              <w:rPr>
                <w:rFonts w:hint="eastAsia"/>
              </w:rPr>
              <w:t>0.0233</w:t>
            </w:r>
          </w:p>
        </w:tc>
        <w:tc>
          <w:tcPr>
            <w:tcW w:w="1028" w:type="dxa"/>
            <w:vAlign w:val="bottom"/>
          </w:tcPr>
          <w:p>
            <w:pPr>
              <w:pStyle w:val="43"/>
            </w:pPr>
            <w:r>
              <w:rPr>
                <w:rFonts w:hint="eastAsia"/>
              </w:rPr>
              <w:t>0.1726</w:t>
            </w:r>
          </w:p>
        </w:tc>
        <w:tc>
          <w:tcPr>
            <w:tcW w:w="1028" w:type="dxa"/>
            <w:vAlign w:val="bottom"/>
          </w:tcPr>
          <w:p>
            <w:pPr>
              <w:pStyle w:val="43"/>
            </w:pPr>
            <w:r>
              <w:rPr>
                <w:rFonts w:hint="eastAsia"/>
              </w:rPr>
              <w:t>0.1035</w:t>
            </w:r>
          </w:p>
        </w:tc>
        <w:tc>
          <w:tcPr>
            <w:tcW w:w="1028" w:type="dxa"/>
            <w:vAlign w:val="bottom"/>
          </w:tcPr>
          <w:p>
            <w:pPr>
              <w:pStyle w:val="43"/>
            </w:pPr>
            <w:r>
              <w:rPr>
                <w:rFonts w:hint="eastAsia"/>
              </w:rPr>
              <w:t>0.2551</w:t>
            </w:r>
          </w:p>
        </w:tc>
        <w:tc>
          <w:tcPr>
            <w:tcW w:w="1017" w:type="dxa"/>
            <w:vAlign w:val="bottom"/>
          </w:tcPr>
          <w:p>
            <w:pPr>
              <w:pStyle w:val="43"/>
            </w:pPr>
            <w:r>
              <w:rPr>
                <w:rFonts w:hint="eastAsia"/>
              </w:rPr>
              <w:t>0.1021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3000</w:t>
            </w:r>
          </w:p>
        </w:tc>
        <w:tc>
          <w:tcPr>
            <w:tcW w:w="1076" w:type="dxa"/>
            <w:vAlign w:val="bottom"/>
          </w:tcPr>
          <w:p>
            <w:pPr>
              <w:pStyle w:val="43"/>
            </w:pPr>
            <w:r>
              <w:rPr>
                <w:rFonts w:hint="eastAsia"/>
              </w:rPr>
              <w:t>0.3373</w:t>
            </w:r>
          </w:p>
        </w:tc>
        <w:tc>
          <w:tcPr>
            <w:tcW w:w="1188" w:type="dxa"/>
            <w:vAlign w:val="bottom"/>
          </w:tcPr>
          <w:p>
            <w:pPr>
              <w:pStyle w:val="43"/>
            </w:pPr>
            <w:r>
              <w:rPr>
                <w:rFonts w:hint="eastAsia"/>
              </w:rPr>
              <w:t>0.0749</w:t>
            </w:r>
          </w:p>
        </w:tc>
        <w:tc>
          <w:tcPr>
            <w:tcW w:w="1174" w:type="dxa"/>
            <w:vAlign w:val="bottom"/>
          </w:tcPr>
          <w:p>
            <w:pPr>
              <w:pStyle w:val="43"/>
            </w:pPr>
            <w:r>
              <w:rPr>
                <w:rFonts w:hint="eastAsia"/>
              </w:rPr>
              <w:t>0.5621</w:t>
            </w:r>
          </w:p>
        </w:tc>
        <w:tc>
          <w:tcPr>
            <w:tcW w:w="1087" w:type="dxa"/>
            <w:vAlign w:val="bottom"/>
          </w:tcPr>
          <w:p>
            <w:pPr>
              <w:pStyle w:val="43"/>
            </w:pPr>
            <w:r>
              <w:rPr>
                <w:rFonts w:hint="eastAsia"/>
              </w:rPr>
              <w:t>0.1124</w:t>
            </w:r>
          </w:p>
        </w:tc>
        <w:tc>
          <w:tcPr>
            <w:tcW w:w="1216" w:type="dxa"/>
            <w:vAlign w:val="bottom"/>
          </w:tcPr>
          <w:p>
            <w:pPr>
              <w:pStyle w:val="43"/>
            </w:pPr>
            <w:r>
              <w:rPr>
                <w:rFonts w:hint="eastAsia"/>
              </w:rPr>
              <w:t>0.8526</w:t>
            </w:r>
          </w:p>
        </w:tc>
        <w:tc>
          <w:tcPr>
            <w:tcW w:w="1034" w:type="dxa"/>
            <w:vAlign w:val="bottom"/>
          </w:tcPr>
          <w:p>
            <w:pPr>
              <w:pStyle w:val="43"/>
            </w:pPr>
            <w:r>
              <w:rPr>
                <w:rFonts w:hint="eastAsia"/>
              </w:rPr>
              <w:t>0.3411</w:t>
            </w:r>
          </w:p>
        </w:tc>
        <w:tc>
          <w:tcPr>
            <w:tcW w:w="1034" w:type="dxa"/>
            <w:vAlign w:val="bottom"/>
          </w:tcPr>
          <w:p>
            <w:pPr>
              <w:pStyle w:val="43"/>
            </w:pPr>
            <w:r>
              <w:rPr>
                <w:rFonts w:hint="eastAsia"/>
              </w:rPr>
              <w:t>0.0862</w:t>
            </w:r>
          </w:p>
        </w:tc>
        <w:tc>
          <w:tcPr>
            <w:tcW w:w="1031" w:type="dxa"/>
            <w:vAlign w:val="bottom"/>
          </w:tcPr>
          <w:p>
            <w:pPr>
              <w:pStyle w:val="43"/>
            </w:pPr>
            <w:r>
              <w:rPr>
                <w:rFonts w:hint="eastAsia"/>
              </w:rPr>
              <w:t>0.0192</w:t>
            </w:r>
          </w:p>
        </w:tc>
        <w:tc>
          <w:tcPr>
            <w:tcW w:w="1028" w:type="dxa"/>
            <w:vAlign w:val="bottom"/>
          </w:tcPr>
          <w:p>
            <w:pPr>
              <w:pStyle w:val="43"/>
            </w:pPr>
            <w:r>
              <w:rPr>
                <w:rFonts w:hint="eastAsia"/>
              </w:rPr>
              <w:t>0.1417</w:t>
            </w:r>
          </w:p>
        </w:tc>
        <w:tc>
          <w:tcPr>
            <w:tcW w:w="1028" w:type="dxa"/>
            <w:vAlign w:val="bottom"/>
          </w:tcPr>
          <w:p>
            <w:pPr>
              <w:pStyle w:val="43"/>
            </w:pPr>
            <w:r>
              <w:rPr>
                <w:rFonts w:hint="eastAsia"/>
              </w:rPr>
              <w:t>0.0849</w:t>
            </w:r>
          </w:p>
        </w:tc>
        <w:tc>
          <w:tcPr>
            <w:tcW w:w="1028" w:type="dxa"/>
            <w:vAlign w:val="bottom"/>
          </w:tcPr>
          <w:p>
            <w:pPr>
              <w:pStyle w:val="43"/>
            </w:pPr>
            <w:r>
              <w:rPr>
                <w:rFonts w:hint="eastAsia"/>
              </w:rPr>
              <w:t>0.2094</w:t>
            </w:r>
          </w:p>
        </w:tc>
        <w:tc>
          <w:tcPr>
            <w:tcW w:w="1017" w:type="dxa"/>
            <w:vAlign w:val="bottom"/>
          </w:tcPr>
          <w:p>
            <w:pPr>
              <w:pStyle w:val="43"/>
            </w:pPr>
            <w:r>
              <w:rPr>
                <w:rFonts w:hint="eastAsia"/>
              </w:rPr>
              <w:t>0.0838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3500</w:t>
            </w:r>
          </w:p>
        </w:tc>
        <w:tc>
          <w:tcPr>
            <w:tcW w:w="1076" w:type="dxa"/>
            <w:vAlign w:val="bottom"/>
          </w:tcPr>
          <w:p>
            <w:pPr>
              <w:pStyle w:val="43"/>
            </w:pPr>
            <w:r>
              <w:rPr>
                <w:rFonts w:hint="eastAsia"/>
              </w:rPr>
              <w:t>0.2883</w:t>
            </w:r>
          </w:p>
        </w:tc>
        <w:tc>
          <w:tcPr>
            <w:tcW w:w="1188" w:type="dxa"/>
            <w:vAlign w:val="bottom"/>
          </w:tcPr>
          <w:p>
            <w:pPr>
              <w:pStyle w:val="43"/>
            </w:pPr>
            <w:r>
              <w:rPr>
                <w:rFonts w:hint="eastAsia"/>
              </w:rPr>
              <w:t>0.0640</w:t>
            </w:r>
          </w:p>
        </w:tc>
        <w:tc>
          <w:tcPr>
            <w:tcW w:w="1174" w:type="dxa"/>
            <w:vAlign w:val="bottom"/>
          </w:tcPr>
          <w:p>
            <w:pPr>
              <w:pStyle w:val="43"/>
            </w:pPr>
            <w:r>
              <w:rPr>
                <w:rFonts w:hint="eastAsia"/>
              </w:rPr>
              <w:t>0.4805</w:t>
            </w:r>
          </w:p>
        </w:tc>
        <w:tc>
          <w:tcPr>
            <w:tcW w:w="1087" w:type="dxa"/>
            <w:vAlign w:val="bottom"/>
          </w:tcPr>
          <w:p>
            <w:pPr>
              <w:pStyle w:val="43"/>
            </w:pPr>
            <w:r>
              <w:rPr>
                <w:rFonts w:hint="eastAsia"/>
              </w:rPr>
              <w:t>0.0961</w:t>
            </w:r>
          </w:p>
        </w:tc>
        <w:tc>
          <w:tcPr>
            <w:tcW w:w="1216" w:type="dxa"/>
            <w:vAlign w:val="bottom"/>
          </w:tcPr>
          <w:p>
            <w:pPr>
              <w:pStyle w:val="43"/>
            </w:pPr>
            <w:r>
              <w:rPr>
                <w:rFonts w:hint="eastAsia"/>
              </w:rPr>
              <w:t>0.7288</w:t>
            </w:r>
          </w:p>
        </w:tc>
        <w:tc>
          <w:tcPr>
            <w:tcW w:w="1034" w:type="dxa"/>
            <w:vAlign w:val="bottom"/>
          </w:tcPr>
          <w:p>
            <w:pPr>
              <w:pStyle w:val="43"/>
            </w:pPr>
            <w:r>
              <w:rPr>
                <w:rFonts w:hint="eastAsia"/>
              </w:rPr>
              <w:t>0.2915</w:t>
            </w:r>
          </w:p>
        </w:tc>
        <w:tc>
          <w:tcPr>
            <w:tcW w:w="1034" w:type="dxa"/>
            <w:vAlign w:val="bottom"/>
          </w:tcPr>
          <w:p>
            <w:pPr>
              <w:pStyle w:val="43"/>
            </w:pPr>
            <w:r>
              <w:rPr>
                <w:rFonts w:hint="eastAsia"/>
              </w:rPr>
              <w:t>0.0725</w:t>
            </w:r>
          </w:p>
        </w:tc>
        <w:tc>
          <w:tcPr>
            <w:tcW w:w="1031" w:type="dxa"/>
            <w:vAlign w:val="bottom"/>
          </w:tcPr>
          <w:p>
            <w:pPr>
              <w:pStyle w:val="43"/>
            </w:pPr>
            <w:r>
              <w:rPr>
                <w:rFonts w:hint="eastAsia"/>
              </w:rPr>
              <w:t>0.0161</w:t>
            </w:r>
          </w:p>
        </w:tc>
        <w:tc>
          <w:tcPr>
            <w:tcW w:w="1028" w:type="dxa"/>
            <w:vAlign w:val="bottom"/>
          </w:tcPr>
          <w:p>
            <w:pPr>
              <w:pStyle w:val="43"/>
            </w:pPr>
            <w:r>
              <w:rPr>
                <w:rFonts w:hint="eastAsia"/>
              </w:rPr>
              <w:t>0.1191</w:t>
            </w:r>
          </w:p>
        </w:tc>
        <w:tc>
          <w:tcPr>
            <w:tcW w:w="1028" w:type="dxa"/>
            <w:vAlign w:val="bottom"/>
          </w:tcPr>
          <w:p>
            <w:pPr>
              <w:pStyle w:val="43"/>
            </w:pPr>
            <w:r>
              <w:rPr>
                <w:rFonts w:hint="eastAsia"/>
              </w:rPr>
              <w:t>0.0715</w:t>
            </w:r>
          </w:p>
        </w:tc>
        <w:tc>
          <w:tcPr>
            <w:tcW w:w="1028" w:type="dxa"/>
            <w:vAlign w:val="bottom"/>
          </w:tcPr>
          <w:p>
            <w:pPr>
              <w:pStyle w:val="43"/>
            </w:pPr>
            <w:r>
              <w:rPr>
                <w:rFonts w:hint="eastAsia"/>
              </w:rPr>
              <w:t>0.1761</w:t>
            </w:r>
          </w:p>
        </w:tc>
        <w:tc>
          <w:tcPr>
            <w:tcW w:w="1017" w:type="dxa"/>
            <w:vAlign w:val="bottom"/>
          </w:tcPr>
          <w:p>
            <w:pPr>
              <w:pStyle w:val="43"/>
            </w:pPr>
            <w:r>
              <w:rPr>
                <w:rFonts w:hint="eastAsia"/>
              </w:rPr>
              <w:t>0.0705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4000</w:t>
            </w:r>
          </w:p>
        </w:tc>
        <w:tc>
          <w:tcPr>
            <w:tcW w:w="1076" w:type="dxa"/>
            <w:vAlign w:val="bottom"/>
          </w:tcPr>
          <w:p>
            <w:pPr>
              <w:pStyle w:val="43"/>
            </w:pPr>
            <w:r>
              <w:rPr>
                <w:rFonts w:hint="eastAsia"/>
              </w:rPr>
              <w:t>0.2489</w:t>
            </w:r>
          </w:p>
        </w:tc>
        <w:tc>
          <w:tcPr>
            <w:tcW w:w="1188" w:type="dxa"/>
            <w:vAlign w:val="bottom"/>
          </w:tcPr>
          <w:p>
            <w:pPr>
              <w:pStyle w:val="43"/>
            </w:pPr>
            <w:r>
              <w:rPr>
                <w:rFonts w:hint="eastAsia"/>
              </w:rPr>
              <w:t>0.0553</w:t>
            </w:r>
          </w:p>
        </w:tc>
        <w:tc>
          <w:tcPr>
            <w:tcW w:w="1174" w:type="dxa"/>
            <w:vAlign w:val="bottom"/>
          </w:tcPr>
          <w:p>
            <w:pPr>
              <w:pStyle w:val="43"/>
            </w:pPr>
            <w:r>
              <w:rPr>
                <w:rFonts w:hint="eastAsia"/>
              </w:rPr>
              <w:t>0.4149</w:t>
            </w:r>
          </w:p>
        </w:tc>
        <w:tc>
          <w:tcPr>
            <w:tcW w:w="1087" w:type="dxa"/>
            <w:vAlign w:val="bottom"/>
          </w:tcPr>
          <w:p>
            <w:pPr>
              <w:pStyle w:val="43"/>
            </w:pPr>
            <w:r>
              <w:rPr>
                <w:rFonts w:hint="eastAsia"/>
              </w:rPr>
              <w:t>0.0829</w:t>
            </w:r>
          </w:p>
        </w:tc>
        <w:tc>
          <w:tcPr>
            <w:tcW w:w="1216" w:type="dxa"/>
            <w:vAlign w:val="bottom"/>
          </w:tcPr>
          <w:p>
            <w:pPr>
              <w:pStyle w:val="43"/>
            </w:pPr>
            <w:r>
              <w:rPr>
                <w:rFonts w:hint="eastAsia"/>
              </w:rPr>
              <w:t>0.6292</w:t>
            </w:r>
          </w:p>
        </w:tc>
        <w:tc>
          <w:tcPr>
            <w:tcW w:w="1034" w:type="dxa"/>
            <w:vAlign w:val="bottom"/>
          </w:tcPr>
          <w:p>
            <w:pPr>
              <w:pStyle w:val="43"/>
            </w:pPr>
            <w:r>
              <w:rPr>
                <w:rFonts w:hint="eastAsia"/>
              </w:rPr>
              <w:t>0.2517</w:t>
            </w:r>
          </w:p>
        </w:tc>
        <w:tc>
          <w:tcPr>
            <w:tcW w:w="1034" w:type="dxa"/>
            <w:vAlign w:val="bottom"/>
          </w:tcPr>
          <w:p>
            <w:pPr>
              <w:pStyle w:val="43"/>
            </w:pPr>
            <w:r>
              <w:rPr>
                <w:rFonts w:hint="eastAsia"/>
              </w:rPr>
              <w:t>0.0618</w:t>
            </w:r>
          </w:p>
        </w:tc>
        <w:tc>
          <w:tcPr>
            <w:tcW w:w="1031" w:type="dxa"/>
            <w:vAlign w:val="bottom"/>
          </w:tcPr>
          <w:p>
            <w:pPr>
              <w:pStyle w:val="43"/>
            </w:pPr>
            <w:r>
              <w:rPr>
                <w:rFonts w:hint="eastAsia"/>
              </w:rPr>
              <w:t>0.0137</w:t>
            </w:r>
          </w:p>
        </w:tc>
        <w:tc>
          <w:tcPr>
            <w:tcW w:w="1028" w:type="dxa"/>
            <w:vAlign w:val="bottom"/>
          </w:tcPr>
          <w:p>
            <w:pPr>
              <w:pStyle w:val="43"/>
            </w:pPr>
            <w:r>
              <w:rPr>
                <w:rFonts w:hint="eastAsia"/>
              </w:rPr>
              <w:t>0.1015</w:t>
            </w:r>
          </w:p>
        </w:tc>
        <w:tc>
          <w:tcPr>
            <w:tcW w:w="1028" w:type="dxa"/>
            <w:vAlign w:val="bottom"/>
          </w:tcPr>
          <w:p>
            <w:pPr>
              <w:pStyle w:val="43"/>
            </w:pPr>
            <w:r>
              <w:rPr>
                <w:rFonts w:hint="eastAsia"/>
              </w:rPr>
              <w:t>0.0609</w:t>
            </w:r>
          </w:p>
        </w:tc>
        <w:tc>
          <w:tcPr>
            <w:tcW w:w="1028" w:type="dxa"/>
            <w:vAlign w:val="bottom"/>
          </w:tcPr>
          <w:p>
            <w:pPr>
              <w:pStyle w:val="43"/>
            </w:pPr>
            <w:r>
              <w:rPr>
                <w:rFonts w:hint="eastAsia"/>
              </w:rPr>
              <w:t>0.1500</w:t>
            </w:r>
          </w:p>
        </w:tc>
        <w:tc>
          <w:tcPr>
            <w:tcW w:w="1017" w:type="dxa"/>
            <w:vAlign w:val="bottom"/>
          </w:tcPr>
          <w:p>
            <w:pPr>
              <w:pStyle w:val="43"/>
            </w:pPr>
            <w:r>
              <w:rPr>
                <w:rFonts w:hint="eastAsia"/>
              </w:rPr>
              <w:t>0.0600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4500</w:t>
            </w:r>
          </w:p>
        </w:tc>
        <w:tc>
          <w:tcPr>
            <w:tcW w:w="1076" w:type="dxa"/>
            <w:vAlign w:val="bottom"/>
          </w:tcPr>
          <w:p>
            <w:pPr>
              <w:pStyle w:val="43"/>
            </w:pPr>
            <w:r>
              <w:rPr>
                <w:rFonts w:hint="eastAsia"/>
              </w:rPr>
              <w:t>0.2196</w:t>
            </w:r>
          </w:p>
        </w:tc>
        <w:tc>
          <w:tcPr>
            <w:tcW w:w="1188" w:type="dxa"/>
            <w:vAlign w:val="bottom"/>
          </w:tcPr>
          <w:p>
            <w:pPr>
              <w:pStyle w:val="43"/>
            </w:pPr>
            <w:r>
              <w:rPr>
                <w:rFonts w:hint="eastAsia"/>
              </w:rPr>
              <w:t>0.0488</w:t>
            </w:r>
          </w:p>
        </w:tc>
        <w:tc>
          <w:tcPr>
            <w:tcW w:w="1174" w:type="dxa"/>
            <w:vAlign w:val="bottom"/>
          </w:tcPr>
          <w:p>
            <w:pPr>
              <w:pStyle w:val="43"/>
            </w:pPr>
            <w:r>
              <w:rPr>
                <w:rFonts w:hint="eastAsia"/>
              </w:rPr>
              <w:t>0.3660</w:t>
            </w:r>
          </w:p>
        </w:tc>
        <w:tc>
          <w:tcPr>
            <w:tcW w:w="1087" w:type="dxa"/>
            <w:vAlign w:val="bottom"/>
          </w:tcPr>
          <w:p>
            <w:pPr>
              <w:pStyle w:val="43"/>
            </w:pPr>
            <w:r>
              <w:rPr>
                <w:rFonts w:hint="eastAsia"/>
              </w:rPr>
              <w:t>0.0732</w:t>
            </w:r>
          </w:p>
        </w:tc>
        <w:tc>
          <w:tcPr>
            <w:tcW w:w="1216" w:type="dxa"/>
            <w:vAlign w:val="bottom"/>
          </w:tcPr>
          <w:p>
            <w:pPr>
              <w:pStyle w:val="43"/>
            </w:pPr>
            <w:r>
              <w:rPr>
                <w:rFonts w:hint="eastAsia"/>
              </w:rPr>
              <w:t>0.5550</w:t>
            </w:r>
          </w:p>
        </w:tc>
        <w:tc>
          <w:tcPr>
            <w:tcW w:w="1034" w:type="dxa"/>
            <w:vAlign w:val="bottom"/>
          </w:tcPr>
          <w:p>
            <w:pPr>
              <w:pStyle w:val="43"/>
            </w:pPr>
            <w:r>
              <w:rPr>
                <w:rFonts w:hint="eastAsia"/>
              </w:rPr>
              <w:t>0.2220</w:t>
            </w:r>
          </w:p>
        </w:tc>
        <w:tc>
          <w:tcPr>
            <w:tcW w:w="1034" w:type="dxa"/>
            <w:vAlign w:val="bottom"/>
          </w:tcPr>
          <w:p>
            <w:pPr>
              <w:pStyle w:val="43"/>
            </w:pPr>
            <w:r>
              <w:rPr>
                <w:rFonts w:hint="eastAsia"/>
              </w:rPr>
              <w:t>0.0540</w:t>
            </w:r>
          </w:p>
        </w:tc>
        <w:tc>
          <w:tcPr>
            <w:tcW w:w="1031" w:type="dxa"/>
            <w:vAlign w:val="bottom"/>
          </w:tcPr>
          <w:p>
            <w:pPr>
              <w:pStyle w:val="43"/>
            </w:pPr>
            <w:r>
              <w:rPr>
                <w:rFonts w:hint="eastAsia"/>
              </w:rPr>
              <w:t>0.0120</w:t>
            </w:r>
          </w:p>
        </w:tc>
        <w:tc>
          <w:tcPr>
            <w:tcW w:w="1028" w:type="dxa"/>
            <w:vAlign w:val="bottom"/>
          </w:tcPr>
          <w:p>
            <w:pPr>
              <w:pStyle w:val="43"/>
            </w:pPr>
            <w:r>
              <w:rPr>
                <w:rFonts w:hint="eastAsia"/>
              </w:rPr>
              <w:t>0.0888</w:t>
            </w:r>
          </w:p>
        </w:tc>
        <w:tc>
          <w:tcPr>
            <w:tcW w:w="1028" w:type="dxa"/>
            <w:vAlign w:val="bottom"/>
          </w:tcPr>
          <w:p>
            <w:pPr>
              <w:pStyle w:val="43"/>
            </w:pPr>
            <w:r>
              <w:rPr>
                <w:rFonts w:hint="eastAsia"/>
              </w:rPr>
              <w:t>0.0532</w:t>
            </w:r>
          </w:p>
        </w:tc>
        <w:tc>
          <w:tcPr>
            <w:tcW w:w="1028" w:type="dxa"/>
            <w:vAlign w:val="bottom"/>
          </w:tcPr>
          <w:p>
            <w:pPr>
              <w:pStyle w:val="43"/>
            </w:pPr>
            <w:r>
              <w:rPr>
                <w:rFonts w:hint="eastAsia"/>
              </w:rPr>
              <w:t>0.1312</w:t>
            </w:r>
          </w:p>
        </w:tc>
        <w:tc>
          <w:tcPr>
            <w:tcW w:w="1017" w:type="dxa"/>
            <w:vAlign w:val="bottom"/>
          </w:tcPr>
          <w:p>
            <w:pPr>
              <w:pStyle w:val="43"/>
            </w:pPr>
            <w:r>
              <w:rPr>
                <w:rFonts w:hint="eastAsia"/>
              </w:rPr>
              <w:t>0.0525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5000</w:t>
            </w:r>
          </w:p>
        </w:tc>
        <w:tc>
          <w:tcPr>
            <w:tcW w:w="1076" w:type="dxa"/>
            <w:vAlign w:val="bottom"/>
          </w:tcPr>
          <w:p>
            <w:pPr>
              <w:pStyle w:val="43"/>
            </w:pPr>
            <w:r>
              <w:rPr>
                <w:rFonts w:hint="eastAsia"/>
              </w:rPr>
              <w:t>0.1949</w:t>
            </w:r>
          </w:p>
        </w:tc>
        <w:tc>
          <w:tcPr>
            <w:tcW w:w="1188" w:type="dxa"/>
            <w:vAlign w:val="bottom"/>
          </w:tcPr>
          <w:p>
            <w:pPr>
              <w:pStyle w:val="43"/>
            </w:pPr>
            <w:r>
              <w:rPr>
                <w:rFonts w:hint="eastAsia"/>
              </w:rPr>
              <w:t>0.0433</w:t>
            </w:r>
          </w:p>
        </w:tc>
        <w:tc>
          <w:tcPr>
            <w:tcW w:w="1174" w:type="dxa"/>
            <w:vAlign w:val="bottom"/>
          </w:tcPr>
          <w:p>
            <w:pPr>
              <w:pStyle w:val="43"/>
            </w:pPr>
            <w:r>
              <w:rPr>
                <w:rFonts w:hint="eastAsia"/>
              </w:rPr>
              <w:t>0.3249</w:t>
            </w:r>
          </w:p>
        </w:tc>
        <w:tc>
          <w:tcPr>
            <w:tcW w:w="1087" w:type="dxa"/>
            <w:vAlign w:val="bottom"/>
          </w:tcPr>
          <w:p>
            <w:pPr>
              <w:pStyle w:val="43"/>
            </w:pPr>
            <w:r>
              <w:rPr>
                <w:rFonts w:hint="eastAsia"/>
              </w:rPr>
              <w:t>0.0649</w:t>
            </w:r>
          </w:p>
        </w:tc>
        <w:tc>
          <w:tcPr>
            <w:tcW w:w="1216" w:type="dxa"/>
            <w:vAlign w:val="bottom"/>
          </w:tcPr>
          <w:p>
            <w:pPr>
              <w:pStyle w:val="43"/>
            </w:pPr>
            <w:r>
              <w:rPr>
                <w:rFonts w:hint="eastAsia"/>
              </w:rPr>
              <w:t>0.4929</w:t>
            </w:r>
          </w:p>
        </w:tc>
        <w:tc>
          <w:tcPr>
            <w:tcW w:w="1034" w:type="dxa"/>
            <w:vAlign w:val="bottom"/>
          </w:tcPr>
          <w:p>
            <w:pPr>
              <w:pStyle w:val="43"/>
            </w:pPr>
            <w:r>
              <w:rPr>
                <w:rFonts w:hint="eastAsia"/>
              </w:rPr>
              <w:t>0.1971</w:t>
            </w:r>
          </w:p>
        </w:tc>
        <w:tc>
          <w:tcPr>
            <w:tcW w:w="1034" w:type="dxa"/>
            <w:vAlign w:val="bottom"/>
          </w:tcPr>
          <w:p>
            <w:pPr>
              <w:pStyle w:val="43"/>
            </w:pPr>
            <w:r>
              <w:rPr>
                <w:rFonts w:hint="eastAsia"/>
              </w:rPr>
              <w:t>0.0476</w:t>
            </w:r>
          </w:p>
        </w:tc>
        <w:tc>
          <w:tcPr>
            <w:tcW w:w="1031" w:type="dxa"/>
            <w:vAlign w:val="bottom"/>
          </w:tcPr>
          <w:p>
            <w:pPr>
              <w:pStyle w:val="43"/>
            </w:pPr>
            <w:r>
              <w:rPr>
                <w:rFonts w:hint="eastAsia"/>
              </w:rPr>
              <w:t>0.0106</w:t>
            </w:r>
          </w:p>
        </w:tc>
        <w:tc>
          <w:tcPr>
            <w:tcW w:w="1028" w:type="dxa"/>
            <w:vAlign w:val="bottom"/>
          </w:tcPr>
          <w:p>
            <w:pPr>
              <w:pStyle w:val="43"/>
            </w:pPr>
            <w:r>
              <w:rPr>
                <w:rFonts w:hint="eastAsia"/>
              </w:rPr>
              <w:t>0.0782</w:t>
            </w:r>
          </w:p>
        </w:tc>
        <w:tc>
          <w:tcPr>
            <w:tcW w:w="1028" w:type="dxa"/>
            <w:vAlign w:val="bottom"/>
          </w:tcPr>
          <w:p>
            <w:pPr>
              <w:pStyle w:val="43"/>
            </w:pPr>
            <w:r>
              <w:rPr>
                <w:rFonts w:hint="eastAsia"/>
              </w:rPr>
              <w:t>0.0469</w:t>
            </w:r>
          </w:p>
        </w:tc>
        <w:tc>
          <w:tcPr>
            <w:tcW w:w="1028" w:type="dxa"/>
            <w:vAlign w:val="bottom"/>
          </w:tcPr>
          <w:p>
            <w:pPr>
              <w:pStyle w:val="43"/>
            </w:pPr>
            <w:r>
              <w:rPr>
                <w:rFonts w:hint="eastAsia"/>
              </w:rPr>
              <w:t>0.1157</w:t>
            </w:r>
          </w:p>
        </w:tc>
        <w:tc>
          <w:tcPr>
            <w:tcW w:w="1017" w:type="dxa"/>
            <w:vAlign w:val="bottom"/>
          </w:tcPr>
          <w:p>
            <w:pPr>
              <w:pStyle w:val="43"/>
            </w:pPr>
            <w:r>
              <w:rPr>
                <w:rFonts w:hint="eastAsia"/>
              </w:rPr>
              <w:t>0.0463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10000</w:t>
            </w:r>
          </w:p>
        </w:tc>
        <w:tc>
          <w:tcPr>
            <w:tcW w:w="1076" w:type="dxa"/>
            <w:vAlign w:val="bottom"/>
          </w:tcPr>
          <w:p>
            <w:pPr>
              <w:pStyle w:val="43"/>
            </w:pPr>
            <w:r>
              <w:rPr>
                <w:rFonts w:hint="eastAsia"/>
              </w:rPr>
              <w:t>0.0839</w:t>
            </w:r>
          </w:p>
        </w:tc>
        <w:tc>
          <w:tcPr>
            <w:tcW w:w="1188" w:type="dxa"/>
            <w:vAlign w:val="bottom"/>
          </w:tcPr>
          <w:p>
            <w:pPr>
              <w:pStyle w:val="43"/>
            </w:pPr>
            <w:r>
              <w:rPr>
                <w:rFonts w:hint="eastAsia"/>
              </w:rPr>
              <w:t>0.0187</w:t>
            </w:r>
          </w:p>
        </w:tc>
        <w:tc>
          <w:tcPr>
            <w:tcW w:w="1174" w:type="dxa"/>
            <w:vAlign w:val="bottom"/>
          </w:tcPr>
          <w:p>
            <w:pPr>
              <w:pStyle w:val="43"/>
            </w:pPr>
            <w:r>
              <w:rPr>
                <w:rFonts w:hint="eastAsia"/>
              </w:rPr>
              <w:t>0.1397</w:t>
            </w:r>
          </w:p>
        </w:tc>
        <w:tc>
          <w:tcPr>
            <w:tcW w:w="1087" w:type="dxa"/>
            <w:vAlign w:val="bottom"/>
          </w:tcPr>
          <w:p>
            <w:pPr>
              <w:pStyle w:val="43"/>
            </w:pPr>
            <w:r>
              <w:rPr>
                <w:rFonts w:hint="eastAsia"/>
              </w:rPr>
              <w:t>0.0280</w:t>
            </w:r>
          </w:p>
        </w:tc>
        <w:tc>
          <w:tcPr>
            <w:tcW w:w="1216" w:type="dxa"/>
            <w:vAlign w:val="bottom"/>
          </w:tcPr>
          <w:p>
            <w:pPr>
              <w:pStyle w:val="43"/>
            </w:pPr>
            <w:r>
              <w:rPr>
                <w:rFonts w:hint="eastAsia"/>
              </w:rPr>
              <w:t>0.2120</w:t>
            </w:r>
          </w:p>
        </w:tc>
        <w:tc>
          <w:tcPr>
            <w:tcW w:w="1034" w:type="dxa"/>
            <w:vAlign w:val="bottom"/>
          </w:tcPr>
          <w:p>
            <w:pPr>
              <w:pStyle w:val="43"/>
            </w:pPr>
            <w:r>
              <w:rPr>
                <w:rFonts w:hint="eastAsia"/>
              </w:rPr>
              <w:t>0.0848</w:t>
            </w:r>
          </w:p>
        </w:tc>
        <w:tc>
          <w:tcPr>
            <w:tcW w:w="1034" w:type="dxa"/>
            <w:vAlign w:val="bottom"/>
          </w:tcPr>
          <w:p>
            <w:pPr>
              <w:pStyle w:val="43"/>
            </w:pPr>
            <w:r>
              <w:rPr>
                <w:rFonts w:hint="eastAsia"/>
              </w:rPr>
              <w:t>0.0197</w:t>
            </w:r>
          </w:p>
        </w:tc>
        <w:tc>
          <w:tcPr>
            <w:tcW w:w="1031" w:type="dxa"/>
            <w:vAlign w:val="bottom"/>
          </w:tcPr>
          <w:p>
            <w:pPr>
              <w:pStyle w:val="43"/>
            </w:pPr>
            <w:r>
              <w:rPr>
                <w:rFonts w:hint="eastAsia"/>
              </w:rPr>
              <w:t>0.0044</w:t>
            </w:r>
          </w:p>
        </w:tc>
        <w:tc>
          <w:tcPr>
            <w:tcW w:w="1028" w:type="dxa"/>
            <w:vAlign w:val="bottom"/>
          </w:tcPr>
          <w:p>
            <w:pPr>
              <w:pStyle w:val="43"/>
            </w:pPr>
            <w:r>
              <w:rPr>
                <w:rFonts w:hint="eastAsia"/>
              </w:rPr>
              <w:t>0.0323</w:t>
            </w:r>
          </w:p>
        </w:tc>
        <w:tc>
          <w:tcPr>
            <w:tcW w:w="1028" w:type="dxa"/>
            <w:vAlign w:val="bottom"/>
          </w:tcPr>
          <w:p>
            <w:pPr>
              <w:pStyle w:val="43"/>
            </w:pPr>
            <w:r>
              <w:rPr>
                <w:rFonts w:hint="eastAsia"/>
              </w:rPr>
              <w:t>0.0193</w:t>
            </w:r>
          </w:p>
        </w:tc>
        <w:tc>
          <w:tcPr>
            <w:tcW w:w="1028" w:type="dxa"/>
            <w:vAlign w:val="bottom"/>
          </w:tcPr>
          <w:p>
            <w:pPr>
              <w:pStyle w:val="43"/>
            </w:pPr>
            <w:r>
              <w:rPr>
                <w:rFonts w:hint="eastAsia"/>
              </w:rPr>
              <w:t>0.0478</w:t>
            </w:r>
          </w:p>
        </w:tc>
        <w:tc>
          <w:tcPr>
            <w:tcW w:w="1017" w:type="dxa"/>
            <w:vAlign w:val="bottom"/>
          </w:tcPr>
          <w:p>
            <w:pPr>
              <w:pStyle w:val="43"/>
            </w:pPr>
            <w:r>
              <w:rPr>
                <w:rFonts w:hint="eastAsia"/>
              </w:rPr>
              <w:t>0.0191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11000</w:t>
            </w:r>
          </w:p>
        </w:tc>
        <w:tc>
          <w:tcPr>
            <w:tcW w:w="1076" w:type="dxa"/>
            <w:vAlign w:val="bottom"/>
          </w:tcPr>
          <w:p>
            <w:pPr>
              <w:pStyle w:val="43"/>
            </w:pPr>
            <w:r>
              <w:rPr>
                <w:rFonts w:hint="eastAsia"/>
              </w:rPr>
              <w:t>0.0691</w:t>
            </w:r>
          </w:p>
        </w:tc>
        <w:tc>
          <w:tcPr>
            <w:tcW w:w="1188" w:type="dxa"/>
            <w:vAlign w:val="bottom"/>
          </w:tcPr>
          <w:p>
            <w:pPr>
              <w:pStyle w:val="43"/>
            </w:pPr>
            <w:r>
              <w:rPr>
                <w:rFonts w:hint="eastAsia"/>
              </w:rPr>
              <w:t>0.0153</w:t>
            </w:r>
          </w:p>
        </w:tc>
        <w:tc>
          <w:tcPr>
            <w:tcW w:w="1174" w:type="dxa"/>
            <w:vAlign w:val="bottom"/>
          </w:tcPr>
          <w:p>
            <w:pPr>
              <w:pStyle w:val="43"/>
            </w:pPr>
            <w:r>
              <w:rPr>
                <w:rFonts w:hint="eastAsia"/>
              </w:rPr>
              <w:t>0.1152</w:t>
            </w:r>
          </w:p>
        </w:tc>
        <w:tc>
          <w:tcPr>
            <w:tcW w:w="1087" w:type="dxa"/>
            <w:vAlign w:val="bottom"/>
          </w:tcPr>
          <w:p>
            <w:pPr>
              <w:pStyle w:val="43"/>
            </w:pPr>
            <w:r>
              <w:rPr>
                <w:rFonts w:hint="eastAsia"/>
              </w:rPr>
              <w:t>0.0231</w:t>
            </w:r>
          </w:p>
        </w:tc>
        <w:tc>
          <w:tcPr>
            <w:tcW w:w="1216" w:type="dxa"/>
            <w:vAlign w:val="bottom"/>
          </w:tcPr>
          <w:p>
            <w:pPr>
              <w:pStyle w:val="43"/>
            </w:pPr>
            <w:r>
              <w:rPr>
                <w:rFonts w:hint="eastAsia"/>
              </w:rPr>
              <w:t>0.1746</w:t>
            </w:r>
          </w:p>
        </w:tc>
        <w:tc>
          <w:tcPr>
            <w:tcW w:w="1034" w:type="dxa"/>
            <w:vAlign w:val="bottom"/>
          </w:tcPr>
          <w:p>
            <w:pPr>
              <w:pStyle w:val="43"/>
            </w:pPr>
            <w:r>
              <w:rPr>
                <w:rFonts w:hint="eastAsia"/>
              </w:rPr>
              <w:t>0.0699</w:t>
            </w:r>
          </w:p>
        </w:tc>
        <w:tc>
          <w:tcPr>
            <w:tcW w:w="1034" w:type="dxa"/>
            <w:vAlign w:val="bottom"/>
          </w:tcPr>
          <w:p>
            <w:pPr>
              <w:pStyle w:val="43"/>
            </w:pPr>
            <w:r>
              <w:rPr>
                <w:rFonts w:hint="eastAsia"/>
              </w:rPr>
              <w:t>0.0160</w:t>
            </w:r>
          </w:p>
        </w:tc>
        <w:tc>
          <w:tcPr>
            <w:tcW w:w="1031" w:type="dxa"/>
            <w:vAlign w:val="bottom"/>
          </w:tcPr>
          <w:p>
            <w:pPr>
              <w:pStyle w:val="43"/>
            </w:pPr>
            <w:r>
              <w:rPr>
                <w:rFonts w:hint="eastAsia"/>
              </w:rPr>
              <w:t>0.0036</w:t>
            </w:r>
          </w:p>
        </w:tc>
        <w:tc>
          <w:tcPr>
            <w:tcW w:w="1028" w:type="dxa"/>
            <w:vAlign w:val="bottom"/>
          </w:tcPr>
          <w:p>
            <w:pPr>
              <w:pStyle w:val="43"/>
            </w:pPr>
            <w:r>
              <w:rPr>
                <w:rFonts w:hint="eastAsia"/>
              </w:rPr>
              <w:t>0.0263</w:t>
            </w:r>
          </w:p>
        </w:tc>
        <w:tc>
          <w:tcPr>
            <w:tcW w:w="1028" w:type="dxa"/>
            <w:vAlign w:val="bottom"/>
          </w:tcPr>
          <w:p>
            <w:pPr>
              <w:pStyle w:val="43"/>
            </w:pPr>
            <w:r>
              <w:rPr>
                <w:rFonts w:hint="eastAsia"/>
              </w:rPr>
              <w:t>0.0158</w:t>
            </w:r>
          </w:p>
        </w:tc>
        <w:tc>
          <w:tcPr>
            <w:tcW w:w="1028" w:type="dxa"/>
            <w:vAlign w:val="bottom"/>
          </w:tcPr>
          <w:p>
            <w:pPr>
              <w:pStyle w:val="43"/>
            </w:pPr>
            <w:r>
              <w:rPr>
                <w:rFonts w:hint="eastAsia"/>
              </w:rPr>
              <w:t>0.0390</w:t>
            </w:r>
          </w:p>
        </w:tc>
        <w:tc>
          <w:tcPr>
            <w:tcW w:w="1017" w:type="dxa"/>
            <w:vAlign w:val="bottom"/>
          </w:tcPr>
          <w:p>
            <w:pPr>
              <w:pStyle w:val="43"/>
            </w:pPr>
            <w:r>
              <w:rPr>
                <w:rFonts w:hint="eastAsia"/>
              </w:rPr>
              <w:t>0.0156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12000</w:t>
            </w:r>
          </w:p>
        </w:tc>
        <w:tc>
          <w:tcPr>
            <w:tcW w:w="1076" w:type="dxa"/>
            <w:vAlign w:val="bottom"/>
          </w:tcPr>
          <w:p>
            <w:pPr>
              <w:pStyle w:val="43"/>
            </w:pPr>
            <w:r>
              <w:rPr>
                <w:rFonts w:hint="eastAsia"/>
              </w:rPr>
              <w:t>0.0672</w:t>
            </w:r>
          </w:p>
        </w:tc>
        <w:tc>
          <w:tcPr>
            <w:tcW w:w="1188" w:type="dxa"/>
            <w:vAlign w:val="bottom"/>
          </w:tcPr>
          <w:p>
            <w:pPr>
              <w:pStyle w:val="43"/>
            </w:pPr>
            <w:r>
              <w:rPr>
                <w:rFonts w:hint="eastAsia"/>
              </w:rPr>
              <w:t>0.0149</w:t>
            </w:r>
          </w:p>
        </w:tc>
        <w:tc>
          <w:tcPr>
            <w:tcW w:w="1174" w:type="dxa"/>
            <w:vAlign w:val="bottom"/>
          </w:tcPr>
          <w:p>
            <w:pPr>
              <w:pStyle w:val="43"/>
            </w:pPr>
            <w:r>
              <w:rPr>
                <w:rFonts w:hint="eastAsia"/>
              </w:rPr>
              <w:t>0.1120</w:t>
            </w:r>
          </w:p>
        </w:tc>
        <w:tc>
          <w:tcPr>
            <w:tcW w:w="1087" w:type="dxa"/>
            <w:vAlign w:val="bottom"/>
          </w:tcPr>
          <w:p>
            <w:pPr>
              <w:pStyle w:val="43"/>
            </w:pPr>
            <w:r>
              <w:rPr>
                <w:rFonts w:hint="eastAsia"/>
              </w:rPr>
              <w:t>0.0224</w:t>
            </w:r>
          </w:p>
        </w:tc>
        <w:tc>
          <w:tcPr>
            <w:tcW w:w="1216" w:type="dxa"/>
            <w:vAlign w:val="bottom"/>
          </w:tcPr>
          <w:p>
            <w:pPr>
              <w:pStyle w:val="43"/>
            </w:pPr>
            <w:r>
              <w:rPr>
                <w:rFonts w:hint="eastAsia"/>
              </w:rPr>
              <w:t>0.1698</w:t>
            </w:r>
          </w:p>
        </w:tc>
        <w:tc>
          <w:tcPr>
            <w:tcW w:w="1034" w:type="dxa"/>
            <w:vAlign w:val="bottom"/>
          </w:tcPr>
          <w:p>
            <w:pPr>
              <w:pStyle w:val="43"/>
            </w:pPr>
            <w:r>
              <w:rPr>
                <w:rFonts w:hint="eastAsia"/>
              </w:rPr>
              <w:t>0.0680</w:t>
            </w:r>
          </w:p>
        </w:tc>
        <w:tc>
          <w:tcPr>
            <w:tcW w:w="1034" w:type="dxa"/>
            <w:vAlign w:val="bottom"/>
          </w:tcPr>
          <w:p>
            <w:pPr>
              <w:pStyle w:val="43"/>
            </w:pPr>
            <w:r>
              <w:rPr>
                <w:rFonts w:hint="eastAsia"/>
              </w:rPr>
              <w:t>0.0154</w:t>
            </w:r>
          </w:p>
        </w:tc>
        <w:tc>
          <w:tcPr>
            <w:tcW w:w="1031" w:type="dxa"/>
            <w:vAlign w:val="bottom"/>
          </w:tcPr>
          <w:p>
            <w:pPr>
              <w:pStyle w:val="43"/>
            </w:pPr>
            <w:r>
              <w:rPr>
                <w:rFonts w:hint="eastAsia"/>
              </w:rPr>
              <w:t>0.0034</w:t>
            </w:r>
          </w:p>
        </w:tc>
        <w:tc>
          <w:tcPr>
            <w:tcW w:w="1028" w:type="dxa"/>
            <w:vAlign w:val="bottom"/>
          </w:tcPr>
          <w:p>
            <w:pPr>
              <w:pStyle w:val="43"/>
            </w:pPr>
            <w:r>
              <w:rPr>
                <w:rFonts w:hint="eastAsia"/>
              </w:rPr>
              <w:t>0.0253</w:t>
            </w:r>
          </w:p>
        </w:tc>
        <w:tc>
          <w:tcPr>
            <w:tcW w:w="1028" w:type="dxa"/>
            <w:vAlign w:val="bottom"/>
          </w:tcPr>
          <w:p>
            <w:pPr>
              <w:pStyle w:val="43"/>
            </w:pPr>
            <w:r>
              <w:rPr>
                <w:rFonts w:hint="eastAsia"/>
              </w:rPr>
              <w:t>0.0152</w:t>
            </w:r>
          </w:p>
        </w:tc>
        <w:tc>
          <w:tcPr>
            <w:tcW w:w="1028" w:type="dxa"/>
            <w:vAlign w:val="bottom"/>
          </w:tcPr>
          <w:p>
            <w:pPr>
              <w:pStyle w:val="43"/>
            </w:pPr>
            <w:r>
              <w:rPr>
                <w:rFonts w:hint="eastAsia"/>
              </w:rPr>
              <w:t>0.0374</w:t>
            </w:r>
          </w:p>
        </w:tc>
        <w:tc>
          <w:tcPr>
            <w:tcW w:w="1017" w:type="dxa"/>
            <w:vAlign w:val="bottom"/>
          </w:tcPr>
          <w:p>
            <w:pPr>
              <w:pStyle w:val="43"/>
            </w:pPr>
            <w:r>
              <w:rPr>
                <w:rFonts w:hint="eastAsia"/>
              </w:rPr>
              <w:t>0.0150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13000</w:t>
            </w:r>
          </w:p>
        </w:tc>
        <w:tc>
          <w:tcPr>
            <w:tcW w:w="1076" w:type="dxa"/>
            <w:vAlign w:val="bottom"/>
          </w:tcPr>
          <w:p>
            <w:pPr>
              <w:pStyle w:val="43"/>
            </w:pPr>
            <w:r>
              <w:rPr>
                <w:rFonts w:hint="eastAsia"/>
              </w:rPr>
              <w:t>0.0595</w:t>
            </w:r>
          </w:p>
        </w:tc>
        <w:tc>
          <w:tcPr>
            <w:tcW w:w="1188" w:type="dxa"/>
            <w:vAlign w:val="bottom"/>
          </w:tcPr>
          <w:p>
            <w:pPr>
              <w:pStyle w:val="43"/>
            </w:pPr>
            <w:r>
              <w:rPr>
                <w:rFonts w:hint="eastAsia"/>
              </w:rPr>
              <w:t>0.0132</w:t>
            </w:r>
          </w:p>
        </w:tc>
        <w:tc>
          <w:tcPr>
            <w:tcW w:w="1174" w:type="dxa"/>
            <w:vAlign w:val="bottom"/>
          </w:tcPr>
          <w:p>
            <w:pPr>
              <w:pStyle w:val="43"/>
            </w:pPr>
            <w:r>
              <w:rPr>
                <w:rFonts w:hint="eastAsia"/>
              </w:rPr>
              <w:t>0.0991</w:t>
            </w:r>
          </w:p>
        </w:tc>
        <w:tc>
          <w:tcPr>
            <w:tcW w:w="1087" w:type="dxa"/>
            <w:vAlign w:val="bottom"/>
          </w:tcPr>
          <w:p>
            <w:pPr>
              <w:pStyle w:val="43"/>
            </w:pPr>
            <w:r>
              <w:rPr>
                <w:rFonts w:hint="eastAsia"/>
              </w:rPr>
              <w:t>0.0199</w:t>
            </w:r>
          </w:p>
        </w:tc>
        <w:tc>
          <w:tcPr>
            <w:tcW w:w="1216" w:type="dxa"/>
            <w:vAlign w:val="bottom"/>
          </w:tcPr>
          <w:p>
            <w:pPr>
              <w:pStyle w:val="43"/>
            </w:pPr>
            <w:r>
              <w:rPr>
                <w:rFonts w:hint="eastAsia"/>
              </w:rPr>
              <w:t>0.1502</w:t>
            </w:r>
          </w:p>
        </w:tc>
        <w:tc>
          <w:tcPr>
            <w:tcW w:w="1034" w:type="dxa"/>
            <w:vAlign w:val="bottom"/>
          </w:tcPr>
          <w:p>
            <w:pPr>
              <w:pStyle w:val="43"/>
            </w:pPr>
            <w:r>
              <w:rPr>
                <w:rFonts w:hint="eastAsia"/>
              </w:rPr>
              <w:t>0.0601</w:t>
            </w:r>
          </w:p>
        </w:tc>
        <w:tc>
          <w:tcPr>
            <w:tcW w:w="1034" w:type="dxa"/>
            <w:vAlign w:val="bottom"/>
          </w:tcPr>
          <w:p>
            <w:pPr>
              <w:pStyle w:val="43"/>
            </w:pPr>
            <w:r>
              <w:rPr>
                <w:rFonts w:hint="eastAsia"/>
              </w:rPr>
              <w:t>0.0137</w:t>
            </w:r>
          </w:p>
        </w:tc>
        <w:tc>
          <w:tcPr>
            <w:tcW w:w="1031" w:type="dxa"/>
            <w:vAlign w:val="bottom"/>
          </w:tcPr>
          <w:p>
            <w:pPr>
              <w:pStyle w:val="43"/>
            </w:pPr>
            <w:r>
              <w:rPr>
                <w:rFonts w:hint="eastAsia"/>
              </w:rPr>
              <w:t>0.0031</w:t>
            </w:r>
          </w:p>
        </w:tc>
        <w:tc>
          <w:tcPr>
            <w:tcW w:w="1028" w:type="dxa"/>
            <w:vAlign w:val="bottom"/>
          </w:tcPr>
          <w:p>
            <w:pPr>
              <w:pStyle w:val="43"/>
            </w:pPr>
            <w:r>
              <w:rPr>
                <w:rFonts w:hint="eastAsia"/>
              </w:rPr>
              <w:t>0.0225</w:t>
            </w:r>
          </w:p>
        </w:tc>
        <w:tc>
          <w:tcPr>
            <w:tcW w:w="1028" w:type="dxa"/>
            <w:vAlign w:val="bottom"/>
          </w:tcPr>
          <w:p>
            <w:pPr>
              <w:pStyle w:val="43"/>
            </w:pPr>
            <w:r>
              <w:rPr>
                <w:rFonts w:hint="eastAsia"/>
              </w:rPr>
              <w:t>0.0135</w:t>
            </w:r>
          </w:p>
        </w:tc>
        <w:tc>
          <w:tcPr>
            <w:tcW w:w="1028" w:type="dxa"/>
            <w:vAlign w:val="bottom"/>
          </w:tcPr>
          <w:p>
            <w:pPr>
              <w:pStyle w:val="43"/>
            </w:pPr>
            <w:r>
              <w:rPr>
                <w:rFonts w:hint="eastAsia"/>
              </w:rPr>
              <w:t>0.0334</w:t>
            </w:r>
          </w:p>
        </w:tc>
        <w:tc>
          <w:tcPr>
            <w:tcW w:w="1017" w:type="dxa"/>
            <w:vAlign w:val="bottom"/>
          </w:tcPr>
          <w:p>
            <w:pPr>
              <w:pStyle w:val="43"/>
            </w:pPr>
            <w:r>
              <w:rPr>
                <w:rFonts w:hint="eastAsia"/>
              </w:rPr>
              <w:t>0.0134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14000</w:t>
            </w:r>
          </w:p>
        </w:tc>
        <w:tc>
          <w:tcPr>
            <w:tcW w:w="1076" w:type="dxa"/>
            <w:vAlign w:val="bottom"/>
          </w:tcPr>
          <w:p>
            <w:pPr>
              <w:pStyle w:val="43"/>
            </w:pPr>
            <w:r>
              <w:rPr>
                <w:rFonts w:hint="eastAsia"/>
              </w:rPr>
              <w:t>0.0543</w:t>
            </w:r>
          </w:p>
        </w:tc>
        <w:tc>
          <w:tcPr>
            <w:tcW w:w="1188" w:type="dxa"/>
            <w:vAlign w:val="bottom"/>
          </w:tcPr>
          <w:p>
            <w:pPr>
              <w:pStyle w:val="43"/>
            </w:pPr>
            <w:r>
              <w:rPr>
                <w:rFonts w:hint="eastAsia"/>
              </w:rPr>
              <w:t>0.0121</w:t>
            </w:r>
          </w:p>
        </w:tc>
        <w:tc>
          <w:tcPr>
            <w:tcW w:w="1174" w:type="dxa"/>
            <w:vAlign w:val="bottom"/>
          </w:tcPr>
          <w:p>
            <w:pPr>
              <w:pStyle w:val="43"/>
            </w:pPr>
            <w:r>
              <w:rPr>
                <w:rFonts w:hint="eastAsia"/>
              </w:rPr>
              <w:t>0.0905</w:t>
            </w:r>
          </w:p>
        </w:tc>
        <w:tc>
          <w:tcPr>
            <w:tcW w:w="1087" w:type="dxa"/>
            <w:vAlign w:val="bottom"/>
          </w:tcPr>
          <w:p>
            <w:pPr>
              <w:pStyle w:val="43"/>
            </w:pPr>
            <w:r>
              <w:rPr>
                <w:rFonts w:hint="eastAsia"/>
              </w:rPr>
              <w:t>0.0181</w:t>
            </w:r>
          </w:p>
        </w:tc>
        <w:tc>
          <w:tcPr>
            <w:tcW w:w="1216" w:type="dxa"/>
            <w:vAlign w:val="bottom"/>
          </w:tcPr>
          <w:p>
            <w:pPr>
              <w:pStyle w:val="43"/>
            </w:pPr>
            <w:r>
              <w:rPr>
                <w:rFonts w:hint="eastAsia"/>
              </w:rPr>
              <w:t>0.1373</w:t>
            </w:r>
          </w:p>
        </w:tc>
        <w:tc>
          <w:tcPr>
            <w:tcW w:w="1034" w:type="dxa"/>
            <w:vAlign w:val="bottom"/>
          </w:tcPr>
          <w:p>
            <w:pPr>
              <w:pStyle w:val="43"/>
            </w:pPr>
            <w:r>
              <w:rPr>
                <w:rFonts w:hint="eastAsia"/>
              </w:rPr>
              <w:t>0.0549</w:t>
            </w:r>
          </w:p>
        </w:tc>
        <w:tc>
          <w:tcPr>
            <w:tcW w:w="1034" w:type="dxa"/>
            <w:vAlign w:val="bottom"/>
          </w:tcPr>
          <w:p>
            <w:pPr>
              <w:pStyle w:val="43"/>
            </w:pPr>
            <w:r>
              <w:rPr>
                <w:rFonts w:hint="eastAsia"/>
              </w:rPr>
              <w:t>0.0123</w:t>
            </w:r>
          </w:p>
        </w:tc>
        <w:tc>
          <w:tcPr>
            <w:tcW w:w="1031" w:type="dxa"/>
            <w:vAlign w:val="bottom"/>
          </w:tcPr>
          <w:p>
            <w:pPr>
              <w:pStyle w:val="43"/>
            </w:pPr>
            <w:r>
              <w:rPr>
                <w:rFonts w:hint="eastAsia"/>
              </w:rPr>
              <w:t>0.0027</w:t>
            </w:r>
          </w:p>
        </w:tc>
        <w:tc>
          <w:tcPr>
            <w:tcW w:w="1028" w:type="dxa"/>
            <w:vAlign w:val="bottom"/>
          </w:tcPr>
          <w:p>
            <w:pPr>
              <w:pStyle w:val="43"/>
            </w:pPr>
            <w:r>
              <w:rPr>
                <w:rFonts w:hint="eastAsia"/>
              </w:rPr>
              <w:t>0.0203</w:t>
            </w:r>
          </w:p>
        </w:tc>
        <w:tc>
          <w:tcPr>
            <w:tcW w:w="1028" w:type="dxa"/>
            <w:vAlign w:val="bottom"/>
          </w:tcPr>
          <w:p>
            <w:pPr>
              <w:pStyle w:val="43"/>
            </w:pPr>
            <w:r>
              <w:rPr>
                <w:rFonts w:hint="eastAsia"/>
              </w:rPr>
              <w:t>0.0121</w:t>
            </w:r>
          </w:p>
        </w:tc>
        <w:tc>
          <w:tcPr>
            <w:tcW w:w="1028" w:type="dxa"/>
            <w:vAlign w:val="bottom"/>
          </w:tcPr>
          <w:p>
            <w:pPr>
              <w:pStyle w:val="43"/>
            </w:pPr>
            <w:r>
              <w:rPr>
                <w:rFonts w:hint="eastAsia"/>
              </w:rPr>
              <w:t>0.0300</w:t>
            </w:r>
          </w:p>
        </w:tc>
        <w:tc>
          <w:tcPr>
            <w:tcW w:w="1017" w:type="dxa"/>
            <w:vAlign w:val="bottom"/>
          </w:tcPr>
          <w:p>
            <w:pPr>
              <w:pStyle w:val="43"/>
            </w:pPr>
            <w:r>
              <w:rPr>
                <w:rFonts w:hint="eastAsia"/>
              </w:rPr>
              <w:t>0.0120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15000</w:t>
            </w:r>
          </w:p>
        </w:tc>
        <w:tc>
          <w:tcPr>
            <w:tcW w:w="1076" w:type="dxa"/>
            <w:vAlign w:val="bottom"/>
          </w:tcPr>
          <w:p>
            <w:pPr>
              <w:pStyle w:val="43"/>
            </w:pPr>
            <w:r>
              <w:rPr>
                <w:rFonts w:hint="eastAsia"/>
              </w:rPr>
              <w:t>0.0507</w:t>
            </w:r>
          </w:p>
        </w:tc>
        <w:tc>
          <w:tcPr>
            <w:tcW w:w="1188" w:type="dxa"/>
            <w:vAlign w:val="bottom"/>
          </w:tcPr>
          <w:p>
            <w:pPr>
              <w:pStyle w:val="43"/>
            </w:pPr>
            <w:r>
              <w:rPr>
                <w:rFonts w:hint="eastAsia"/>
              </w:rPr>
              <w:t>0.0113</w:t>
            </w:r>
          </w:p>
        </w:tc>
        <w:tc>
          <w:tcPr>
            <w:tcW w:w="1174" w:type="dxa"/>
            <w:vAlign w:val="bottom"/>
          </w:tcPr>
          <w:p>
            <w:pPr>
              <w:pStyle w:val="43"/>
            </w:pPr>
            <w:r>
              <w:rPr>
                <w:rFonts w:hint="eastAsia"/>
              </w:rPr>
              <w:t>0.0845</w:t>
            </w:r>
          </w:p>
        </w:tc>
        <w:tc>
          <w:tcPr>
            <w:tcW w:w="1087" w:type="dxa"/>
            <w:vAlign w:val="bottom"/>
          </w:tcPr>
          <w:p>
            <w:pPr>
              <w:pStyle w:val="43"/>
            </w:pPr>
            <w:r>
              <w:rPr>
                <w:rFonts w:hint="eastAsia"/>
              </w:rPr>
              <w:t>0.0169</w:t>
            </w:r>
          </w:p>
        </w:tc>
        <w:tc>
          <w:tcPr>
            <w:tcW w:w="1216" w:type="dxa"/>
            <w:vAlign w:val="bottom"/>
          </w:tcPr>
          <w:p>
            <w:pPr>
              <w:pStyle w:val="43"/>
            </w:pPr>
            <w:r>
              <w:rPr>
                <w:rFonts w:hint="eastAsia"/>
              </w:rPr>
              <w:t>0.1282</w:t>
            </w:r>
          </w:p>
        </w:tc>
        <w:tc>
          <w:tcPr>
            <w:tcW w:w="1034" w:type="dxa"/>
            <w:vAlign w:val="bottom"/>
          </w:tcPr>
          <w:p>
            <w:pPr>
              <w:pStyle w:val="43"/>
            </w:pPr>
            <w:r>
              <w:rPr>
                <w:rFonts w:hint="eastAsia"/>
              </w:rPr>
              <w:t>0.0513</w:t>
            </w:r>
          </w:p>
        </w:tc>
        <w:tc>
          <w:tcPr>
            <w:tcW w:w="1034" w:type="dxa"/>
            <w:vAlign w:val="bottom"/>
          </w:tcPr>
          <w:p>
            <w:pPr>
              <w:pStyle w:val="43"/>
            </w:pPr>
            <w:r>
              <w:rPr>
                <w:rFonts w:hint="eastAsia"/>
              </w:rPr>
              <w:t>0.0113</w:t>
            </w:r>
          </w:p>
        </w:tc>
        <w:tc>
          <w:tcPr>
            <w:tcW w:w="1031" w:type="dxa"/>
            <w:vAlign w:val="bottom"/>
          </w:tcPr>
          <w:p>
            <w:pPr>
              <w:pStyle w:val="43"/>
            </w:pPr>
            <w:r>
              <w:rPr>
                <w:rFonts w:hint="eastAsia"/>
              </w:rPr>
              <w:t>0.0025</w:t>
            </w:r>
          </w:p>
        </w:tc>
        <w:tc>
          <w:tcPr>
            <w:tcW w:w="1028" w:type="dxa"/>
            <w:vAlign w:val="bottom"/>
          </w:tcPr>
          <w:p>
            <w:pPr>
              <w:pStyle w:val="43"/>
            </w:pPr>
            <w:r>
              <w:rPr>
                <w:rFonts w:hint="eastAsia"/>
              </w:rPr>
              <w:t>0.0186</w:t>
            </w:r>
          </w:p>
        </w:tc>
        <w:tc>
          <w:tcPr>
            <w:tcW w:w="1028" w:type="dxa"/>
            <w:vAlign w:val="bottom"/>
          </w:tcPr>
          <w:p>
            <w:pPr>
              <w:pStyle w:val="43"/>
            </w:pPr>
            <w:r>
              <w:rPr>
                <w:rFonts w:hint="eastAsia"/>
              </w:rPr>
              <w:t>0.0112</w:t>
            </w:r>
          </w:p>
        </w:tc>
        <w:tc>
          <w:tcPr>
            <w:tcW w:w="1028" w:type="dxa"/>
            <w:vAlign w:val="bottom"/>
          </w:tcPr>
          <w:p>
            <w:pPr>
              <w:pStyle w:val="43"/>
            </w:pPr>
            <w:r>
              <w:rPr>
                <w:rFonts w:hint="eastAsia"/>
              </w:rPr>
              <w:t>0.0275</w:t>
            </w:r>
          </w:p>
        </w:tc>
        <w:tc>
          <w:tcPr>
            <w:tcW w:w="1017" w:type="dxa"/>
            <w:vAlign w:val="bottom"/>
          </w:tcPr>
          <w:p>
            <w:pPr>
              <w:pStyle w:val="43"/>
            </w:pPr>
            <w:r>
              <w:rPr>
                <w:rFonts w:hint="eastAsia"/>
              </w:rPr>
              <w:t>0.0110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20000</w:t>
            </w:r>
          </w:p>
        </w:tc>
        <w:tc>
          <w:tcPr>
            <w:tcW w:w="1076" w:type="dxa"/>
            <w:vAlign w:val="bottom"/>
          </w:tcPr>
          <w:p>
            <w:pPr>
              <w:pStyle w:val="43"/>
            </w:pPr>
            <w:r>
              <w:rPr>
                <w:rFonts w:hint="eastAsia"/>
              </w:rPr>
              <w:t>0.0347</w:t>
            </w:r>
          </w:p>
        </w:tc>
        <w:tc>
          <w:tcPr>
            <w:tcW w:w="1188" w:type="dxa"/>
            <w:vAlign w:val="bottom"/>
          </w:tcPr>
          <w:p>
            <w:pPr>
              <w:pStyle w:val="43"/>
            </w:pPr>
            <w:r>
              <w:rPr>
                <w:rFonts w:hint="eastAsia"/>
              </w:rPr>
              <w:t>0.0077</w:t>
            </w:r>
          </w:p>
        </w:tc>
        <w:tc>
          <w:tcPr>
            <w:tcW w:w="1174" w:type="dxa"/>
            <w:vAlign w:val="bottom"/>
          </w:tcPr>
          <w:p>
            <w:pPr>
              <w:pStyle w:val="43"/>
            </w:pPr>
            <w:r>
              <w:rPr>
                <w:rFonts w:hint="eastAsia"/>
              </w:rPr>
              <w:t>0.0579</w:t>
            </w:r>
          </w:p>
        </w:tc>
        <w:tc>
          <w:tcPr>
            <w:tcW w:w="1087" w:type="dxa"/>
            <w:vAlign w:val="bottom"/>
          </w:tcPr>
          <w:p>
            <w:pPr>
              <w:pStyle w:val="43"/>
            </w:pPr>
            <w:r>
              <w:rPr>
                <w:rFonts w:hint="eastAsia"/>
              </w:rPr>
              <w:t>0.0116</w:t>
            </w:r>
          </w:p>
        </w:tc>
        <w:tc>
          <w:tcPr>
            <w:tcW w:w="1216" w:type="dxa"/>
            <w:vAlign w:val="bottom"/>
          </w:tcPr>
          <w:p>
            <w:pPr>
              <w:pStyle w:val="43"/>
            </w:pPr>
            <w:r>
              <w:rPr>
                <w:rFonts w:hint="eastAsia"/>
              </w:rPr>
              <w:t>0.0878</w:t>
            </w:r>
          </w:p>
        </w:tc>
        <w:tc>
          <w:tcPr>
            <w:tcW w:w="1034" w:type="dxa"/>
            <w:vAlign w:val="bottom"/>
          </w:tcPr>
          <w:p>
            <w:pPr>
              <w:pStyle w:val="43"/>
            </w:pPr>
            <w:r>
              <w:rPr>
                <w:rFonts w:hint="eastAsia"/>
              </w:rPr>
              <w:t>0.0351</w:t>
            </w:r>
          </w:p>
        </w:tc>
        <w:tc>
          <w:tcPr>
            <w:tcW w:w="1034" w:type="dxa"/>
            <w:vAlign w:val="bottom"/>
          </w:tcPr>
          <w:p>
            <w:pPr>
              <w:pStyle w:val="43"/>
            </w:pPr>
            <w:r>
              <w:rPr>
                <w:rFonts w:hint="eastAsia"/>
              </w:rPr>
              <w:t>0.0077</w:t>
            </w:r>
          </w:p>
        </w:tc>
        <w:tc>
          <w:tcPr>
            <w:tcW w:w="1031" w:type="dxa"/>
            <w:vAlign w:val="bottom"/>
          </w:tcPr>
          <w:p>
            <w:pPr>
              <w:pStyle w:val="43"/>
            </w:pPr>
            <w:r>
              <w:rPr>
                <w:rFonts w:hint="eastAsia"/>
              </w:rPr>
              <w:t>0.0017</w:t>
            </w:r>
          </w:p>
        </w:tc>
        <w:tc>
          <w:tcPr>
            <w:tcW w:w="1028" w:type="dxa"/>
            <w:vAlign w:val="bottom"/>
          </w:tcPr>
          <w:p>
            <w:pPr>
              <w:pStyle w:val="43"/>
            </w:pPr>
            <w:r>
              <w:rPr>
                <w:rFonts w:hint="eastAsia"/>
              </w:rPr>
              <w:t>0.0126</w:t>
            </w:r>
          </w:p>
        </w:tc>
        <w:tc>
          <w:tcPr>
            <w:tcW w:w="1028" w:type="dxa"/>
            <w:vAlign w:val="bottom"/>
          </w:tcPr>
          <w:p>
            <w:pPr>
              <w:pStyle w:val="43"/>
            </w:pPr>
            <w:r>
              <w:rPr>
                <w:rFonts w:hint="eastAsia"/>
              </w:rPr>
              <w:t>0.0075</w:t>
            </w:r>
          </w:p>
        </w:tc>
        <w:tc>
          <w:tcPr>
            <w:tcW w:w="1028" w:type="dxa"/>
            <w:vAlign w:val="bottom"/>
          </w:tcPr>
          <w:p>
            <w:pPr>
              <w:pStyle w:val="43"/>
            </w:pPr>
            <w:r>
              <w:rPr>
                <w:rFonts w:hint="eastAsia"/>
              </w:rPr>
              <w:t>0.0187</w:t>
            </w:r>
          </w:p>
        </w:tc>
        <w:tc>
          <w:tcPr>
            <w:tcW w:w="1017" w:type="dxa"/>
            <w:vAlign w:val="bottom"/>
          </w:tcPr>
          <w:p>
            <w:pPr>
              <w:pStyle w:val="43"/>
            </w:pPr>
            <w:r>
              <w:rPr>
                <w:rFonts w:hint="eastAsia"/>
              </w:rPr>
              <w:t>0.0075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25000</w:t>
            </w:r>
          </w:p>
        </w:tc>
        <w:tc>
          <w:tcPr>
            <w:tcW w:w="1076" w:type="dxa"/>
            <w:vAlign w:val="bottom"/>
          </w:tcPr>
          <w:p>
            <w:pPr>
              <w:pStyle w:val="43"/>
            </w:pPr>
            <w:r>
              <w:rPr>
                <w:rFonts w:hint="eastAsia"/>
              </w:rPr>
              <w:t>0.0243</w:t>
            </w:r>
          </w:p>
        </w:tc>
        <w:tc>
          <w:tcPr>
            <w:tcW w:w="1188" w:type="dxa"/>
            <w:vAlign w:val="bottom"/>
          </w:tcPr>
          <w:p>
            <w:pPr>
              <w:pStyle w:val="43"/>
            </w:pPr>
            <w:r>
              <w:rPr>
                <w:rFonts w:hint="eastAsia"/>
              </w:rPr>
              <w:t>0.0053</w:t>
            </w:r>
          </w:p>
        </w:tc>
        <w:tc>
          <w:tcPr>
            <w:tcW w:w="1174" w:type="dxa"/>
            <w:vAlign w:val="bottom"/>
          </w:tcPr>
          <w:p>
            <w:pPr>
              <w:pStyle w:val="43"/>
            </w:pPr>
            <w:r>
              <w:rPr>
                <w:rFonts w:hint="eastAsia"/>
              </w:rPr>
              <w:t>0.0404</w:t>
            </w:r>
          </w:p>
        </w:tc>
        <w:tc>
          <w:tcPr>
            <w:tcW w:w="1087" w:type="dxa"/>
            <w:vAlign w:val="bottom"/>
          </w:tcPr>
          <w:p>
            <w:pPr>
              <w:pStyle w:val="43"/>
            </w:pPr>
            <w:r>
              <w:rPr>
                <w:rFonts w:hint="eastAsia"/>
              </w:rPr>
              <w:t>0.0081</w:t>
            </w:r>
          </w:p>
        </w:tc>
        <w:tc>
          <w:tcPr>
            <w:tcW w:w="1216" w:type="dxa"/>
            <w:vAlign w:val="bottom"/>
          </w:tcPr>
          <w:p>
            <w:pPr>
              <w:pStyle w:val="43"/>
            </w:pPr>
            <w:r>
              <w:rPr>
                <w:rFonts w:hint="eastAsia"/>
              </w:rPr>
              <w:t>0.0612</w:t>
            </w:r>
          </w:p>
        </w:tc>
        <w:tc>
          <w:tcPr>
            <w:tcW w:w="1034" w:type="dxa"/>
            <w:vAlign w:val="bottom"/>
          </w:tcPr>
          <w:p>
            <w:pPr>
              <w:pStyle w:val="43"/>
            </w:pPr>
            <w:r>
              <w:rPr>
                <w:rFonts w:hint="eastAsia"/>
              </w:rPr>
              <w:t>0.0245</w:t>
            </w:r>
          </w:p>
        </w:tc>
        <w:tc>
          <w:tcPr>
            <w:tcW w:w="1034" w:type="dxa"/>
            <w:vAlign w:val="bottom"/>
          </w:tcPr>
          <w:p>
            <w:pPr>
              <w:pStyle w:val="43"/>
            </w:pPr>
            <w:r>
              <w:rPr>
                <w:rFonts w:hint="eastAsia"/>
              </w:rPr>
              <w:t>0.0053</w:t>
            </w:r>
          </w:p>
        </w:tc>
        <w:tc>
          <w:tcPr>
            <w:tcW w:w="1031" w:type="dxa"/>
            <w:vAlign w:val="bottom"/>
          </w:tcPr>
          <w:p>
            <w:pPr>
              <w:pStyle w:val="43"/>
            </w:pPr>
            <w:r>
              <w:rPr>
                <w:rFonts w:hint="eastAsia"/>
              </w:rPr>
              <w:t>0.0012</w:t>
            </w:r>
          </w:p>
        </w:tc>
        <w:tc>
          <w:tcPr>
            <w:tcW w:w="1028" w:type="dxa"/>
            <w:vAlign w:val="bottom"/>
          </w:tcPr>
          <w:p>
            <w:pPr>
              <w:pStyle w:val="43"/>
            </w:pPr>
            <w:r>
              <w:rPr>
                <w:rFonts w:hint="eastAsia"/>
              </w:rPr>
              <w:t>0.0087</w:t>
            </w:r>
          </w:p>
        </w:tc>
        <w:tc>
          <w:tcPr>
            <w:tcW w:w="1028" w:type="dxa"/>
            <w:vAlign w:val="bottom"/>
          </w:tcPr>
          <w:p>
            <w:pPr>
              <w:pStyle w:val="43"/>
            </w:pPr>
            <w:r>
              <w:rPr>
                <w:rFonts w:hint="eastAsia"/>
              </w:rPr>
              <w:t>0.0052</w:t>
            </w:r>
          </w:p>
        </w:tc>
        <w:tc>
          <w:tcPr>
            <w:tcW w:w="1028" w:type="dxa"/>
            <w:vAlign w:val="bottom"/>
          </w:tcPr>
          <w:p>
            <w:pPr>
              <w:pStyle w:val="43"/>
            </w:pPr>
            <w:r>
              <w:rPr>
                <w:rFonts w:hint="eastAsia"/>
              </w:rPr>
              <w:t>0.0130</w:t>
            </w:r>
          </w:p>
        </w:tc>
        <w:tc>
          <w:tcPr>
            <w:tcW w:w="1017" w:type="dxa"/>
            <w:vAlign w:val="bottom"/>
          </w:tcPr>
          <w:p>
            <w:pPr>
              <w:pStyle w:val="43"/>
            </w:pPr>
            <w:r>
              <w:rPr>
                <w:rFonts w:hint="eastAsia"/>
              </w:rPr>
              <w:t>0.0052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b/>
                <w:kern w:val="0"/>
                <w:szCs w:val="20"/>
              </w:rPr>
            </w:pPr>
            <w:r>
              <w:rPr>
                <w:rFonts w:ascii="Times New Roman" w:hAnsi="Times New Roman" w:eastAsia="宋体" w:cs="Times New Roman"/>
                <w:b/>
                <w:kern w:val="0"/>
                <w:szCs w:val="20"/>
              </w:rPr>
              <w:t>下风向最大质量浓度及占标率</w:t>
            </w:r>
          </w:p>
        </w:tc>
        <w:tc>
          <w:tcPr>
            <w:tcW w:w="1076" w:type="dxa"/>
            <w:vAlign w:val="center"/>
          </w:tcPr>
          <w:p>
            <w:pPr>
              <w:pStyle w:val="43"/>
              <w:rPr>
                <w:b/>
              </w:rPr>
            </w:pPr>
            <w:r>
              <w:rPr>
                <w:rFonts w:hint="eastAsia"/>
                <w:b/>
              </w:rPr>
              <w:t>2.8083</w:t>
            </w:r>
          </w:p>
        </w:tc>
        <w:tc>
          <w:tcPr>
            <w:tcW w:w="1188" w:type="dxa"/>
            <w:vAlign w:val="center"/>
          </w:tcPr>
          <w:p>
            <w:pPr>
              <w:pStyle w:val="43"/>
              <w:rPr>
                <w:b/>
              </w:rPr>
            </w:pPr>
            <w:r>
              <w:rPr>
                <w:rFonts w:hint="eastAsia"/>
                <w:b/>
              </w:rPr>
              <w:t>0.6240</w:t>
            </w:r>
          </w:p>
        </w:tc>
        <w:tc>
          <w:tcPr>
            <w:tcW w:w="1174" w:type="dxa"/>
            <w:vAlign w:val="center"/>
          </w:tcPr>
          <w:p>
            <w:pPr>
              <w:pStyle w:val="43"/>
              <w:rPr>
                <w:b/>
              </w:rPr>
            </w:pPr>
            <w:r>
              <w:rPr>
                <w:rFonts w:hint="eastAsia"/>
                <w:b/>
              </w:rPr>
              <w:t>4.6804</w:t>
            </w:r>
          </w:p>
        </w:tc>
        <w:tc>
          <w:tcPr>
            <w:tcW w:w="1087" w:type="dxa"/>
            <w:vAlign w:val="center"/>
          </w:tcPr>
          <w:p>
            <w:pPr>
              <w:pStyle w:val="43"/>
              <w:rPr>
                <w:b/>
              </w:rPr>
            </w:pPr>
            <w:r>
              <w:rPr>
                <w:rFonts w:hint="eastAsia"/>
                <w:b/>
              </w:rPr>
              <w:t>0.9361</w:t>
            </w:r>
          </w:p>
        </w:tc>
        <w:tc>
          <w:tcPr>
            <w:tcW w:w="1216" w:type="dxa"/>
            <w:vAlign w:val="center"/>
          </w:tcPr>
          <w:p>
            <w:pPr>
              <w:pStyle w:val="43"/>
              <w:rPr>
                <w:b/>
              </w:rPr>
            </w:pPr>
            <w:r>
              <w:rPr>
                <w:rFonts w:hint="eastAsia"/>
                <w:b/>
              </w:rPr>
              <w:t>7.0987</w:t>
            </w:r>
          </w:p>
        </w:tc>
        <w:tc>
          <w:tcPr>
            <w:tcW w:w="1034" w:type="dxa"/>
            <w:vAlign w:val="center"/>
          </w:tcPr>
          <w:p>
            <w:pPr>
              <w:pStyle w:val="43"/>
              <w:rPr>
                <w:b/>
              </w:rPr>
            </w:pPr>
            <w:r>
              <w:rPr>
                <w:rFonts w:hint="eastAsia"/>
                <w:b/>
              </w:rPr>
              <w:t>2.8395</w:t>
            </w:r>
          </w:p>
        </w:tc>
        <w:tc>
          <w:tcPr>
            <w:tcW w:w="1034" w:type="dxa"/>
            <w:vAlign w:val="center"/>
          </w:tcPr>
          <w:p>
            <w:pPr>
              <w:pStyle w:val="43"/>
              <w:rPr>
                <w:b/>
              </w:rPr>
            </w:pPr>
            <w:r>
              <w:rPr>
                <w:rFonts w:hint="eastAsia"/>
                <w:b/>
              </w:rPr>
              <w:t>0.6762</w:t>
            </w:r>
          </w:p>
        </w:tc>
        <w:tc>
          <w:tcPr>
            <w:tcW w:w="1031" w:type="dxa"/>
            <w:vAlign w:val="center"/>
          </w:tcPr>
          <w:p>
            <w:pPr>
              <w:pStyle w:val="43"/>
              <w:rPr>
                <w:b/>
              </w:rPr>
            </w:pPr>
            <w:r>
              <w:rPr>
                <w:rFonts w:hint="eastAsia"/>
                <w:b/>
              </w:rPr>
              <w:t>0.1503</w:t>
            </w:r>
          </w:p>
        </w:tc>
        <w:tc>
          <w:tcPr>
            <w:tcW w:w="1028" w:type="dxa"/>
            <w:vAlign w:val="center"/>
          </w:tcPr>
          <w:p>
            <w:pPr>
              <w:pStyle w:val="43"/>
              <w:rPr>
                <w:b/>
              </w:rPr>
            </w:pPr>
            <w:r>
              <w:rPr>
                <w:rFonts w:hint="eastAsia"/>
                <w:b/>
              </w:rPr>
              <w:t>1.1109</w:t>
            </w:r>
          </w:p>
        </w:tc>
        <w:tc>
          <w:tcPr>
            <w:tcW w:w="1028" w:type="dxa"/>
            <w:vAlign w:val="center"/>
          </w:tcPr>
          <w:p>
            <w:pPr>
              <w:pStyle w:val="43"/>
              <w:rPr>
                <w:b/>
              </w:rPr>
            </w:pPr>
            <w:r>
              <w:rPr>
                <w:rFonts w:hint="eastAsia"/>
                <w:b/>
              </w:rPr>
              <w:t>0.6665</w:t>
            </w:r>
          </w:p>
        </w:tc>
        <w:tc>
          <w:tcPr>
            <w:tcW w:w="1028" w:type="dxa"/>
            <w:vAlign w:val="center"/>
          </w:tcPr>
          <w:p>
            <w:pPr>
              <w:pStyle w:val="43"/>
              <w:rPr>
                <w:b/>
              </w:rPr>
            </w:pPr>
            <w:r>
              <w:rPr>
                <w:rFonts w:hint="eastAsia"/>
                <w:b/>
              </w:rPr>
              <w:t>1.6422</w:t>
            </w:r>
          </w:p>
        </w:tc>
        <w:tc>
          <w:tcPr>
            <w:tcW w:w="1017" w:type="dxa"/>
            <w:vAlign w:val="center"/>
          </w:tcPr>
          <w:p>
            <w:pPr>
              <w:pStyle w:val="43"/>
              <w:rPr>
                <w:b/>
              </w:rPr>
            </w:pPr>
            <w:r>
              <w:rPr>
                <w:rFonts w:hint="eastAsia"/>
                <w:b/>
              </w:rPr>
              <w:t>0.6569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1031" w:type="dxa"/>
            <w:vAlign w:val="center"/>
          </w:tcPr>
          <w:p>
            <w:pPr>
              <w:autoSpaceDE w:val="0"/>
              <w:autoSpaceDN w:val="0"/>
              <w:adjustRightInd w:val="0"/>
              <w:jc w:val="center"/>
              <w:textAlignment w:val="bottom"/>
              <w:rPr>
                <w:rFonts w:ascii="Times New Roman" w:hAnsi="Times New Roman" w:eastAsia="宋体" w:cs="Times New Roman"/>
                <w:b/>
                <w:kern w:val="0"/>
                <w:szCs w:val="20"/>
              </w:rPr>
            </w:pPr>
            <w:r>
              <w:rPr>
                <w:rFonts w:ascii="Times New Roman" w:hAnsi="Times New Roman" w:eastAsia="宋体" w:cs="Times New Roman"/>
                <w:b/>
                <w:kern w:val="0"/>
                <w:szCs w:val="20"/>
              </w:rPr>
              <w:t>地面最大浓度出现距离</w:t>
            </w:r>
          </w:p>
        </w:tc>
        <w:tc>
          <w:tcPr>
            <w:tcW w:w="6775" w:type="dxa"/>
            <w:gridSpan w:val="6"/>
            <w:vAlign w:val="center"/>
          </w:tcPr>
          <w:p>
            <w:pPr>
              <w:pStyle w:val="43"/>
              <w:rPr>
                <w:b/>
              </w:rPr>
            </w:pPr>
            <w:r>
              <w:rPr>
                <w:b/>
              </w:rPr>
              <w:t>305.0</w:t>
            </w:r>
          </w:p>
        </w:tc>
        <w:tc>
          <w:tcPr>
            <w:tcW w:w="6166" w:type="dxa"/>
            <w:gridSpan w:val="6"/>
            <w:vAlign w:val="center"/>
          </w:tcPr>
          <w:p>
            <w:pPr>
              <w:pStyle w:val="43"/>
              <w:rPr>
                <w:b/>
              </w:rPr>
            </w:pPr>
            <w:r>
              <w:rPr>
                <w:b/>
              </w:rPr>
              <w:t>294.0</w:t>
            </w:r>
          </w:p>
        </w:tc>
      </w:tr>
    </w:tbl>
    <w:p>
      <w:pPr>
        <w:pStyle w:val="40"/>
        <w:ind w:firstLine="480"/>
        <w:rPr>
          <w:highlight w:val="yellow"/>
        </w:rPr>
      </w:pPr>
    </w:p>
    <w:p>
      <w:pPr>
        <w:pStyle w:val="22"/>
        <w:rPr>
          <w:color w:val="000000" w:themeColor="text1"/>
          <w14:textFill>
            <w14:solidFill>
              <w14:schemeClr w14:val="tx1"/>
            </w14:solidFill>
          </w14:textFill>
        </w:rPr>
      </w:pPr>
    </w:p>
    <w:p>
      <w:pPr>
        <w:pStyle w:val="22"/>
        <w:rPr>
          <w:color w:val="000000" w:themeColor="text1"/>
          <w14:textFill>
            <w14:solidFill>
              <w14:schemeClr w14:val="tx1"/>
            </w14:solidFill>
          </w14:textFill>
        </w:rPr>
      </w:pPr>
    </w:p>
    <w:p>
      <w:pPr>
        <w:pStyle w:val="22"/>
        <w:rPr>
          <w:color w:val="000000" w:themeColor="text1"/>
          <w14:textFill>
            <w14:solidFill>
              <w14:schemeClr w14:val="tx1"/>
            </w14:solidFill>
          </w14:textFill>
        </w:rPr>
      </w:pPr>
    </w:p>
    <w:p>
      <w:pPr>
        <w:pStyle w:val="22"/>
        <w:rPr>
          <w:color w:val="000000" w:themeColor="text1"/>
          <w14:textFill>
            <w14:solidFill>
              <w14:schemeClr w14:val="tx1"/>
            </w14:solidFill>
          </w14:textFill>
        </w:rPr>
      </w:pPr>
    </w:p>
    <w:p>
      <w:pPr>
        <w:pStyle w:val="22"/>
        <w:rPr>
          <w:color w:val="000000" w:themeColor="text1"/>
          <w14:textFill>
            <w14:solidFill>
              <w14:schemeClr w14:val="tx1"/>
            </w14:solidFill>
          </w14:textFill>
        </w:rPr>
      </w:pPr>
    </w:p>
    <w:p>
      <w:pPr>
        <w:pStyle w:val="22"/>
        <w:rPr>
          <w:sz w:val="20"/>
          <w:szCs w:val="20"/>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4</w:t>
      </w:r>
      <w:r>
        <w:rPr>
          <w:color w:val="000000" w:themeColor="text1"/>
          <w:szCs w:val="21"/>
          <w14:textFill>
            <w14:solidFill>
              <w14:schemeClr w14:val="tx1"/>
            </w14:solidFill>
          </w14:textFill>
        </w:rPr>
        <w:t xml:space="preserve">  正常情</w:t>
      </w:r>
      <w:r>
        <w:rPr>
          <w:szCs w:val="21"/>
        </w:rPr>
        <w:t>况</w:t>
      </w:r>
      <w:r>
        <w:t>下</w:t>
      </w:r>
      <w:r>
        <w:rPr>
          <w:rFonts w:hint="eastAsia"/>
        </w:rPr>
        <w:t>污水</w:t>
      </w:r>
      <w:r>
        <w:t>处理站面源A1</w:t>
      </w:r>
      <w:r>
        <w:rPr>
          <w:rFonts w:hint="eastAsia"/>
        </w:rPr>
        <w:t>排放</w:t>
      </w:r>
      <w:r>
        <w:t>预测结果</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805"/>
        <w:gridCol w:w="2814"/>
        <w:gridCol w:w="2806"/>
        <w:gridCol w:w="2792"/>
        <w:gridCol w:w="27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05" w:hRule="atLeast"/>
          <w:tblHeader/>
          <w:jc w:val="center"/>
        </w:trPr>
        <w:tc>
          <w:tcPr>
            <w:tcW w:w="2805" w:type="dxa"/>
            <w:vMerge w:val="restart"/>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距源中心下风向距离（m）</w:t>
            </w:r>
          </w:p>
        </w:tc>
        <w:tc>
          <w:tcPr>
            <w:tcW w:w="11167" w:type="dxa"/>
            <w:gridSpan w:val="4"/>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处理站面源A1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505" w:hRule="atLeast"/>
          <w:tblHeader/>
          <w:jc w:val="center"/>
        </w:trPr>
        <w:tc>
          <w:tcPr>
            <w:tcW w:w="2805"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5620"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NH</w:t>
            </w:r>
            <w:r>
              <w:rPr>
                <w:rFonts w:hint="eastAsia" w:ascii="Times New Roman" w:hAnsi="Times New Roman" w:eastAsia="宋体" w:cs="Times New Roman"/>
                <w:kern w:val="0"/>
                <w:szCs w:val="20"/>
                <w:vertAlign w:val="subscript"/>
              </w:rPr>
              <w:t>3</w:t>
            </w:r>
          </w:p>
        </w:tc>
        <w:tc>
          <w:tcPr>
            <w:tcW w:w="5547"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H</w:t>
            </w:r>
            <w:r>
              <w:rPr>
                <w:rFonts w:hint="eastAsia" w:ascii="Times New Roman" w:hAnsi="Times New Roman" w:eastAsia="宋体" w:cs="Times New Roman"/>
                <w:kern w:val="0"/>
                <w:szCs w:val="20"/>
                <w:vertAlign w:val="subscript"/>
              </w:rPr>
              <w:t>2</w:t>
            </w:r>
            <w:r>
              <w:rPr>
                <w:rFonts w:hint="eastAsia" w:ascii="Times New Roman" w:hAnsi="Times New Roman" w:eastAsia="宋体" w:cs="Times New Roman"/>
                <w:kern w:val="0"/>
                <w:szCs w:val="20"/>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2805"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281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2806"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c>
          <w:tcPr>
            <w:tcW w:w="279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下风向预测浓度</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 (μg/m</w:t>
            </w:r>
            <w:r>
              <w:rPr>
                <w:rFonts w:ascii="Times New Roman" w:hAnsi="Times New Roman" w:eastAsia="宋体" w:cs="Times New Roman"/>
                <w:kern w:val="0"/>
                <w:szCs w:val="20"/>
                <w:vertAlign w:val="superscript"/>
              </w:rPr>
              <w:t>3</w:t>
            </w:r>
            <w:r>
              <w:rPr>
                <w:rFonts w:ascii="Times New Roman" w:hAnsi="Times New Roman" w:eastAsia="宋体" w:cs="Times New Roman"/>
                <w:kern w:val="0"/>
                <w:szCs w:val="20"/>
              </w:rPr>
              <w:t>)</w:t>
            </w:r>
          </w:p>
        </w:tc>
        <w:tc>
          <w:tcPr>
            <w:tcW w:w="275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浓度占标率</w:t>
            </w:r>
          </w:p>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P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w:t>
            </w:r>
          </w:p>
        </w:tc>
        <w:tc>
          <w:tcPr>
            <w:tcW w:w="2814" w:type="dxa"/>
            <w:vAlign w:val="center"/>
          </w:tcPr>
          <w:p>
            <w:pPr>
              <w:pStyle w:val="43"/>
            </w:pPr>
            <w:r>
              <w:t>0.3439</w:t>
            </w:r>
          </w:p>
        </w:tc>
        <w:tc>
          <w:tcPr>
            <w:tcW w:w="2806" w:type="dxa"/>
            <w:vAlign w:val="center"/>
          </w:tcPr>
          <w:p>
            <w:pPr>
              <w:pStyle w:val="43"/>
            </w:pPr>
            <w:r>
              <w:t>0.1720</w:t>
            </w:r>
          </w:p>
        </w:tc>
        <w:tc>
          <w:tcPr>
            <w:tcW w:w="2792" w:type="dxa"/>
            <w:vAlign w:val="center"/>
          </w:tcPr>
          <w:p>
            <w:pPr>
              <w:pStyle w:val="43"/>
            </w:pPr>
            <w:r>
              <w:t>0.0115</w:t>
            </w:r>
          </w:p>
        </w:tc>
        <w:tc>
          <w:tcPr>
            <w:tcW w:w="2755" w:type="dxa"/>
            <w:vAlign w:val="center"/>
          </w:tcPr>
          <w:p>
            <w:pPr>
              <w:pStyle w:val="43"/>
            </w:pPr>
            <w:r>
              <w:t>0.1146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w:t>
            </w:r>
          </w:p>
        </w:tc>
        <w:tc>
          <w:tcPr>
            <w:tcW w:w="2814" w:type="dxa"/>
            <w:vAlign w:val="center"/>
          </w:tcPr>
          <w:p>
            <w:pPr>
              <w:pStyle w:val="43"/>
            </w:pPr>
            <w:r>
              <w:t>0.2324</w:t>
            </w:r>
          </w:p>
        </w:tc>
        <w:tc>
          <w:tcPr>
            <w:tcW w:w="2806" w:type="dxa"/>
            <w:vAlign w:val="center"/>
          </w:tcPr>
          <w:p>
            <w:pPr>
              <w:pStyle w:val="43"/>
            </w:pPr>
            <w:r>
              <w:t>0.1162</w:t>
            </w:r>
          </w:p>
        </w:tc>
        <w:tc>
          <w:tcPr>
            <w:tcW w:w="2792" w:type="dxa"/>
            <w:vAlign w:val="center"/>
          </w:tcPr>
          <w:p>
            <w:pPr>
              <w:pStyle w:val="43"/>
            </w:pPr>
            <w:r>
              <w:t>0.0077</w:t>
            </w:r>
          </w:p>
        </w:tc>
        <w:tc>
          <w:tcPr>
            <w:tcW w:w="2755" w:type="dxa"/>
            <w:vAlign w:val="center"/>
          </w:tcPr>
          <w:p>
            <w:pPr>
              <w:pStyle w:val="43"/>
            </w:pPr>
            <w:r>
              <w:t>0.0775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w:t>
            </w:r>
          </w:p>
        </w:tc>
        <w:tc>
          <w:tcPr>
            <w:tcW w:w="2814" w:type="dxa"/>
            <w:vAlign w:val="center"/>
          </w:tcPr>
          <w:p>
            <w:pPr>
              <w:pStyle w:val="43"/>
            </w:pPr>
            <w:r>
              <w:t>0.1235</w:t>
            </w:r>
          </w:p>
        </w:tc>
        <w:tc>
          <w:tcPr>
            <w:tcW w:w="2806" w:type="dxa"/>
            <w:vAlign w:val="center"/>
          </w:tcPr>
          <w:p>
            <w:pPr>
              <w:pStyle w:val="43"/>
            </w:pPr>
            <w:r>
              <w:t>0.0617</w:t>
            </w:r>
          </w:p>
        </w:tc>
        <w:tc>
          <w:tcPr>
            <w:tcW w:w="2792" w:type="dxa"/>
            <w:vAlign w:val="center"/>
          </w:tcPr>
          <w:p>
            <w:pPr>
              <w:pStyle w:val="43"/>
            </w:pPr>
            <w:r>
              <w:t>0.0041</w:t>
            </w:r>
          </w:p>
        </w:tc>
        <w:tc>
          <w:tcPr>
            <w:tcW w:w="2755" w:type="dxa"/>
            <w:vAlign w:val="center"/>
          </w:tcPr>
          <w:p>
            <w:pPr>
              <w:pStyle w:val="43"/>
            </w:pPr>
            <w:r>
              <w:t>0.0412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300</w:t>
            </w:r>
          </w:p>
        </w:tc>
        <w:tc>
          <w:tcPr>
            <w:tcW w:w="2814" w:type="dxa"/>
            <w:vAlign w:val="center"/>
          </w:tcPr>
          <w:p>
            <w:pPr>
              <w:pStyle w:val="43"/>
            </w:pPr>
            <w:r>
              <w:t>0.0792</w:t>
            </w:r>
          </w:p>
        </w:tc>
        <w:tc>
          <w:tcPr>
            <w:tcW w:w="2806" w:type="dxa"/>
            <w:vAlign w:val="center"/>
          </w:tcPr>
          <w:p>
            <w:pPr>
              <w:pStyle w:val="43"/>
            </w:pPr>
            <w:r>
              <w:t>0.0396</w:t>
            </w:r>
          </w:p>
        </w:tc>
        <w:tc>
          <w:tcPr>
            <w:tcW w:w="2792" w:type="dxa"/>
            <w:vAlign w:val="center"/>
          </w:tcPr>
          <w:p>
            <w:pPr>
              <w:pStyle w:val="43"/>
            </w:pPr>
            <w:r>
              <w:t>0.0026</w:t>
            </w:r>
          </w:p>
        </w:tc>
        <w:tc>
          <w:tcPr>
            <w:tcW w:w="2755" w:type="dxa"/>
            <w:vAlign w:val="center"/>
          </w:tcPr>
          <w:p>
            <w:pPr>
              <w:pStyle w:val="43"/>
            </w:pPr>
            <w:r>
              <w:t>0.0264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400</w:t>
            </w:r>
          </w:p>
        </w:tc>
        <w:tc>
          <w:tcPr>
            <w:tcW w:w="2814" w:type="dxa"/>
            <w:vAlign w:val="center"/>
          </w:tcPr>
          <w:p>
            <w:pPr>
              <w:pStyle w:val="43"/>
            </w:pPr>
            <w:r>
              <w:t>0.0570</w:t>
            </w:r>
          </w:p>
        </w:tc>
        <w:tc>
          <w:tcPr>
            <w:tcW w:w="2806" w:type="dxa"/>
            <w:vAlign w:val="center"/>
          </w:tcPr>
          <w:p>
            <w:pPr>
              <w:pStyle w:val="43"/>
            </w:pPr>
            <w:r>
              <w:t>0.0285</w:t>
            </w:r>
          </w:p>
        </w:tc>
        <w:tc>
          <w:tcPr>
            <w:tcW w:w="2792" w:type="dxa"/>
            <w:vAlign w:val="center"/>
          </w:tcPr>
          <w:p>
            <w:pPr>
              <w:pStyle w:val="43"/>
            </w:pPr>
            <w:r>
              <w:t>0.0019</w:t>
            </w:r>
          </w:p>
        </w:tc>
        <w:tc>
          <w:tcPr>
            <w:tcW w:w="2755" w:type="dxa"/>
            <w:vAlign w:val="center"/>
          </w:tcPr>
          <w:p>
            <w:pPr>
              <w:pStyle w:val="43"/>
            </w:pPr>
            <w:r>
              <w:t>0.0190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500</w:t>
            </w:r>
          </w:p>
        </w:tc>
        <w:tc>
          <w:tcPr>
            <w:tcW w:w="2814" w:type="dxa"/>
            <w:vAlign w:val="center"/>
          </w:tcPr>
          <w:p>
            <w:pPr>
              <w:pStyle w:val="43"/>
            </w:pPr>
            <w:r>
              <w:t>0.0431</w:t>
            </w:r>
          </w:p>
        </w:tc>
        <w:tc>
          <w:tcPr>
            <w:tcW w:w="2806" w:type="dxa"/>
            <w:vAlign w:val="center"/>
          </w:tcPr>
          <w:p>
            <w:pPr>
              <w:pStyle w:val="43"/>
            </w:pPr>
            <w:r>
              <w:t>0.0215</w:t>
            </w:r>
          </w:p>
        </w:tc>
        <w:tc>
          <w:tcPr>
            <w:tcW w:w="2792" w:type="dxa"/>
            <w:vAlign w:val="center"/>
          </w:tcPr>
          <w:p>
            <w:pPr>
              <w:pStyle w:val="43"/>
            </w:pPr>
            <w:r>
              <w:t>0.0014</w:t>
            </w:r>
          </w:p>
        </w:tc>
        <w:tc>
          <w:tcPr>
            <w:tcW w:w="2755" w:type="dxa"/>
            <w:vAlign w:val="center"/>
          </w:tcPr>
          <w:p>
            <w:pPr>
              <w:pStyle w:val="43"/>
            </w:pPr>
            <w:r>
              <w:t>0.0144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600</w:t>
            </w:r>
          </w:p>
        </w:tc>
        <w:tc>
          <w:tcPr>
            <w:tcW w:w="2814" w:type="dxa"/>
            <w:vAlign w:val="center"/>
          </w:tcPr>
          <w:p>
            <w:pPr>
              <w:pStyle w:val="43"/>
            </w:pPr>
            <w:r>
              <w:t>0.0341</w:t>
            </w:r>
          </w:p>
        </w:tc>
        <w:tc>
          <w:tcPr>
            <w:tcW w:w="2806" w:type="dxa"/>
            <w:vAlign w:val="center"/>
          </w:tcPr>
          <w:p>
            <w:pPr>
              <w:pStyle w:val="43"/>
            </w:pPr>
            <w:r>
              <w:t>0.0170</w:t>
            </w:r>
          </w:p>
        </w:tc>
        <w:tc>
          <w:tcPr>
            <w:tcW w:w="2792" w:type="dxa"/>
            <w:vAlign w:val="center"/>
          </w:tcPr>
          <w:p>
            <w:pPr>
              <w:pStyle w:val="43"/>
            </w:pPr>
            <w:r>
              <w:t>0.0011</w:t>
            </w:r>
          </w:p>
        </w:tc>
        <w:tc>
          <w:tcPr>
            <w:tcW w:w="2755" w:type="dxa"/>
            <w:vAlign w:val="center"/>
          </w:tcPr>
          <w:p>
            <w:pPr>
              <w:pStyle w:val="43"/>
            </w:pPr>
            <w:r>
              <w:t>0.0114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700</w:t>
            </w:r>
          </w:p>
        </w:tc>
        <w:tc>
          <w:tcPr>
            <w:tcW w:w="2814" w:type="dxa"/>
            <w:vAlign w:val="center"/>
          </w:tcPr>
          <w:p>
            <w:pPr>
              <w:pStyle w:val="43"/>
            </w:pPr>
            <w:r>
              <w:t>0.0279</w:t>
            </w:r>
          </w:p>
        </w:tc>
        <w:tc>
          <w:tcPr>
            <w:tcW w:w="2806" w:type="dxa"/>
            <w:vAlign w:val="center"/>
          </w:tcPr>
          <w:p>
            <w:pPr>
              <w:pStyle w:val="43"/>
            </w:pPr>
            <w:r>
              <w:t>0.0140</w:t>
            </w:r>
          </w:p>
        </w:tc>
        <w:tc>
          <w:tcPr>
            <w:tcW w:w="2792" w:type="dxa"/>
            <w:vAlign w:val="center"/>
          </w:tcPr>
          <w:p>
            <w:pPr>
              <w:pStyle w:val="43"/>
            </w:pPr>
            <w:r>
              <w:t>0.0009</w:t>
            </w:r>
          </w:p>
        </w:tc>
        <w:tc>
          <w:tcPr>
            <w:tcW w:w="2755" w:type="dxa"/>
            <w:vAlign w:val="center"/>
          </w:tcPr>
          <w:p>
            <w:pPr>
              <w:pStyle w:val="43"/>
            </w:pPr>
            <w:r>
              <w:t>0.0093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800</w:t>
            </w:r>
          </w:p>
        </w:tc>
        <w:tc>
          <w:tcPr>
            <w:tcW w:w="2814" w:type="dxa"/>
            <w:vAlign w:val="center"/>
          </w:tcPr>
          <w:p>
            <w:pPr>
              <w:pStyle w:val="43"/>
            </w:pPr>
            <w:r>
              <w:t>0.0234</w:t>
            </w:r>
          </w:p>
        </w:tc>
        <w:tc>
          <w:tcPr>
            <w:tcW w:w="2806" w:type="dxa"/>
            <w:vAlign w:val="center"/>
          </w:tcPr>
          <w:p>
            <w:pPr>
              <w:pStyle w:val="43"/>
            </w:pPr>
            <w:r>
              <w:t>0.0117</w:t>
            </w:r>
          </w:p>
        </w:tc>
        <w:tc>
          <w:tcPr>
            <w:tcW w:w="2792" w:type="dxa"/>
            <w:vAlign w:val="center"/>
          </w:tcPr>
          <w:p>
            <w:pPr>
              <w:pStyle w:val="43"/>
            </w:pPr>
            <w:r>
              <w:t>0.0008</w:t>
            </w:r>
          </w:p>
        </w:tc>
        <w:tc>
          <w:tcPr>
            <w:tcW w:w="2755" w:type="dxa"/>
            <w:vAlign w:val="center"/>
          </w:tcPr>
          <w:p>
            <w:pPr>
              <w:pStyle w:val="43"/>
            </w:pPr>
            <w:r>
              <w:t>0.0078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900</w:t>
            </w:r>
          </w:p>
        </w:tc>
        <w:tc>
          <w:tcPr>
            <w:tcW w:w="2814" w:type="dxa"/>
            <w:vAlign w:val="center"/>
          </w:tcPr>
          <w:p>
            <w:pPr>
              <w:pStyle w:val="43"/>
            </w:pPr>
            <w:r>
              <w:t>0.0201</w:t>
            </w:r>
          </w:p>
        </w:tc>
        <w:tc>
          <w:tcPr>
            <w:tcW w:w="2806" w:type="dxa"/>
            <w:vAlign w:val="center"/>
          </w:tcPr>
          <w:p>
            <w:pPr>
              <w:pStyle w:val="43"/>
            </w:pPr>
            <w:r>
              <w:t>0.0100</w:t>
            </w:r>
          </w:p>
        </w:tc>
        <w:tc>
          <w:tcPr>
            <w:tcW w:w="2792" w:type="dxa"/>
            <w:vAlign w:val="center"/>
          </w:tcPr>
          <w:p>
            <w:pPr>
              <w:pStyle w:val="43"/>
            </w:pPr>
            <w:r>
              <w:t>0.0007</w:t>
            </w:r>
          </w:p>
        </w:tc>
        <w:tc>
          <w:tcPr>
            <w:tcW w:w="2755" w:type="dxa"/>
            <w:vAlign w:val="center"/>
          </w:tcPr>
          <w:p>
            <w:pPr>
              <w:pStyle w:val="43"/>
            </w:pPr>
            <w:r>
              <w:t>0.0067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1000</w:t>
            </w:r>
          </w:p>
        </w:tc>
        <w:tc>
          <w:tcPr>
            <w:tcW w:w="2814" w:type="dxa"/>
            <w:vAlign w:val="center"/>
          </w:tcPr>
          <w:p>
            <w:pPr>
              <w:pStyle w:val="43"/>
            </w:pPr>
            <w:r>
              <w:t>0.0174</w:t>
            </w:r>
          </w:p>
        </w:tc>
        <w:tc>
          <w:tcPr>
            <w:tcW w:w="2806" w:type="dxa"/>
            <w:vAlign w:val="center"/>
          </w:tcPr>
          <w:p>
            <w:pPr>
              <w:pStyle w:val="43"/>
            </w:pPr>
            <w:r>
              <w:t>0.0087</w:t>
            </w:r>
          </w:p>
        </w:tc>
        <w:tc>
          <w:tcPr>
            <w:tcW w:w="2792" w:type="dxa"/>
            <w:vAlign w:val="center"/>
          </w:tcPr>
          <w:p>
            <w:pPr>
              <w:pStyle w:val="43"/>
            </w:pPr>
            <w:r>
              <w:t>0.0006</w:t>
            </w:r>
          </w:p>
        </w:tc>
        <w:tc>
          <w:tcPr>
            <w:tcW w:w="2755" w:type="dxa"/>
            <w:vAlign w:val="center"/>
          </w:tcPr>
          <w:p>
            <w:pPr>
              <w:pStyle w:val="43"/>
            </w:pPr>
            <w:r>
              <w:t>0.0058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1200</w:t>
            </w:r>
          </w:p>
        </w:tc>
        <w:tc>
          <w:tcPr>
            <w:tcW w:w="2814" w:type="dxa"/>
            <w:vAlign w:val="center"/>
          </w:tcPr>
          <w:p>
            <w:pPr>
              <w:pStyle w:val="43"/>
            </w:pPr>
            <w:r>
              <w:t>0.0137</w:t>
            </w:r>
          </w:p>
        </w:tc>
        <w:tc>
          <w:tcPr>
            <w:tcW w:w="2806" w:type="dxa"/>
            <w:vAlign w:val="center"/>
          </w:tcPr>
          <w:p>
            <w:pPr>
              <w:pStyle w:val="43"/>
            </w:pPr>
            <w:r>
              <w:t>0.0068</w:t>
            </w:r>
          </w:p>
        </w:tc>
        <w:tc>
          <w:tcPr>
            <w:tcW w:w="2792" w:type="dxa"/>
            <w:vAlign w:val="center"/>
          </w:tcPr>
          <w:p>
            <w:pPr>
              <w:pStyle w:val="43"/>
            </w:pPr>
            <w:r>
              <w:t>0.0005</w:t>
            </w:r>
          </w:p>
        </w:tc>
        <w:tc>
          <w:tcPr>
            <w:tcW w:w="2755" w:type="dxa"/>
            <w:vAlign w:val="center"/>
          </w:tcPr>
          <w:p>
            <w:pPr>
              <w:pStyle w:val="43"/>
            </w:pPr>
            <w:r>
              <w:t>0.0046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1400</w:t>
            </w:r>
          </w:p>
        </w:tc>
        <w:tc>
          <w:tcPr>
            <w:tcW w:w="2814" w:type="dxa"/>
            <w:vAlign w:val="center"/>
          </w:tcPr>
          <w:p>
            <w:pPr>
              <w:pStyle w:val="43"/>
            </w:pPr>
            <w:r>
              <w:t>0.0111</w:t>
            </w:r>
          </w:p>
        </w:tc>
        <w:tc>
          <w:tcPr>
            <w:tcW w:w="2806" w:type="dxa"/>
            <w:vAlign w:val="center"/>
          </w:tcPr>
          <w:p>
            <w:pPr>
              <w:pStyle w:val="43"/>
            </w:pPr>
            <w:r>
              <w:t>0.0056</w:t>
            </w:r>
          </w:p>
        </w:tc>
        <w:tc>
          <w:tcPr>
            <w:tcW w:w="2792" w:type="dxa"/>
            <w:vAlign w:val="center"/>
          </w:tcPr>
          <w:p>
            <w:pPr>
              <w:pStyle w:val="43"/>
            </w:pPr>
            <w:r>
              <w:t>0.0004</w:t>
            </w:r>
          </w:p>
        </w:tc>
        <w:tc>
          <w:tcPr>
            <w:tcW w:w="2755" w:type="dxa"/>
            <w:vAlign w:val="center"/>
          </w:tcPr>
          <w:p>
            <w:pPr>
              <w:pStyle w:val="43"/>
            </w:pPr>
            <w:r>
              <w:t>0.0037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1600</w:t>
            </w:r>
          </w:p>
        </w:tc>
        <w:tc>
          <w:tcPr>
            <w:tcW w:w="2814" w:type="dxa"/>
            <w:vAlign w:val="center"/>
          </w:tcPr>
          <w:p>
            <w:pPr>
              <w:pStyle w:val="43"/>
            </w:pPr>
            <w:r>
              <w:t>0.0093</w:t>
            </w:r>
          </w:p>
        </w:tc>
        <w:tc>
          <w:tcPr>
            <w:tcW w:w="2806" w:type="dxa"/>
            <w:vAlign w:val="center"/>
          </w:tcPr>
          <w:p>
            <w:pPr>
              <w:pStyle w:val="43"/>
            </w:pPr>
            <w:r>
              <w:t>0.0047</w:t>
            </w:r>
          </w:p>
        </w:tc>
        <w:tc>
          <w:tcPr>
            <w:tcW w:w="2792" w:type="dxa"/>
            <w:vAlign w:val="center"/>
          </w:tcPr>
          <w:p>
            <w:pPr>
              <w:pStyle w:val="43"/>
            </w:pPr>
            <w:r>
              <w:t>0.0003</w:t>
            </w:r>
          </w:p>
        </w:tc>
        <w:tc>
          <w:tcPr>
            <w:tcW w:w="2755" w:type="dxa"/>
            <w:vAlign w:val="center"/>
          </w:tcPr>
          <w:p>
            <w:pPr>
              <w:pStyle w:val="43"/>
            </w:pPr>
            <w:r>
              <w:t>0.0031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1800</w:t>
            </w:r>
          </w:p>
        </w:tc>
        <w:tc>
          <w:tcPr>
            <w:tcW w:w="2814" w:type="dxa"/>
            <w:vAlign w:val="center"/>
          </w:tcPr>
          <w:p>
            <w:pPr>
              <w:pStyle w:val="43"/>
            </w:pPr>
            <w:r>
              <w:t>0.0079</w:t>
            </w:r>
          </w:p>
        </w:tc>
        <w:tc>
          <w:tcPr>
            <w:tcW w:w="2806" w:type="dxa"/>
            <w:vAlign w:val="center"/>
          </w:tcPr>
          <w:p>
            <w:pPr>
              <w:pStyle w:val="43"/>
            </w:pPr>
            <w:r>
              <w:t>0.0040</w:t>
            </w:r>
          </w:p>
        </w:tc>
        <w:tc>
          <w:tcPr>
            <w:tcW w:w="2792" w:type="dxa"/>
            <w:vAlign w:val="center"/>
          </w:tcPr>
          <w:p>
            <w:pPr>
              <w:pStyle w:val="43"/>
            </w:pPr>
            <w:r>
              <w:t>0.0003</w:t>
            </w:r>
          </w:p>
        </w:tc>
        <w:tc>
          <w:tcPr>
            <w:tcW w:w="2755" w:type="dxa"/>
            <w:vAlign w:val="center"/>
          </w:tcPr>
          <w:p>
            <w:pPr>
              <w:pStyle w:val="43"/>
            </w:pPr>
            <w: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2000</w:t>
            </w:r>
          </w:p>
        </w:tc>
        <w:tc>
          <w:tcPr>
            <w:tcW w:w="2814" w:type="dxa"/>
            <w:vAlign w:val="center"/>
          </w:tcPr>
          <w:p>
            <w:pPr>
              <w:pStyle w:val="43"/>
            </w:pPr>
            <w:r>
              <w:t>0.0069</w:t>
            </w:r>
          </w:p>
        </w:tc>
        <w:tc>
          <w:tcPr>
            <w:tcW w:w="2806" w:type="dxa"/>
            <w:vAlign w:val="center"/>
          </w:tcPr>
          <w:p>
            <w:pPr>
              <w:pStyle w:val="43"/>
            </w:pPr>
            <w:r>
              <w:t>0.0034</w:t>
            </w:r>
          </w:p>
        </w:tc>
        <w:tc>
          <w:tcPr>
            <w:tcW w:w="2792" w:type="dxa"/>
            <w:vAlign w:val="center"/>
          </w:tcPr>
          <w:p>
            <w:pPr>
              <w:pStyle w:val="43"/>
            </w:pPr>
            <w:r>
              <w:t>0.0002</w:t>
            </w:r>
          </w:p>
        </w:tc>
        <w:tc>
          <w:tcPr>
            <w:tcW w:w="2755" w:type="dxa"/>
            <w:vAlign w:val="center"/>
          </w:tcPr>
          <w:p>
            <w:pPr>
              <w:pStyle w:val="43"/>
            </w:pPr>
            <w:r>
              <w:t>0.0023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2500</w:t>
            </w:r>
          </w:p>
        </w:tc>
        <w:tc>
          <w:tcPr>
            <w:tcW w:w="2814" w:type="dxa"/>
            <w:vAlign w:val="center"/>
          </w:tcPr>
          <w:p>
            <w:pPr>
              <w:pStyle w:val="43"/>
            </w:pPr>
            <w:r>
              <w:t>0.0051</w:t>
            </w:r>
          </w:p>
        </w:tc>
        <w:tc>
          <w:tcPr>
            <w:tcW w:w="2806" w:type="dxa"/>
            <w:vAlign w:val="center"/>
          </w:tcPr>
          <w:p>
            <w:pPr>
              <w:pStyle w:val="43"/>
            </w:pPr>
            <w:r>
              <w:t>0.0026</w:t>
            </w:r>
          </w:p>
        </w:tc>
        <w:tc>
          <w:tcPr>
            <w:tcW w:w="2792" w:type="dxa"/>
            <w:vAlign w:val="center"/>
          </w:tcPr>
          <w:p>
            <w:pPr>
              <w:pStyle w:val="43"/>
            </w:pPr>
            <w:r>
              <w:t>0.0002</w:t>
            </w:r>
          </w:p>
        </w:tc>
        <w:tc>
          <w:tcPr>
            <w:tcW w:w="2755" w:type="dxa"/>
            <w:vAlign w:val="center"/>
          </w:tcPr>
          <w:p>
            <w:pPr>
              <w:pStyle w:val="43"/>
            </w:pPr>
            <w:r>
              <w:t>0.0017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3000</w:t>
            </w:r>
          </w:p>
        </w:tc>
        <w:tc>
          <w:tcPr>
            <w:tcW w:w="2814" w:type="dxa"/>
            <w:vAlign w:val="center"/>
          </w:tcPr>
          <w:p>
            <w:pPr>
              <w:pStyle w:val="43"/>
            </w:pPr>
            <w:r>
              <w:t>0.0040</w:t>
            </w:r>
          </w:p>
        </w:tc>
        <w:tc>
          <w:tcPr>
            <w:tcW w:w="2806" w:type="dxa"/>
            <w:vAlign w:val="center"/>
          </w:tcPr>
          <w:p>
            <w:pPr>
              <w:pStyle w:val="43"/>
            </w:pPr>
            <w:r>
              <w:t>0.0020</w:t>
            </w:r>
          </w:p>
        </w:tc>
        <w:tc>
          <w:tcPr>
            <w:tcW w:w="2792" w:type="dxa"/>
            <w:vAlign w:val="center"/>
          </w:tcPr>
          <w:p>
            <w:pPr>
              <w:pStyle w:val="43"/>
            </w:pPr>
            <w:r>
              <w:t>0.0001</w:t>
            </w:r>
          </w:p>
        </w:tc>
        <w:tc>
          <w:tcPr>
            <w:tcW w:w="2755" w:type="dxa"/>
            <w:vAlign w:val="center"/>
          </w:tcPr>
          <w:p>
            <w:pPr>
              <w:pStyle w:val="43"/>
            </w:pPr>
            <w: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3500</w:t>
            </w:r>
          </w:p>
        </w:tc>
        <w:tc>
          <w:tcPr>
            <w:tcW w:w="2814" w:type="dxa"/>
            <w:vAlign w:val="center"/>
          </w:tcPr>
          <w:p>
            <w:pPr>
              <w:pStyle w:val="43"/>
            </w:pPr>
            <w:r>
              <w:t>0.0032</w:t>
            </w:r>
          </w:p>
        </w:tc>
        <w:tc>
          <w:tcPr>
            <w:tcW w:w="2806" w:type="dxa"/>
            <w:vAlign w:val="center"/>
          </w:tcPr>
          <w:p>
            <w:pPr>
              <w:pStyle w:val="43"/>
            </w:pPr>
            <w:r>
              <w:t>0.0016</w:t>
            </w:r>
          </w:p>
        </w:tc>
        <w:tc>
          <w:tcPr>
            <w:tcW w:w="2792" w:type="dxa"/>
            <w:vAlign w:val="center"/>
          </w:tcPr>
          <w:p>
            <w:pPr>
              <w:pStyle w:val="43"/>
            </w:pPr>
            <w:r>
              <w:t>0.0001</w:t>
            </w:r>
          </w:p>
        </w:tc>
        <w:tc>
          <w:tcPr>
            <w:tcW w:w="2755" w:type="dxa"/>
            <w:vAlign w:val="center"/>
          </w:tcPr>
          <w:p>
            <w:pPr>
              <w:pStyle w:val="43"/>
            </w:pPr>
            <w:r>
              <w:t>0.0011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4000</w:t>
            </w:r>
          </w:p>
        </w:tc>
        <w:tc>
          <w:tcPr>
            <w:tcW w:w="2814" w:type="dxa"/>
            <w:vAlign w:val="center"/>
          </w:tcPr>
          <w:p>
            <w:pPr>
              <w:pStyle w:val="43"/>
            </w:pPr>
            <w:r>
              <w:t>0.0027</w:t>
            </w:r>
          </w:p>
        </w:tc>
        <w:tc>
          <w:tcPr>
            <w:tcW w:w="2806" w:type="dxa"/>
            <w:vAlign w:val="center"/>
          </w:tcPr>
          <w:p>
            <w:pPr>
              <w:pStyle w:val="43"/>
            </w:pPr>
            <w:r>
              <w:t>0.0014</w:t>
            </w:r>
          </w:p>
        </w:tc>
        <w:tc>
          <w:tcPr>
            <w:tcW w:w="2792" w:type="dxa"/>
            <w:vAlign w:val="center"/>
          </w:tcPr>
          <w:p>
            <w:pPr>
              <w:pStyle w:val="43"/>
            </w:pPr>
            <w:r>
              <w:t>0.0001</w:t>
            </w:r>
          </w:p>
        </w:tc>
        <w:tc>
          <w:tcPr>
            <w:tcW w:w="2755" w:type="dxa"/>
            <w:vAlign w:val="center"/>
          </w:tcPr>
          <w:p>
            <w:pPr>
              <w:pStyle w:val="43"/>
            </w:pPr>
            <w: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4500</w:t>
            </w:r>
          </w:p>
        </w:tc>
        <w:tc>
          <w:tcPr>
            <w:tcW w:w="2814" w:type="dxa"/>
            <w:vAlign w:val="center"/>
          </w:tcPr>
          <w:p>
            <w:pPr>
              <w:pStyle w:val="43"/>
            </w:pPr>
            <w:r>
              <w:t>0.0023</w:t>
            </w:r>
          </w:p>
        </w:tc>
        <w:tc>
          <w:tcPr>
            <w:tcW w:w="2806" w:type="dxa"/>
            <w:vAlign w:val="center"/>
          </w:tcPr>
          <w:p>
            <w:pPr>
              <w:pStyle w:val="43"/>
            </w:pPr>
            <w:r>
              <w:t>0.0012</w:t>
            </w:r>
          </w:p>
        </w:tc>
        <w:tc>
          <w:tcPr>
            <w:tcW w:w="2792" w:type="dxa"/>
            <w:vAlign w:val="center"/>
          </w:tcPr>
          <w:p>
            <w:pPr>
              <w:pStyle w:val="43"/>
            </w:pPr>
            <w:r>
              <w:t>0.0001</w:t>
            </w:r>
          </w:p>
        </w:tc>
        <w:tc>
          <w:tcPr>
            <w:tcW w:w="2755" w:type="dxa"/>
            <w:vAlign w:val="center"/>
          </w:tcPr>
          <w:p>
            <w:pPr>
              <w:pStyle w:val="43"/>
            </w:pPr>
            <w: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5000</w:t>
            </w:r>
          </w:p>
        </w:tc>
        <w:tc>
          <w:tcPr>
            <w:tcW w:w="2814" w:type="dxa"/>
            <w:vAlign w:val="center"/>
          </w:tcPr>
          <w:p>
            <w:pPr>
              <w:pStyle w:val="43"/>
            </w:pPr>
            <w:r>
              <w:t>0.0020</w:t>
            </w:r>
          </w:p>
        </w:tc>
        <w:tc>
          <w:tcPr>
            <w:tcW w:w="2806" w:type="dxa"/>
            <w:vAlign w:val="center"/>
          </w:tcPr>
          <w:p>
            <w:pPr>
              <w:pStyle w:val="43"/>
            </w:pPr>
            <w:r>
              <w:t>0.0010</w:t>
            </w:r>
          </w:p>
        </w:tc>
        <w:tc>
          <w:tcPr>
            <w:tcW w:w="2792" w:type="dxa"/>
            <w:vAlign w:val="center"/>
          </w:tcPr>
          <w:p>
            <w:pPr>
              <w:pStyle w:val="43"/>
            </w:pPr>
            <w:r>
              <w:t>0.0001</w:t>
            </w:r>
          </w:p>
        </w:tc>
        <w:tc>
          <w:tcPr>
            <w:tcW w:w="2755" w:type="dxa"/>
            <w:vAlign w:val="center"/>
          </w:tcPr>
          <w:p>
            <w:pPr>
              <w:pStyle w:val="43"/>
            </w:pPr>
            <w: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10000</w:t>
            </w:r>
          </w:p>
        </w:tc>
        <w:tc>
          <w:tcPr>
            <w:tcW w:w="2814" w:type="dxa"/>
            <w:vAlign w:val="center"/>
          </w:tcPr>
          <w:p>
            <w:pPr>
              <w:pStyle w:val="43"/>
            </w:pPr>
            <w:r>
              <w:t>0.0008</w:t>
            </w:r>
          </w:p>
        </w:tc>
        <w:tc>
          <w:tcPr>
            <w:tcW w:w="2806" w:type="dxa"/>
            <w:vAlign w:val="center"/>
          </w:tcPr>
          <w:p>
            <w:pPr>
              <w:pStyle w:val="43"/>
            </w:pPr>
            <w:r>
              <w:t>0.0004</w:t>
            </w:r>
          </w:p>
        </w:tc>
        <w:tc>
          <w:tcPr>
            <w:tcW w:w="2792" w:type="dxa"/>
            <w:vAlign w:val="center"/>
          </w:tcPr>
          <w:p>
            <w:pPr>
              <w:pStyle w:val="43"/>
            </w:pPr>
            <w:r>
              <w:t>0.0000</w:t>
            </w:r>
          </w:p>
        </w:tc>
        <w:tc>
          <w:tcPr>
            <w:tcW w:w="2755" w:type="dxa"/>
            <w:vAlign w:val="center"/>
          </w:tcPr>
          <w:p>
            <w:pPr>
              <w:pStyle w:val="43"/>
            </w:pPr>
            <w:r>
              <w:t>0.0003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11000</w:t>
            </w:r>
          </w:p>
        </w:tc>
        <w:tc>
          <w:tcPr>
            <w:tcW w:w="2814" w:type="dxa"/>
            <w:vAlign w:val="center"/>
          </w:tcPr>
          <w:p>
            <w:pPr>
              <w:pStyle w:val="43"/>
            </w:pPr>
            <w:r>
              <w:t>0.0007</w:t>
            </w:r>
          </w:p>
        </w:tc>
        <w:tc>
          <w:tcPr>
            <w:tcW w:w="2806" w:type="dxa"/>
            <w:vAlign w:val="center"/>
          </w:tcPr>
          <w:p>
            <w:pPr>
              <w:pStyle w:val="43"/>
            </w:pPr>
            <w:r>
              <w:t>0.0003</w:t>
            </w:r>
          </w:p>
        </w:tc>
        <w:tc>
          <w:tcPr>
            <w:tcW w:w="2792" w:type="dxa"/>
            <w:vAlign w:val="center"/>
          </w:tcPr>
          <w:p>
            <w:pPr>
              <w:pStyle w:val="43"/>
            </w:pPr>
            <w:r>
              <w:t>0.0000</w:t>
            </w:r>
          </w:p>
        </w:tc>
        <w:tc>
          <w:tcPr>
            <w:tcW w:w="2755" w:type="dxa"/>
            <w:vAlign w:val="center"/>
          </w:tcPr>
          <w:p>
            <w:pPr>
              <w:pStyle w:val="43"/>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12000</w:t>
            </w:r>
          </w:p>
        </w:tc>
        <w:tc>
          <w:tcPr>
            <w:tcW w:w="2814" w:type="dxa"/>
            <w:vAlign w:val="center"/>
          </w:tcPr>
          <w:p>
            <w:pPr>
              <w:pStyle w:val="43"/>
            </w:pPr>
            <w:r>
              <w:t>0.0006</w:t>
            </w:r>
          </w:p>
        </w:tc>
        <w:tc>
          <w:tcPr>
            <w:tcW w:w="2806" w:type="dxa"/>
            <w:vAlign w:val="center"/>
          </w:tcPr>
          <w:p>
            <w:pPr>
              <w:pStyle w:val="43"/>
            </w:pPr>
            <w:r>
              <w:t>0.0003</w:t>
            </w:r>
          </w:p>
        </w:tc>
        <w:tc>
          <w:tcPr>
            <w:tcW w:w="2792" w:type="dxa"/>
            <w:vAlign w:val="center"/>
          </w:tcPr>
          <w:p>
            <w:pPr>
              <w:pStyle w:val="43"/>
            </w:pPr>
            <w:r>
              <w:t>0.0000</w:t>
            </w:r>
          </w:p>
        </w:tc>
        <w:tc>
          <w:tcPr>
            <w:tcW w:w="2755" w:type="dxa"/>
            <w:vAlign w:val="center"/>
          </w:tcPr>
          <w:p>
            <w:pPr>
              <w:pStyle w:val="43"/>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13000</w:t>
            </w:r>
          </w:p>
        </w:tc>
        <w:tc>
          <w:tcPr>
            <w:tcW w:w="2814" w:type="dxa"/>
            <w:vAlign w:val="center"/>
          </w:tcPr>
          <w:p>
            <w:pPr>
              <w:pStyle w:val="43"/>
            </w:pPr>
            <w:r>
              <w:t>0.0005</w:t>
            </w:r>
          </w:p>
        </w:tc>
        <w:tc>
          <w:tcPr>
            <w:tcW w:w="2806" w:type="dxa"/>
            <w:vAlign w:val="center"/>
          </w:tcPr>
          <w:p>
            <w:pPr>
              <w:pStyle w:val="43"/>
            </w:pPr>
            <w:r>
              <w:t>0.0003</w:t>
            </w:r>
          </w:p>
        </w:tc>
        <w:tc>
          <w:tcPr>
            <w:tcW w:w="2792" w:type="dxa"/>
            <w:vAlign w:val="center"/>
          </w:tcPr>
          <w:p>
            <w:pPr>
              <w:pStyle w:val="43"/>
            </w:pPr>
            <w:r>
              <w:t>0.0000</w:t>
            </w:r>
          </w:p>
        </w:tc>
        <w:tc>
          <w:tcPr>
            <w:tcW w:w="2755" w:type="dxa"/>
            <w:vAlign w:val="center"/>
          </w:tcPr>
          <w:p>
            <w:pPr>
              <w:pStyle w:val="43"/>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14000</w:t>
            </w:r>
          </w:p>
        </w:tc>
        <w:tc>
          <w:tcPr>
            <w:tcW w:w="2814" w:type="dxa"/>
            <w:vAlign w:val="center"/>
          </w:tcPr>
          <w:p>
            <w:pPr>
              <w:pStyle w:val="43"/>
            </w:pPr>
            <w:r>
              <w:t>0.0005</w:t>
            </w:r>
          </w:p>
        </w:tc>
        <w:tc>
          <w:tcPr>
            <w:tcW w:w="2806" w:type="dxa"/>
            <w:vAlign w:val="center"/>
          </w:tcPr>
          <w:p>
            <w:pPr>
              <w:pStyle w:val="43"/>
            </w:pPr>
            <w:r>
              <w:t>0.0002</w:t>
            </w:r>
          </w:p>
        </w:tc>
        <w:tc>
          <w:tcPr>
            <w:tcW w:w="2792" w:type="dxa"/>
            <w:vAlign w:val="center"/>
          </w:tcPr>
          <w:p>
            <w:pPr>
              <w:pStyle w:val="43"/>
            </w:pPr>
            <w:r>
              <w:t>0.0000</w:t>
            </w:r>
          </w:p>
        </w:tc>
        <w:tc>
          <w:tcPr>
            <w:tcW w:w="2755" w:type="dxa"/>
            <w:vAlign w:val="center"/>
          </w:tcPr>
          <w:p>
            <w:pPr>
              <w:pStyle w:val="43"/>
            </w:pPr>
            <w: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15000</w:t>
            </w:r>
          </w:p>
        </w:tc>
        <w:tc>
          <w:tcPr>
            <w:tcW w:w="2814" w:type="dxa"/>
            <w:vAlign w:val="center"/>
          </w:tcPr>
          <w:p>
            <w:pPr>
              <w:pStyle w:val="43"/>
            </w:pPr>
            <w:r>
              <w:t>0.0004</w:t>
            </w:r>
          </w:p>
        </w:tc>
        <w:tc>
          <w:tcPr>
            <w:tcW w:w="2806" w:type="dxa"/>
            <w:vAlign w:val="center"/>
          </w:tcPr>
          <w:p>
            <w:pPr>
              <w:pStyle w:val="43"/>
            </w:pPr>
            <w:r>
              <w:t>0.0002</w:t>
            </w:r>
          </w:p>
        </w:tc>
        <w:tc>
          <w:tcPr>
            <w:tcW w:w="2792" w:type="dxa"/>
            <w:vAlign w:val="center"/>
          </w:tcPr>
          <w:p>
            <w:pPr>
              <w:pStyle w:val="43"/>
            </w:pPr>
            <w:r>
              <w:t>0.0000</w:t>
            </w:r>
          </w:p>
        </w:tc>
        <w:tc>
          <w:tcPr>
            <w:tcW w:w="2755" w:type="dxa"/>
            <w:vAlign w:val="center"/>
          </w:tcPr>
          <w:p>
            <w:pPr>
              <w:pStyle w:val="43"/>
            </w:pPr>
            <w: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20000</w:t>
            </w:r>
          </w:p>
        </w:tc>
        <w:tc>
          <w:tcPr>
            <w:tcW w:w="2814" w:type="dxa"/>
            <w:vAlign w:val="center"/>
          </w:tcPr>
          <w:p>
            <w:pPr>
              <w:pStyle w:val="43"/>
            </w:pPr>
            <w:r>
              <w:t>0.0003</w:t>
            </w:r>
          </w:p>
        </w:tc>
        <w:tc>
          <w:tcPr>
            <w:tcW w:w="2806" w:type="dxa"/>
            <w:vAlign w:val="center"/>
          </w:tcPr>
          <w:p>
            <w:pPr>
              <w:pStyle w:val="43"/>
            </w:pPr>
            <w:r>
              <w:t>0.0002</w:t>
            </w:r>
          </w:p>
        </w:tc>
        <w:tc>
          <w:tcPr>
            <w:tcW w:w="2792" w:type="dxa"/>
            <w:vAlign w:val="center"/>
          </w:tcPr>
          <w:p>
            <w:pPr>
              <w:pStyle w:val="43"/>
            </w:pPr>
            <w:r>
              <w:t>0.0000</w:t>
            </w:r>
          </w:p>
        </w:tc>
        <w:tc>
          <w:tcPr>
            <w:tcW w:w="2755" w:type="dxa"/>
            <w:vAlign w:val="center"/>
          </w:tcPr>
          <w:p>
            <w:pPr>
              <w:pStyle w:val="43"/>
            </w:pPr>
            <w: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25000</w:t>
            </w:r>
          </w:p>
        </w:tc>
        <w:tc>
          <w:tcPr>
            <w:tcW w:w="2814" w:type="dxa"/>
            <w:vAlign w:val="center"/>
          </w:tcPr>
          <w:p>
            <w:pPr>
              <w:pStyle w:val="43"/>
            </w:pPr>
            <w:r>
              <w:t>0.0002</w:t>
            </w:r>
          </w:p>
        </w:tc>
        <w:tc>
          <w:tcPr>
            <w:tcW w:w="2806" w:type="dxa"/>
            <w:vAlign w:val="center"/>
          </w:tcPr>
          <w:p>
            <w:pPr>
              <w:pStyle w:val="43"/>
            </w:pPr>
            <w:r>
              <w:t>0.0001</w:t>
            </w:r>
          </w:p>
        </w:tc>
        <w:tc>
          <w:tcPr>
            <w:tcW w:w="2792" w:type="dxa"/>
            <w:vAlign w:val="center"/>
          </w:tcPr>
          <w:p>
            <w:pPr>
              <w:pStyle w:val="43"/>
            </w:pPr>
            <w:r>
              <w:t>0.0000</w:t>
            </w:r>
          </w:p>
        </w:tc>
        <w:tc>
          <w:tcPr>
            <w:tcW w:w="2755" w:type="dxa"/>
            <w:vAlign w:val="center"/>
          </w:tcPr>
          <w:p>
            <w:pPr>
              <w:pStyle w:val="43"/>
            </w:pPr>
            <w: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b/>
                <w:kern w:val="0"/>
                <w:szCs w:val="20"/>
              </w:rPr>
            </w:pPr>
            <w:r>
              <w:rPr>
                <w:rFonts w:ascii="Times New Roman" w:hAnsi="Times New Roman" w:eastAsia="宋体" w:cs="Times New Roman"/>
                <w:b/>
                <w:kern w:val="0"/>
                <w:szCs w:val="20"/>
              </w:rPr>
              <w:t>下风向最大质量浓度及占标率</w:t>
            </w:r>
          </w:p>
        </w:tc>
        <w:tc>
          <w:tcPr>
            <w:tcW w:w="2814" w:type="dxa"/>
            <w:vAlign w:val="center"/>
          </w:tcPr>
          <w:p>
            <w:pPr>
              <w:pStyle w:val="43"/>
              <w:rPr>
                <w:b/>
              </w:rPr>
            </w:pPr>
            <w:r>
              <w:rPr>
                <w:b/>
              </w:rPr>
              <w:t>0.3612</w:t>
            </w:r>
          </w:p>
        </w:tc>
        <w:tc>
          <w:tcPr>
            <w:tcW w:w="2806" w:type="dxa"/>
            <w:vAlign w:val="center"/>
          </w:tcPr>
          <w:p>
            <w:pPr>
              <w:pStyle w:val="43"/>
              <w:rPr>
                <w:b/>
              </w:rPr>
            </w:pPr>
            <w:r>
              <w:rPr>
                <w:b/>
              </w:rPr>
              <w:t>0.1806</w:t>
            </w:r>
          </w:p>
        </w:tc>
        <w:tc>
          <w:tcPr>
            <w:tcW w:w="2792" w:type="dxa"/>
            <w:vAlign w:val="center"/>
          </w:tcPr>
          <w:p>
            <w:pPr>
              <w:pStyle w:val="43"/>
              <w:rPr>
                <w:b/>
              </w:rPr>
            </w:pPr>
            <w:r>
              <w:rPr>
                <w:b/>
              </w:rPr>
              <w:t>0.0120</w:t>
            </w:r>
          </w:p>
        </w:tc>
        <w:tc>
          <w:tcPr>
            <w:tcW w:w="2755" w:type="dxa"/>
            <w:vAlign w:val="center"/>
          </w:tcPr>
          <w:p>
            <w:pPr>
              <w:pStyle w:val="43"/>
              <w:rPr>
                <w:b/>
              </w:rPr>
            </w:pPr>
            <w:r>
              <w:rPr>
                <w:b/>
              </w:rPr>
              <w:t>0.1204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805" w:type="dxa"/>
            <w:vAlign w:val="center"/>
          </w:tcPr>
          <w:p>
            <w:pPr>
              <w:autoSpaceDE w:val="0"/>
              <w:autoSpaceDN w:val="0"/>
              <w:adjustRightInd w:val="0"/>
              <w:jc w:val="center"/>
              <w:textAlignment w:val="bottom"/>
              <w:rPr>
                <w:rFonts w:ascii="Times New Roman" w:hAnsi="Times New Roman" w:eastAsia="宋体" w:cs="Times New Roman"/>
                <w:b/>
                <w:kern w:val="0"/>
                <w:szCs w:val="20"/>
              </w:rPr>
            </w:pPr>
            <w:r>
              <w:rPr>
                <w:rFonts w:ascii="Times New Roman" w:hAnsi="Times New Roman" w:eastAsia="宋体" w:cs="Times New Roman"/>
                <w:b/>
                <w:kern w:val="0"/>
                <w:szCs w:val="20"/>
              </w:rPr>
              <w:t>地面最大浓度出现距离</w:t>
            </w:r>
          </w:p>
        </w:tc>
        <w:tc>
          <w:tcPr>
            <w:tcW w:w="11167" w:type="dxa"/>
            <w:gridSpan w:val="4"/>
            <w:vAlign w:val="center"/>
          </w:tcPr>
          <w:p>
            <w:pPr>
              <w:pStyle w:val="43"/>
              <w:rPr>
                <w:b/>
              </w:rPr>
            </w:pPr>
            <w:r>
              <w:rPr>
                <w:b/>
              </w:rPr>
              <w:t>28.0</w:t>
            </w:r>
          </w:p>
        </w:tc>
      </w:tr>
    </w:tbl>
    <w:p>
      <w:pPr>
        <w:pStyle w:val="22"/>
        <w:rPr>
          <w:rFonts w:cs="Times New Roman"/>
          <w:b w:val="0"/>
          <w:szCs w:val="24"/>
          <w:highlight w:val="yellow"/>
        </w:rPr>
      </w:pPr>
    </w:p>
    <w:p>
      <w:pPr>
        <w:pStyle w:val="22"/>
        <w:rPr>
          <w:rFonts w:cs="Times New Roman"/>
          <w:b w:val="0"/>
          <w:szCs w:val="24"/>
          <w:highlight w:val="yellow"/>
        </w:rPr>
      </w:pPr>
    </w:p>
    <w:p>
      <w:pPr>
        <w:pStyle w:val="22"/>
        <w:rPr>
          <w:rFonts w:cs="Times New Roman"/>
          <w:b w:val="0"/>
          <w:szCs w:val="24"/>
        </w:rPr>
        <w:sectPr>
          <w:headerReference r:id="rId46" w:type="default"/>
          <w:headerReference r:id="rId47" w:type="even"/>
          <w:pgSz w:w="16838" w:h="11906" w:orient="landscape"/>
          <w:pgMar w:top="1418" w:right="1418" w:bottom="1418" w:left="1418" w:header="851" w:footer="992" w:gutter="0"/>
          <w:pgNumType w:fmt="numberInDash"/>
          <w:cols w:space="425" w:num="1"/>
          <w:docGrid w:type="linesAndChars" w:linePitch="312" w:charSpace="0"/>
        </w:sectPr>
      </w:pPr>
      <w:r>
        <w:rPr>
          <w:rFonts w:cs="Times New Roman"/>
          <w:b w:val="0"/>
          <w:szCs w:val="24"/>
        </w:rPr>
        <w:t xml:space="preserve"> </w:t>
      </w:r>
    </w:p>
    <w:p>
      <w:pPr>
        <w:pStyle w:val="5"/>
      </w:pPr>
      <w:r>
        <w:rPr>
          <w:rFonts w:hint="eastAsia"/>
        </w:rPr>
        <w:t>污染物</w:t>
      </w:r>
      <w:r>
        <w:t>排放量核算</w:t>
      </w:r>
    </w:p>
    <w:p>
      <w:pPr>
        <w:pStyle w:val="40"/>
        <w:ind w:firstLine="480"/>
      </w:pPr>
      <w:r>
        <w:rPr>
          <w:rFonts w:hint="eastAsia"/>
        </w:rPr>
        <w:t>（1）正常</w:t>
      </w:r>
      <w:r>
        <w:t>工况源强核算</w:t>
      </w:r>
    </w:p>
    <w:p>
      <w:pPr>
        <w:adjustRightInd w:val="0"/>
        <w:snapToGrid w:val="0"/>
        <w:jc w:val="center"/>
        <w:rPr>
          <w:rFonts w:ascii="Times New Roman" w:hAnsi="Times New Roman" w:eastAsia="宋体" w:cs="Times New Roman"/>
          <w:b/>
          <w:snapToGrid w:val="0"/>
          <w:szCs w:val="24"/>
        </w:rPr>
      </w:pPr>
      <w:r>
        <w:rPr>
          <w:rFonts w:ascii="Times New Roman" w:hAnsi="Times New Roman" w:eastAsia="宋体" w:cs="Times New Roman"/>
          <w:b/>
          <w:color w:val="000000" w:themeColor="text1"/>
          <w:szCs w:val="24"/>
          <w14:textFill>
            <w14:solidFill>
              <w14:schemeClr w14:val="tx1"/>
            </w14:solidFill>
          </w14:textFill>
        </w:rPr>
        <w:t>表</w:t>
      </w:r>
      <w:r>
        <w:rPr>
          <w:rFonts w:ascii="Times New Roman" w:hAnsi="Times New Roman" w:eastAsia="宋体" w:cs="Times New Roman"/>
          <w:b/>
          <w:color w:val="000000" w:themeColor="text1"/>
          <w:szCs w:val="24"/>
          <w14:textFill>
            <w14:solidFill>
              <w14:schemeClr w14:val="tx1"/>
            </w14:solidFill>
          </w14:textFill>
        </w:rPr>
        <w:fldChar w:fldCharType="begin"/>
      </w:r>
      <w:r>
        <w:rPr>
          <w:rFonts w:ascii="Times New Roman" w:hAnsi="Times New Roman" w:eastAsia="宋体" w:cs="Times New Roman"/>
          <w:b/>
          <w:color w:val="000000" w:themeColor="text1"/>
          <w:szCs w:val="24"/>
          <w14:textFill>
            <w14:solidFill>
              <w14:schemeClr w14:val="tx1"/>
            </w14:solidFill>
          </w14:textFill>
        </w:rPr>
        <w:instrText xml:space="preserve"> STYLEREF 2 \s </w:instrText>
      </w:r>
      <w:r>
        <w:rPr>
          <w:rFonts w:ascii="Times New Roman" w:hAnsi="Times New Roman" w:eastAsia="宋体" w:cs="Times New Roman"/>
          <w:b/>
          <w:color w:val="000000" w:themeColor="text1"/>
          <w:szCs w:val="24"/>
          <w14:textFill>
            <w14:solidFill>
              <w14:schemeClr w14:val="tx1"/>
            </w14:solidFill>
          </w14:textFill>
        </w:rPr>
        <w:fldChar w:fldCharType="separate"/>
      </w:r>
      <w:r>
        <w:rPr>
          <w:rFonts w:ascii="Times New Roman" w:hAnsi="Times New Roman" w:eastAsia="宋体" w:cs="Times New Roman"/>
          <w:b/>
          <w:color w:val="000000" w:themeColor="text1"/>
          <w:szCs w:val="24"/>
          <w14:textFill>
            <w14:solidFill>
              <w14:schemeClr w14:val="tx1"/>
            </w14:solidFill>
          </w14:textFill>
        </w:rPr>
        <w:t>6.2</w:t>
      </w:r>
      <w:r>
        <w:rPr>
          <w:rFonts w:ascii="Times New Roman" w:hAnsi="Times New Roman" w:eastAsia="宋体" w:cs="Times New Roman"/>
          <w:b/>
          <w:color w:val="000000" w:themeColor="text1"/>
          <w:szCs w:val="24"/>
          <w14:textFill>
            <w14:solidFill>
              <w14:schemeClr w14:val="tx1"/>
            </w14:solidFill>
          </w14:textFill>
        </w:rPr>
        <w:fldChar w:fldCharType="end"/>
      </w:r>
      <w:r>
        <w:rPr>
          <w:rFonts w:ascii="Times New Roman" w:hAnsi="Times New Roman" w:eastAsia="宋体" w:cs="Times New Roman"/>
          <w:b/>
          <w:color w:val="000000" w:themeColor="text1"/>
          <w:szCs w:val="24"/>
          <w14:textFill>
            <w14:solidFill>
              <w14:schemeClr w14:val="tx1"/>
            </w14:solidFill>
          </w14:textFill>
        </w:rPr>
        <w:noBreakHyphen/>
      </w:r>
      <w:r>
        <w:rPr>
          <w:rFonts w:ascii="Times New Roman" w:hAnsi="Times New Roman" w:eastAsia="宋体" w:cs="Times New Roman"/>
          <w:b/>
          <w:color w:val="000000" w:themeColor="text1"/>
          <w:szCs w:val="24"/>
          <w14:textFill>
            <w14:solidFill>
              <w14:schemeClr w14:val="tx1"/>
            </w14:solidFill>
          </w14:textFill>
        </w:rPr>
        <w:t>5</w:t>
      </w:r>
      <w:r>
        <w:rPr>
          <w:rFonts w:ascii="Times New Roman" w:hAnsi="Times New Roman" w:eastAsia="宋体" w:cs="Times New Roman"/>
          <w:b/>
          <w:snapToGrid w:val="0"/>
          <w:szCs w:val="24"/>
        </w:rPr>
        <w:t xml:space="preserve">  大气污染物有组织排放量核算表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7"/>
        <w:gridCol w:w="1515"/>
        <w:gridCol w:w="1519"/>
        <w:gridCol w:w="1792"/>
        <w:gridCol w:w="1710"/>
        <w:gridCol w:w="17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序号</w:t>
            </w:r>
          </w:p>
        </w:tc>
        <w:tc>
          <w:tcPr>
            <w:tcW w:w="1515"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排放口编号</w:t>
            </w:r>
          </w:p>
        </w:tc>
        <w:tc>
          <w:tcPr>
            <w:tcW w:w="1519"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污染物</w:t>
            </w:r>
          </w:p>
        </w:tc>
        <w:tc>
          <w:tcPr>
            <w:tcW w:w="1792"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核算排放浓度</w:t>
            </w:r>
          </w:p>
          <w:p>
            <w:pPr>
              <w:jc w:val="center"/>
              <w:rPr>
                <w:rFonts w:ascii="Times New Roman" w:hAnsi="Times New Roman" w:eastAsia="宋体" w:cs="Times New Roman"/>
              </w:rPr>
            </w:pPr>
            <w:r>
              <w:rPr>
                <w:rFonts w:ascii="Times New Roman" w:hAnsi="Times New Roman" w:eastAsia="宋体" w:cs="Times New Roman"/>
              </w:rPr>
              <w:t>（μg/m</w:t>
            </w:r>
            <w:r>
              <w:rPr>
                <w:rFonts w:ascii="Times New Roman" w:hAnsi="Times New Roman" w:eastAsia="宋体" w:cs="Times New Roman"/>
                <w:vertAlign w:val="superscript"/>
              </w:rPr>
              <w:t>3</w:t>
            </w:r>
            <w:r>
              <w:rPr>
                <w:rFonts w:ascii="Times New Roman" w:hAnsi="Times New Roman" w:eastAsia="宋体" w:cs="Times New Roman"/>
              </w:rPr>
              <w:t>）</w:t>
            </w:r>
          </w:p>
        </w:tc>
        <w:tc>
          <w:tcPr>
            <w:tcW w:w="1710"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核算排放速率</w:t>
            </w:r>
          </w:p>
          <w:p>
            <w:pPr>
              <w:jc w:val="center"/>
              <w:rPr>
                <w:rFonts w:ascii="Times New Roman" w:hAnsi="Times New Roman" w:eastAsia="宋体" w:cs="Times New Roman"/>
              </w:rPr>
            </w:pPr>
            <w:r>
              <w:rPr>
                <w:rFonts w:ascii="Times New Roman" w:hAnsi="Times New Roman" w:eastAsia="宋体" w:cs="Times New Roman"/>
              </w:rPr>
              <w:t>（kg/h）</w:t>
            </w:r>
          </w:p>
        </w:tc>
        <w:tc>
          <w:tcPr>
            <w:tcW w:w="173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核算年排放量</w:t>
            </w:r>
          </w:p>
          <w:p>
            <w:pPr>
              <w:jc w:val="center"/>
              <w:rPr>
                <w:rFonts w:ascii="Times New Roman" w:hAnsi="Times New Roman" w:eastAsia="宋体" w:cs="Times New Roman"/>
              </w:rPr>
            </w:pPr>
            <w:r>
              <w:rPr>
                <w:rFonts w:ascii="Times New Roman" w:hAnsi="Times New Roman" w:eastAsia="宋体" w:cs="Times New Roman"/>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8870" w:type="dxa"/>
            <w:gridSpan w:val="6"/>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主要</w:t>
            </w:r>
            <w:r>
              <w:rPr>
                <w:rFonts w:ascii="Times New Roman" w:hAnsi="Times New Roman" w:eastAsia="宋体" w:cs="Times New Roman"/>
                <w:snapToGrid w:val="0"/>
                <w:kern w:val="0"/>
                <w:szCs w:val="21"/>
              </w:rPr>
              <w:t>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1515"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采暖</w:t>
            </w:r>
            <w:r>
              <w:rPr>
                <w:rFonts w:ascii="Times New Roman" w:hAnsi="Times New Roman" w:eastAsia="宋体" w:cs="Times New Roman"/>
                <w:snapToGrid w:val="0"/>
                <w:kern w:val="0"/>
                <w:szCs w:val="21"/>
              </w:rPr>
              <w:t>锅炉排气筒（P1）</w:t>
            </w:r>
          </w:p>
        </w:tc>
        <w:tc>
          <w:tcPr>
            <w:tcW w:w="1519"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792"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11140</w:t>
            </w:r>
          </w:p>
        </w:tc>
        <w:tc>
          <w:tcPr>
            <w:tcW w:w="1710" w:type="dxa"/>
            <w:shd w:val="clear" w:color="auto" w:fill="auto"/>
            <w:vAlign w:val="center"/>
          </w:tcPr>
          <w:p>
            <w:pPr>
              <w:widowControl/>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72</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2</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792" w:type="dxa"/>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18560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20</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3</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NOx</w:t>
            </w:r>
          </w:p>
        </w:tc>
        <w:tc>
          <w:tcPr>
            <w:tcW w:w="1792" w:type="dxa"/>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28120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0.182</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4</w:t>
            </w:r>
          </w:p>
        </w:tc>
        <w:tc>
          <w:tcPr>
            <w:tcW w:w="1515"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采暖</w:t>
            </w:r>
            <w:r>
              <w:rPr>
                <w:rFonts w:ascii="Times New Roman" w:hAnsi="Times New Roman" w:eastAsia="宋体" w:cs="Times New Roman"/>
                <w:snapToGrid w:val="0"/>
                <w:kern w:val="0"/>
                <w:szCs w:val="21"/>
              </w:rPr>
              <w:t>锅炉排气筒（</w:t>
            </w:r>
            <w:r>
              <w:rPr>
                <w:rFonts w:hint="eastAsia" w:ascii="Times New Roman" w:hAnsi="Times New Roman" w:eastAsia="宋体" w:cs="Times New Roman"/>
                <w:snapToGrid w:val="0"/>
                <w:kern w:val="0"/>
                <w:szCs w:val="21"/>
              </w:rPr>
              <w:t>P2</w:t>
            </w:r>
            <w:r>
              <w:rPr>
                <w:rFonts w:ascii="Times New Roman" w:hAnsi="Times New Roman" w:eastAsia="宋体" w:cs="Times New Roman"/>
                <w:snapToGrid w:val="0"/>
                <w:kern w:val="0"/>
                <w:szCs w:val="21"/>
              </w:rPr>
              <w:t>）</w:t>
            </w:r>
          </w:p>
        </w:tc>
        <w:tc>
          <w:tcPr>
            <w:tcW w:w="1519"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792"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11140</w:t>
            </w:r>
          </w:p>
        </w:tc>
        <w:tc>
          <w:tcPr>
            <w:tcW w:w="1710" w:type="dxa"/>
            <w:shd w:val="clear" w:color="auto" w:fill="auto"/>
            <w:vAlign w:val="center"/>
          </w:tcPr>
          <w:p>
            <w:pPr>
              <w:widowControl/>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72</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5</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792" w:type="dxa"/>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18560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20</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6</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NOx</w:t>
            </w:r>
          </w:p>
        </w:tc>
        <w:tc>
          <w:tcPr>
            <w:tcW w:w="1792" w:type="dxa"/>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28120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0.182</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7</w:t>
            </w:r>
          </w:p>
        </w:tc>
        <w:tc>
          <w:tcPr>
            <w:tcW w:w="1515"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热水锅炉</w:t>
            </w:r>
            <w:r>
              <w:rPr>
                <w:rFonts w:ascii="Times New Roman" w:hAnsi="Times New Roman" w:eastAsia="宋体" w:cs="Times New Roman"/>
                <w:snapToGrid w:val="0"/>
                <w:kern w:val="0"/>
                <w:szCs w:val="21"/>
              </w:rPr>
              <w:t>排气筒（</w:t>
            </w:r>
            <w:r>
              <w:rPr>
                <w:rFonts w:hint="eastAsia" w:ascii="Times New Roman" w:hAnsi="Times New Roman" w:eastAsia="宋体" w:cs="Times New Roman"/>
                <w:snapToGrid w:val="0"/>
                <w:kern w:val="0"/>
                <w:szCs w:val="21"/>
              </w:rPr>
              <w:t>P3</w:t>
            </w:r>
            <w:r>
              <w:rPr>
                <w:rFonts w:ascii="Times New Roman" w:hAnsi="Times New Roman" w:eastAsia="宋体" w:cs="Times New Roman"/>
                <w:snapToGrid w:val="0"/>
                <w:kern w:val="0"/>
                <w:szCs w:val="21"/>
              </w:rPr>
              <w:t>）</w:t>
            </w:r>
          </w:p>
        </w:tc>
        <w:tc>
          <w:tcPr>
            <w:tcW w:w="1519"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792"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14</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8</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792" w:type="dxa"/>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18560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23</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59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9</w:t>
            </w:r>
          </w:p>
        </w:tc>
        <w:tc>
          <w:tcPr>
            <w:tcW w:w="1515"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519"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NOx</w:t>
            </w:r>
          </w:p>
        </w:tc>
        <w:tc>
          <w:tcPr>
            <w:tcW w:w="1792"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000000"/>
                <w:szCs w:val="21"/>
              </w:rPr>
              <w:t>28120</w:t>
            </w:r>
          </w:p>
        </w:tc>
        <w:tc>
          <w:tcPr>
            <w:tcW w:w="171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0.0</w:t>
            </w:r>
            <w:r>
              <w:rPr>
                <w:rFonts w:ascii="Times New Roman" w:hAnsi="Times New Roman" w:cs="Times New Roman"/>
                <w:color w:val="FF0000"/>
                <w:szCs w:val="21"/>
              </w:rPr>
              <w:t>34</w:t>
            </w:r>
          </w:p>
        </w:tc>
        <w:tc>
          <w:tcPr>
            <w:tcW w:w="1737" w:type="dxa"/>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112" w:type="dxa"/>
            <w:gridSpan w:val="2"/>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r>
              <w:rPr>
                <w:rFonts w:ascii="Times New Roman" w:hAnsi="Times New Roman" w:eastAsia="宋体" w:cs="Times New Roman"/>
                <w:snapToGrid w:val="0"/>
                <w:kern w:val="0"/>
                <w:szCs w:val="21"/>
              </w:rPr>
              <w:t>主要排放口合计</w:t>
            </w:r>
          </w:p>
        </w:tc>
        <w:tc>
          <w:tcPr>
            <w:tcW w:w="5021" w:type="dxa"/>
            <w:gridSpan w:val="3"/>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737" w:type="dxa"/>
            <w:shd w:val="clear" w:color="auto" w:fill="auto"/>
            <w:vAlign w:val="center"/>
          </w:tcPr>
          <w:p>
            <w:pPr>
              <w:widowControl/>
              <w:jc w:val="center"/>
              <w:rPr>
                <w:rFonts w:ascii="Times New Roman" w:hAnsi="Times New Roman" w:cs="Times New Roman"/>
                <w:color w:val="FF0000"/>
                <w:szCs w:val="21"/>
              </w:rPr>
            </w:pPr>
            <w:r>
              <w:rPr>
                <w:rFonts w:hint="eastAsia" w:ascii="Times New Roman" w:hAnsi="Times New Roman" w:cs="Times New Roman"/>
                <w:color w:val="FF0000"/>
                <w:szCs w:val="21"/>
              </w:rPr>
              <w:t>0.</w:t>
            </w:r>
            <w:r>
              <w:rPr>
                <w:rFonts w:ascii="Times New Roman" w:hAnsi="Times New Roman" w:cs="Times New Roman"/>
                <w:color w:val="FF0000"/>
                <w:szCs w:val="21"/>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112" w:type="dxa"/>
            <w:gridSpan w:val="2"/>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5021" w:type="dxa"/>
            <w:gridSpan w:val="3"/>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737"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w:t>
            </w:r>
            <w:r>
              <w:rPr>
                <w:rFonts w:ascii="Times New Roman" w:hAnsi="Times New Roman" w:cs="Times New Roman"/>
                <w:color w:val="FF0000"/>
                <w:szCs w:val="21"/>
              </w:rPr>
              <w:t>271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2112" w:type="dxa"/>
            <w:gridSpan w:val="2"/>
            <w:vMerge w:val="continue"/>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highlight w:val="yellow"/>
                <w14:textFill>
                  <w14:solidFill>
                    <w14:schemeClr w14:val="tx1"/>
                  </w14:solidFill>
                </w14:textFill>
              </w:rPr>
            </w:pPr>
          </w:p>
        </w:tc>
        <w:tc>
          <w:tcPr>
            <w:tcW w:w="5021" w:type="dxa"/>
            <w:gridSpan w:val="3"/>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yellow"/>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NOx</w:t>
            </w:r>
          </w:p>
        </w:tc>
        <w:tc>
          <w:tcPr>
            <w:tcW w:w="1737" w:type="dxa"/>
            <w:shd w:val="clear" w:color="auto" w:fill="auto"/>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hint="eastAsia" w:ascii="Times New Roman" w:hAnsi="Times New Roman" w:cs="Times New Roman"/>
                <w:color w:val="FF0000"/>
                <w:szCs w:val="21"/>
              </w:rPr>
              <w:t>0.</w:t>
            </w:r>
            <w:r>
              <w:rPr>
                <w:rFonts w:ascii="Times New Roman" w:hAnsi="Times New Roman" w:cs="Times New Roman"/>
                <w:color w:val="FF0000"/>
                <w:szCs w:val="21"/>
              </w:rPr>
              <w:t>409</w:t>
            </w:r>
          </w:p>
        </w:tc>
      </w:tr>
    </w:tbl>
    <w:p>
      <w:pPr>
        <w:pStyle w:val="22"/>
        <w:rPr>
          <w:snapToGrid w:val="0"/>
        </w:rPr>
      </w:pPr>
      <w:r>
        <w:rPr>
          <w:color w:val="000000" w:themeColor="text1"/>
          <w14:textFill>
            <w14:solidFill>
              <w14:schemeClr w14:val="tx1"/>
            </w14:solidFill>
          </w14:textFill>
        </w:rPr>
        <w:t>表</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STYLEREF 2 \s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6.2</w:t>
      </w:r>
      <w:r>
        <w:rPr>
          <w:color w:val="000000" w:themeColor="text1"/>
          <w14:textFill>
            <w14:solidFill>
              <w14:schemeClr w14:val="tx1"/>
            </w14:solidFill>
          </w14:textFill>
        </w:rPr>
        <w:fldChar w:fldCharType="end"/>
      </w:r>
      <w:r>
        <w:rPr>
          <w:color w:val="000000" w:themeColor="text1"/>
          <w14:textFill>
            <w14:solidFill>
              <w14:schemeClr w14:val="tx1"/>
            </w14:solidFill>
          </w14:textFill>
        </w:rPr>
        <w:noBreakHyphen/>
      </w:r>
      <w:r>
        <w:rPr>
          <w:color w:val="000000" w:themeColor="text1"/>
          <w14:textFill>
            <w14:solidFill>
              <w14:schemeClr w14:val="tx1"/>
            </w14:solidFill>
          </w14:textFill>
        </w:rPr>
        <w:t>6</w:t>
      </w:r>
      <w:r>
        <w:rPr>
          <w:snapToGrid w:val="0"/>
          <w:color w:val="FF0000"/>
        </w:rPr>
        <w:t xml:space="preserve"> </w:t>
      </w:r>
      <w:r>
        <w:rPr>
          <w:snapToGrid w:val="0"/>
        </w:rPr>
        <w:t xml:space="preserve"> 大气污染物无组织排放量核算表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958"/>
        <w:gridCol w:w="727"/>
        <w:gridCol w:w="1063"/>
        <w:gridCol w:w="1032"/>
        <w:gridCol w:w="2152"/>
        <w:gridCol w:w="1375"/>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6"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序号</w:t>
            </w:r>
          </w:p>
        </w:tc>
        <w:tc>
          <w:tcPr>
            <w:tcW w:w="958"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排放口编号</w:t>
            </w:r>
          </w:p>
        </w:tc>
        <w:tc>
          <w:tcPr>
            <w:tcW w:w="727"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产污环节</w:t>
            </w:r>
          </w:p>
        </w:tc>
        <w:tc>
          <w:tcPr>
            <w:tcW w:w="1063" w:type="dxa"/>
            <w:vMerge w:val="restart"/>
            <w:shd w:val="clear" w:color="auto" w:fill="auto"/>
            <w:vAlign w:val="center"/>
          </w:tcPr>
          <w:p>
            <w:pPr>
              <w:rPr>
                <w:rFonts w:ascii="Times New Roman" w:hAnsi="Times New Roman" w:eastAsia="宋体" w:cs="Times New Roman"/>
                <w:highlight w:val="yellow"/>
              </w:rPr>
            </w:pPr>
            <w:r>
              <w:rPr>
                <w:rFonts w:ascii="Times New Roman" w:hAnsi="Times New Roman" w:eastAsia="宋体" w:cs="Times New Roman"/>
              </w:rPr>
              <w:t>污染物</w:t>
            </w:r>
          </w:p>
        </w:tc>
        <w:tc>
          <w:tcPr>
            <w:tcW w:w="1032" w:type="dxa"/>
            <w:vMerge w:val="restart"/>
            <w:shd w:val="clear" w:color="auto" w:fill="auto"/>
            <w:vAlign w:val="center"/>
          </w:tcPr>
          <w:p>
            <w:pPr>
              <w:rPr>
                <w:rFonts w:ascii="Times New Roman" w:hAnsi="Times New Roman" w:eastAsia="宋体" w:cs="Times New Roman"/>
              </w:rPr>
            </w:pPr>
            <w:r>
              <w:rPr>
                <w:rFonts w:ascii="Times New Roman" w:hAnsi="Times New Roman" w:eastAsia="宋体" w:cs="Times New Roman"/>
              </w:rPr>
              <w:t>主要污染防治措施</w:t>
            </w:r>
          </w:p>
        </w:tc>
        <w:tc>
          <w:tcPr>
            <w:tcW w:w="3527" w:type="dxa"/>
            <w:gridSpan w:val="2"/>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国家或地方污染物排放标准</w:t>
            </w:r>
          </w:p>
        </w:tc>
        <w:tc>
          <w:tcPr>
            <w:tcW w:w="1107" w:type="dxa"/>
            <w:vMerge w:val="restart"/>
            <w:shd w:val="clear" w:color="auto" w:fill="auto"/>
            <w:vAlign w:val="center"/>
          </w:tcPr>
          <w:p>
            <w:pPr>
              <w:adjustRightInd w:val="0"/>
              <w:snapToGrid w:val="0"/>
              <w:jc w:val="center"/>
              <w:rPr>
                <w:rFonts w:ascii="Times New Roman" w:hAnsi="Times New Roman" w:eastAsia="宋体" w:cs="Times New Roman"/>
                <w:kern w:val="0"/>
                <w:szCs w:val="20"/>
              </w:rPr>
            </w:pPr>
            <w:r>
              <w:rPr>
                <w:rFonts w:ascii="Times New Roman" w:hAnsi="Times New Roman" w:eastAsia="宋体" w:cs="Times New Roman"/>
                <w:snapToGrid w:val="0"/>
                <w:kern w:val="0"/>
                <w:szCs w:val="21"/>
              </w:rPr>
              <w:t>核算年排放量/</w:t>
            </w:r>
            <w:r>
              <w:rPr>
                <w:rFonts w:ascii="Times New Roman" w:hAnsi="Times New Roman" w:eastAsia="宋体" w:cs="Times New Roman"/>
                <w:kern w:val="0"/>
                <w:szCs w:val="20"/>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6"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958"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727"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063"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1032"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2152"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标准名称</w:t>
            </w:r>
          </w:p>
        </w:tc>
        <w:tc>
          <w:tcPr>
            <w:tcW w:w="1375"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浓度限值</w:t>
            </w:r>
          </w:p>
          <w:p>
            <w:pPr>
              <w:rPr>
                <w:rFonts w:ascii="Times New Roman" w:hAnsi="Times New Roman" w:eastAsia="宋体" w:cs="Times New Roman"/>
              </w:rPr>
            </w:pPr>
            <w:r>
              <w:rPr>
                <w:rFonts w:ascii="Times New Roman" w:hAnsi="Times New Roman" w:eastAsia="宋体" w:cs="Times New Roman"/>
              </w:rPr>
              <w:t>（mg/m</w:t>
            </w:r>
            <w:r>
              <w:rPr>
                <w:rFonts w:ascii="Times New Roman" w:hAnsi="Times New Roman" w:eastAsia="宋体" w:cs="Times New Roman"/>
                <w:vertAlign w:val="superscript"/>
              </w:rPr>
              <w:t>3</w:t>
            </w:r>
            <w:r>
              <w:rPr>
                <w:rFonts w:ascii="Times New Roman" w:hAnsi="Times New Roman" w:eastAsia="宋体" w:cs="Times New Roman"/>
              </w:rPr>
              <w:t>）</w:t>
            </w:r>
          </w:p>
        </w:tc>
        <w:tc>
          <w:tcPr>
            <w:tcW w:w="1107"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456"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958"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污水</w:t>
            </w:r>
            <w:r>
              <w:rPr>
                <w:rFonts w:ascii="Times New Roman" w:hAnsi="Times New Roman" w:eastAsia="宋体" w:cs="Times New Roman"/>
                <w:snapToGrid w:val="0"/>
                <w:kern w:val="0"/>
                <w:szCs w:val="21"/>
              </w:rPr>
              <w:t>处理站</w:t>
            </w:r>
          </w:p>
        </w:tc>
        <w:tc>
          <w:tcPr>
            <w:tcW w:w="727"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污水</w:t>
            </w:r>
            <w:r>
              <w:rPr>
                <w:rFonts w:ascii="Times New Roman" w:hAnsi="Times New Roman" w:eastAsia="宋体" w:cs="Times New Roman"/>
                <w:snapToGrid w:val="0"/>
                <w:kern w:val="0"/>
                <w:szCs w:val="21"/>
              </w:rPr>
              <w:t>处理</w:t>
            </w:r>
            <w:r>
              <w:rPr>
                <w:rFonts w:hint="eastAsia" w:ascii="Times New Roman" w:hAnsi="Times New Roman" w:eastAsia="宋体" w:cs="Times New Roman"/>
                <w:snapToGrid w:val="0"/>
                <w:kern w:val="0"/>
                <w:szCs w:val="21"/>
              </w:rPr>
              <w:t>过程</w:t>
            </w:r>
          </w:p>
        </w:tc>
        <w:tc>
          <w:tcPr>
            <w:tcW w:w="1063" w:type="dxa"/>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NH</w:t>
            </w:r>
            <w:r>
              <w:rPr>
                <w:rFonts w:hint="eastAsia" w:ascii="Times New Roman" w:hAnsi="Times New Roman" w:cs="Times New Roman"/>
                <w:color w:val="000000"/>
                <w:kern w:val="2"/>
                <w:sz w:val="21"/>
                <w:szCs w:val="21"/>
                <w:vertAlign w:val="subscript"/>
                <w:lang w:val="en-US"/>
              </w:rPr>
              <w:t>3</w:t>
            </w:r>
          </w:p>
        </w:tc>
        <w:tc>
          <w:tcPr>
            <w:tcW w:w="1032" w:type="dxa"/>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采用地埋式，并加盖板密闭，定期喷洒生物除臭剂</w:t>
            </w:r>
            <w:r>
              <w:rPr>
                <w:rFonts w:ascii="Times New Roman" w:hAnsi="Times New Roman" w:eastAsia="宋体" w:cs="Times New Roman"/>
                <w:snapToGrid w:val="0"/>
                <w:kern w:val="0"/>
                <w:szCs w:val="21"/>
              </w:rPr>
              <w:t xml:space="preserve"> </w:t>
            </w:r>
          </w:p>
        </w:tc>
        <w:tc>
          <w:tcPr>
            <w:tcW w:w="2152" w:type="dxa"/>
            <w:vMerge w:val="restart"/>
            <w:shd w:val="clear" w:color="auto" w:fill="auto"/>
            <w:vAlign w:val="center"/>
          </w:tcPr>
          <w:p>
            <w:pPr>
              <w:adjustRightInd w:val="0"/>
              <w:snapToGrid w:val="0"/>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医疗机构水污染物排放标准》（GB18466-2005）中表3的标准要求</w:t>
            </w:r>
          </w:p>
        </w:tc>
        <w:tc>
          <w:tcPr>
            <w:tcW w:w="1375" w:type="dxa"/>
            <w:shd w:val="clear" w:color="auto" w:fill="auto"/>
            <w:vAlign w:val="center"/>
          </w:tcPr>
          <w:p>
            <w:pPr>
              <w:pStyle w:val="78"/>
              <w:adjustRightInd/>
              <w:rPr>
                <w:color w:val="000000"/>
                <w:szCs w:val="21"/>
              </w:rPr>
            </w:pPr>
            <w:r>
              <w:rPr>
                <w:rFonts w:hint="eastAsia"/>
                <w:color w:val="000000"/>
                <w:szCs w:val="21"/>
              </w:rPr>
              <w:t>1</w:t>
            </w:r>
            <w:r>
              <w:rPr>
                <w:color w:val="000000"/>
                <w:szCs w:val="21"/>
              </w:rPr>
              <w:t>.0mg/m</w:t>
            </w:r>
            <w:r>
              <w:rPr>
                <w:color w:val="000000"/>
                <w:szCs w:val="21"/>
                <w:vertAlign w:val="superscript"/>
              </w:rPr>
              <w:t>3</w:t>
            </w:r>
          </w:p>
        </w:tc>
        <w:tc>
          <w:tcPr>
            <w:tcW w:w="1107" w:type="dxa"/>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2" w:hRule="atLeast"/>
        </w:trPr>
        <w:tc>
          <w:tcPr>
            <w:tcW w:w="456"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958"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727"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1063" w:type="dxa"/>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H</w:t>
            </w:r>
            <w:r>
              <w:rPr>
                <w:rFonts w:hint="eastAsia" w:ascii="Times New Roman" w:hAnsi="Times New Roman" w:cs="Times New Roman"/>
                <w:color w:val="000000"/>
                <w:kern w:val="2"/>
                <w:sz w:val="21"/>
                <w:szCs w:val="21"/>
                <w:vertAlign w:val="subscript"/>
                <w:lang w:val="en-US"/>
              </w:rPr>
              <w:t>2</w:t>
            </w:r>
            <w:r>
              <w:rPr>
                <w:rFonts w:hint="eastAsia" w:ascii="Times New Roman" w:hAnsi="Times New Roman" w:cs="Times New Roman"/>
                <w:color w:val="000000"/>
                <w:kern w:val="2"/>
                <w:sz w:val="21"/>
                <w:szCs w:val="21"/>
                <w:lang w:val="en-US"/>
              </w:rPr>
              <w:t>S</w:t>
            </w:r>
          </w:p>
        </w:tc>
        <w:tc>
          <w:tcPr>
            <w:tcW w:w="1032"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2152" w:type="dxa"/>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rPr>
            </w:pPr>
          </w:p>
        </w:tc>
        <w:tc>
          <w:tcPr>
            <w:tcW w:w="1375" w:type="dxa"/>
            <w:shd w:val="clear" w:color="auto" w:fill="auto"/>
            <w:vAlign w:val="center"/>
          </w:tcPr>
          <w:p>
            <w:pPr>
              <w:pStyle w:val="78"/>
              <w:adjustRightInd/>
              <w:rPr>
                <w:color w:val="000000"/>
                <w:szCs w:val="21"/>
              </w:rPr>
            </w:pPr>
            <w:r>
              <w:rPr>
                <w:rFonts w:hint="eastAsia"/>
                <w:color w:val="000000"/>
                <w:szCs w:val="21"/>
              </w:rPr>
              <w:t>0.03</w:t>
            </w:r>
            <w:r>
              <w:rPr>
                <w:color w:val="000000"/>
                <w:szCs w:val="21"/>
              </w:rPr>
              <w:t>mg/m</w:t>
            </w:r>
            <w:r>
              <w:rPr>
                <w:color w:val="000000"/>
                <w:szCs w:val="21"/>
                <w:vertAlign w:val="superscript"/>
              </w:rPr>
              <w:t>3</w:t>
            </w:r>
          </w:p>
        </w:tc>
        <w:tc>
          <w:tcPr>
            <w:tcW w:w="110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870" w:type="dxa"/>
            <w:gridSpan w:val="8"/>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r>
              <w:rPr>
                <w:rFonts w:ascii="Times New Roman" w:hAnsi="Times New Roman" w:eastAsia="宋体" w:cs="Times New Roman"/>
                <w:snapToGrid w:val="0"/>
                <w:kern w:val="0"/>
                <w:szCs w:val="21"/>
              </w:rPr>
              <w:t>无组织排放总计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204" w:type="dxa"/>
            <w:gridSpan w:val="4"/>
            <w:vMerge w:val="restart"/>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r>
              <w:rPr>
                <w:rFonts w:ascii="Times New Roman" w:hAnsi="Times New Roman" w:eastAsia="宋体" w:cs="Times New Roman"/>
                <w:snapToGrid w:val="0"/>
                <w:kern w:val="0"/>
                <w:szCs w:val="21"/>
              </w:rPr>
              <w:t>无组织排放总计</w:t>
            </w:r>
          </w:p>
        </w:tc>
        <w:tc>
          <w:tcPr>
            <w:tcW w:w="4559" w:type="dxa"/>
            <w:gridSpan w:val="3"/>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NH</w:t>
            </w:r>
            <w:r>
              <w:rPr>
                <w:rFonts w:hint="eastAsia" w:ascii="Times New Roman" w:hAnsi="Times New Roman" w:cs="Times New Roman"/>
                <w:color w:val="000000"/>
                <w:kern w:val="2"/>
                <w:sz w:val="21"/>
                <w:szCs w:val="21"/>
                <w:vertAlign w:val="subscript"/>
                <w:lang w:val="en-US"/>
              </w:rPr>
              <w:t>3</w:t>
            </w:r>
          </w:p>
        </w:tc>
        <w:tc>
          <w:tcPr>
            <w:tcW w:w="1107" w:type="dxa"/>
            <w:shd w:val="clear" w:color="auto" w:fill="auto"/>
            <w:vAlign w:val="center"/>
          </w:tcPr>
          <w:p>
            <w:pPr>
              <w:pStyle w:val="47"/>
            </w:pPr>
            <w:r>
              <w:rPr>
                <w:rFonts w:hint="eastAsia"/>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3204" w:type="dxa"/>
            <w:gridSpan w:val="4"/>
            <w:vMerge w:val="continue"/>
            <w:shd w:val="clear" w:color="auto" w:fill="auto"/>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4559" w:type="dxa"/>
            <w:gridSpan w:val="3"/>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H</w:t>
            </w:r>
            <w:r>
              <w:rPr>
                <w:rFonts w:hint="eastAsia" w:ascii="Times New Roman" w:hAnsi="Times New Roman" w:cs="Times New Roman"/>
                <w:color w:val="000000"/>
                <w:kern w:val="2"/>
                <w:sz w:val="21"/>
                <w:szCs w:val="21"/>
                <w:vertAlign w:val="subscript"/>
                <w:lang w:val="en-US"/>
              </w:rPr>
              <w:t>2</w:t>
            </w:r>
            <w:r>
              <w:rPr>
                <w:rFonts w:hint="eastAsia" w:ascii="Times New Roman" w:hAnsi="Times New Roman" w:cs="Times New Roman"/>
                <w:color w:val="000000"/>
                <w:kern w:val="2"/>
                <w:sz w:val="21"/>
                <w:szCs w:val="21"/>
                <w:lang w:val="en-US"/>
              </w:rPr>
              <w:t>S</w:t>
            </w:r>
          </w:p>
        </w:tc>
        <w:tc>
          <w:tcPr>
            <w:tcW w:w="1107" w:type="dxa"/>
            <w:shd w:val="clear" w:color="auto" w:fill="auto"/>
            <w:vAlign w:val="center"/>
          </w:tcPr>
          <w:p>
            <w:pPr>
              <w:pStyle w:val="47"/>
            </w:pPr>
            <w:r>
              <w:rPr>
                <w:rFonts w:hint="eastAsia"/>
              </w:rPr>
              <w:t>0.0001</w:t>
            </w:r>
          </w:p>
        </w:tc>
      </w:tr>
    </w:tbl>
    <w:p>
      <w:pPr>
        <w:pStyle w:val="22"/>
        <w:rPr>
          <w:snapToGrid w:val="0"/>
        </w:rPr>
      </w:pPr>
      <w:r>
        <w:t>表</w:t>
      </w:r>
      <w:r>
        <w:fldChar w:fldCharType="begin"/>
      </w:r>
      <w:r>
        <w:instrText xml:space="preserve"> STYLEREF 2 \s </w:instrText>
      </w:r>
      <w:r>
        <w:fldChar w:fldCharType="separate"/>
      </w:r>
      <w:r>
        <w:t>6.2</w:t>
      </w:r>
      <w:r>
        <w:fldChar w:fldCharType="end"/>
      </w:r>
      <w:r>
        <w:rPr>
          <w:color w:val="FF0000"/>
        </w:rPr>
        <w:noBreakHyphen/>
      </w:r>
      <w:r>
        <w:rPr>
          <w:color w:val="000000" w:themeColor="text1"/>
          <w14:textFill>
            <w14:solidFill>
              <w14:schemeClr w14:val="tx1"/>
            </w14:solidFill>
          </w14:textFill>
        </w:rPr>
        <w:t>7</w:t>
      </w:r>
      <w:r>
        <w:rPr>
          <w:snapToGrid w:val="0"/>
          <w:color w:val="000000" w:themeColor="text1"/>
          <w14:textFill>
            <w14:solidFill>
              <w14:schemeClr w14:val="tx1"/>
            </w14:solidFill>
          </w14:textFill>
        </w:rPr>
        <w:t xml:space="preserve"> </w:t>
      </w:r>
      <w:r>
        <w:rPr>
          <w:snapToGrid w:val="0"/>
        </w:rPr>
        <w:t xml:space="preserve"> 大气污染物年排放量核算表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7"/>
        <w:gridCol w:w="3023"/>
        <w:gridCol w:w="41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序号</w:t>
            </w:r>
          </w:p>
        </w:tc>
        <w:tc>
          <w:tcPr>
            <w:tcW w:w="302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污染物</w:t>
            </w:r>
          </w:p>
        </w:tc>
        <w:tc>
          <w:tcPr>
            <w:tcW w:w="4180" w:type="dxa"/>
            <w:shd w:val="clear" w:color="auto" w:fill="auto"/>
            <w:vAlign w:val="center"/>
          </w:tcPr>
          <w:p>
            <w:pPr>
              <w:adjustRightInd w:val="0"/>
              <w:snapToGrid w:val="0"/>
              <w:jc w:val="center"/>
              <w:rPr>
                <w:rFonts w:ascii="Times New Roman" w:hAnsi="Times New Roman" w:eastAsia="宋体" w:cs="Times New Roman"/>
                <w:kern w:val="0"/>
                <w:szCs w:val="20"/>
              </w:rPr>
            </w:pPr>
            <w:r>
              <w:rPr>
                <w:rFonts w:ascii="Times New Roman" w:hAnsi="Times New Roman" w:eastAsia="宋体" w:cs="Times New Roman"/>
                <w:snapToGrid w:val="0"/>
                <w:kern w:val="0"/>
                <w:szCs w:val="21"/>
              </w:rPr>
              <w:t>年排放量</w:t>
            </w:r>
            <w:r>
              <w:rPr>
                <w:rFonts w:ascii="Times New Roman" w:hAnsi="Times New Roman" w:eastAsia="宋体" w:cs="Times New Roman"/>
                <w:kern w:val="0"/>
                <w:szCs w:val="20"/>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1</w:t>
            </w:r>
          </w:p>
        </w:tc>
        <w:tc>
          <w:tcPr>
            <w:tcW w:w="3023"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4180" w:type="dxa"/>
            <w:shd w:val="clear" w:color="auto" w:fill="auto"/>
            <w:vAlign w:val="center"/>
          </w:tcPr>
          <w:p>
            <w:pPr>
              <w:widowControl/>
              <w:jc w:val="center"/>
              <w:rPr>
                <w:rFonts w:ascii="Times New Roman" w:hAnsi="Times New Roman" w:cs="Times New Roman"/>
                <w:color w:val="FF0000"/>
                <w:szCs w:val="21"/>
              </w:rPr>
            </w:pPr>
            <w:r>
              <w:rPr>
                <w:rFonts w:hint="eastAsia" w:ascii="Times New Roman" w:hAnsi="Times New Roman" w:cs="Times New Roman"/>
                <w:color w:val="FF0000"/>
                <w:szCs w:val="21"/>
              </w:rPr>
              <w:t>0.</w:t>
            </w:r>
            <w:r>
              <w:rPr>
                <w:rFonts w:ascii="Times New Roman" w:hAnsi="Times New Roman" w:cs="Times New Roman"/>
                <w:color w:val="FF0000"/>
                <w:szCs w:val="21"/>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2</w:t>
            </w:r>
          </w:p>
        </w:tc>
        <w:tc>
          <w:tcPr>
            <w:tcW w:w="3023"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4180" w:type="dxa"/>
            <w:shd w:val="clear" w:color="auto" w:fill="auto"/>
            <w:vAlign w:val="center"/>
          </w:tcPr>
          <w:p>
            <w:pPr>
              <w:jc w:val="center"/>
              <w:rPr>
                <w:rFonts w:ascii="Times New Roman" w:hAnsi="Times New Roman" w:cs="Times New Roman"/>
                <w:color w:val="FF0000"/>
                <w:szCs w:val="21"/>
              </w:rPr>
            </w:pPr>
            <w:r>
              <w:rPr>
                <w:rFonts w:hint="eastAsia" w:ascii="Times New Roman" w:hAnsi="Times New Roman" w:cs="Times New Roman"/>
                <w:color w:val="FF0000"/>
                <w:szCs w:val="21"/>
              </w:rPr>
              <w:t>0.</w:t>
            </w:r>
            <w:r>
              <w:rPr>
                <w:rFonts w:ascii="Times New Roman" w:hAnsi="Times New Roman" w:cs="Times New Roman"/>
                <w:color w:val="FF0000"/>
                <w:szCs w:val="21"/>
              </w:rPr>
              <w:t>271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3</w:t>
            </w:r>
          </w:p>
        </w:tc>
        <w:tc>
          <w:tcPr>
            <w:tcW w:w="3023" w:type="dxa"/>
            <w:shd w:val="clear" w:color="auto" w:fill="auto"/>
            <w:vAlign w:val="center"/>
          </w:tcPr>
          <w:p>
            <w:pPr>
              <w:adjustRightInd w:val="0"/>
              <w:snapToGrid w:val="0"/>
              <w:jc w:val="center"/>
              <w:rPr>
                <w:rFonts w:ascii="Times New Roman" w:hAnsi="Times New Roman" w:eastAsia="宋体" w:cs="Times New Roman"/>
                <w:color w:val="000000" w:themeColor="text1"/>
                <w:szCs w:val="21"/>
                <w:highlight w:val="yellow"/>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NOx</w:t>
            </w:r>
          </w:p>
        </w:tc>
        <w:tc>
          <w:tcPr>
            <w:tcW w:w="4180" w:type="dxa"/>
            <w:shd w:val="clear" w:color="auto" w:fill="auto"/>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hint="eastAsia" w:ascii="Times New Roman" w:hAnsi="Times New Roman" w:cs="Times New Roman"/>
                <w:color w:val="FF0000"/>
                <w:szCs w:val="21"/>
              </w:rPr>
              <w:t>0.</w:t>
            </w:r>
            <w:r>
              <w:rPr>
                <w:rFonts w:ascii="Times New Roman" w:hAnsi="Times New Roman" w:cs="Times New Roman"/>
                <w:color w:val="FF0000"/>
                <w:szCs w:val="21"/>
              </w:rPr>
              <w:t>409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4</w:t>
            </w:r>
          </w:p>
        </w:tc>
        <w:tc>
          <w:tcPr>
            <w:tcW w:w="3023" w:type="dxa"/>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NH</w:t>
            </w:r>
            <w:r>
              <w:rPr>
                <w:rFonts w:hint="eastAsia" w:ascii="Times New Roman" w:hAnsi="Times New Roman" w:cs="Times New Roman"/>
                <w:color w:val="000000"/>
                <w:kern w:val="2"/>
                <w:sz w:val="21"/>
                <w:szCs w:val="21"/>
                <w:vertAlign w:val="subscript"/>
                <w:lang w:val="en-US"/>
              </w:rPr>
              <w:t>3</w:t>
            </w:r>
          </w:p>
        </w:tc>
        <w:tc>
          <w:tcPr>
            <w:tcW w:w="4180" w:type="dxa"/>
            <w:shd w:val="clear" w:color="auto" w:fill="auto"/>
            <w:vAlign w:val="center"/>
          </w:tcPr>
          <w:p>
            <w:pPr>
              <w:pStyle w:val="47"/>
            </w:pPr>
            <w:r>
              <w:rPr>
                <w:rFonts w:hint="eastAsia"/>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166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hint="eastAsia" w:ascii="Times New Roman" w:hAnsi="Times New Roman" w:eastAsia="宋体" w:cs="Times New Roman"/>
                <w:snapToGrid w:val="0"/>
                <w:color w:val="000000" w:themeColor="text1"/>
                <w:kern w:val="0"/>
                <w:szCs w:val="21"/>
                <w14:textFill>
                  <w14:solidFill>
                    <w14:schemeClr w14:val="tx1"/>
                  </w14:solidFill>
                </w14:textFill>
              </w:rPr>
              <w:t>5</w:t>
            </w:r>
          </w:p>
        </w:tc>
        <w:tc>
          <w:tcPr>
            <w:tcW w:w="3023" w:type="dxa"/>
            <w:shd w:val="clear" w:color="auto" w:fill="auto"/>
            <w:vAlign w:val="center"/>
          </w:tcPr>
          <w:p>
            <w:pPr>
              <w:pStyle w:val="97"/>
              <w:spacing w:before="41" w:line="240" w:lineRule="auto"/>
              <w:rPr>
                <w:rFonts w:ascii="Times New Roman" w:hAnsi="Times New Roman" w:cs="Times New Roman"/>
                <w:color w:val="000000"/>
                <w:kern w:val="2"/>
                <w:sz w:val="21"/>
                <w:szCs w:val="21"/>
              </w:rPr>
            </w:pPr>
            <w:r>
              <w:rPr>
                <w:rFonts w:hint="eastAsia" w:ascii="Times New Roman" w:hAnsi="Times New Roman" w:cs="Times New Roman"/>
                <w:color w:val="000000"/>
                <w:kern w:val="2"/>
                <w:sz w:val="21"/>
                <w:szCs w:val="21"/>
                <w:lang w:val="en-US"/>
              </w:rPr>
              <w:t>H</w:t>
            </w:r>
            <w:r>
              <w:rPr>
                <w:rFonts w:hint="eastAsia" w:ascii="Times New Roman" w:hAnsi="Times New Roman" w:cs="Times New Roman"/>
                <w:color w:val="000000"/>
                <w:kern w:val="2"/>
                <w:sz w:val="21"/>
                <w:szCs w:val="21"/>
                <w:vertAlign w:val="subscript"/>
                <w:lang w:val="en-US"/>
              </w:rPr>
              <w:t>2</w:t>
            </w:r>
            <w:r>
              <w:rPr>
                <w:rFonts w:hint="eastAsia" w:ascii="Times New Roman" w:hAnsi="Times New Roman" w:cs="Times New Roman"/>
                <w:color w:val="000000"/>
                <w:kern w:val="2"/>
                <w:sz w:val="21"/>
                <w:szCs w:val="21"/>
                <w:lang w:val="en-US"/>
              </w:rPr>
              <w:t>S</w:t>
            </w:r>
          </w:p>
        </w:tc>
        <w:tc>
          <w:tcPr>
            <w:tcW w:w="4180" w:type="dxa"/>
            <w:shd w:val="clear" w:color="auto" w:fill="auto"/>
            <w:vAlign w:val="center"/>
          </w:tcPr>
          <w:p>
            <w:pPr>
              <w:pStyle w:val="47"/>
            </w:pPr>
            <w:r>
              <w:rPr>
                <w:rFonts w:hint="eastAsia"/>
              </w:rPr>
              <w:t>0.0001</w:t>
            </w:r>
          </w:p>
        </w:tc>
      </w:tr>
    </w:tbl>
    <w:p>
      <w:pPr>
        <w:pStyle w:val="40"/>
        <w:ind w:firstLine="480"/>
      </w:pPr>
      <w:r>
        <w:rPr>
          <w:rFonts w:hint="eastAsia"/>
        </w:rPr>
        <w:t>（2）非正常排放</w:t>
      </w:r>
      <w:r>
        <w:t>量核算</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在发生环保设施故障时，假设在最不利状态下，环保设施的处理效率为0，则非正常排放量核算如下：</w:t>
      </w:r>
    </w:p>
    <w:p>
      <w:pPr>
        <w:adjustRightInd w:val="0"/>
        <w:snapToGrid w:val="0"/>
        <w:jc w:val="center"/>
        <w:rPr>
          <w:rFonts w:ascii="Times New Roman" w:hAnsi="Times New Roman" w:eastAsia="宋体" w:cs="Times New Roman"/>
          <w:b/>
          <w:snapToGrid w:val="0"/>
          <w:szCs w:val="24"/>
        </w:rPr>
      </w:pPr>
      <w:r>
        <w:rPr>
          <w:rFonts w:ascii="Times New Roman" w:hAnsi="Times New Roman" w:eastAsia="宋体" w:cs="Times New Roman"/>
          <w:b/>
          <w:szCs w:val="24"/>
        </w:rPr>
        <w:t>表</w:t>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STYLEREF 2 \s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6.2</w:t>
      </w:r>
      <w:r>
        <w:rPr>
          <w:rFonts w:ascii="Times New Roman" w:hAnsi="Times New Roman" w:eastAsia="宋体" w:cs="Times New Roman"/>
          <w:b/>
          <w:szCs w:val="24"/>
        </w:rPr>
        <w:fldChar w:fldCharType="end"/>
      </w:r>
      <w:r>
        <w:rPr>
          <w:rFonts w:ascii="Times New Roman" w:hAnsi="Times New Roman" w:eastAsia="宋体" w:cs="Times New Roman"/>
          <w:b/>
          <w:szCs w:val="24"/>
        </w:rPr>
        <w:noBreakHyphen/>
      </w:r>
      <w:r>
        <w:rPr>
          <w:rFonts w:ascii="Times New Roman" w:hAnsi="Times New Roman" w:eastAsia="宋体" w:cs="Times New Roman"/>
          <w:b/>
          <w:szCs w:val="24"/>
        </w:rPr>
        <w:t>8</w:t>
      </w:r>
      <w:r>
        <w:rPr>
          <w:rFonts w:ascii="Times New Roman" w:hAnsi="Times New Roman" w:eastAsia="宋体" w:cs="Times New Roman"/>
          <w:b/>
          <w:snapToGrid w:val="0"/>
          <w:szCs w:val="24"/>
        </w:rPr>
        <w:t xml:space="preserve">  大气污染物非正常排放量核算表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3"/>
        <w:gridCol w:w="719"/>
        <w:gridCol w:w="988"/>
        <w:gridCol w:w="837"/>
        <w:gridCol w:w="1276"/>
        <w:gridCol w:w="1151"/>
        <w:gridCol w:w="1151"/>
        <w:gridCol w:w="1151"/>
        <w:gridCol w:w="1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序号</w:t>
            </w:r>
          </w:p>
        </w:tc>
        <w:tc>
          <w:tcPr>
            <w:tcW w:w="719"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污染源</w:t>
            </w:r>
          </w:p>
        </w:tc>
        <w:tc>
          <w:tcPr>
            <w:tcW w:w="988"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非正常排放原因</w:t>
            </w:r>
          </w:p>
        </w:tc>
        <w:tc>
          <w:tcPr>
            <w:tcW w:w="837" w:type="dxa"/>
            <w:shd w:val="clear" w:color="auto" w:fill="auto"/>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污染物</w:t>
            </w:r>
          </w:p>
        </w:tc>
        <w:tc>
          <w:tcPr>
            <w:tcW w:w="1276" w:type="dxa"/>
            <w:shd w:val="clear" w:color="auto" w:fill="auto"/>
            <w:vAlign w:val="center"/>
          </w:tcPr>
          <w:p>
            <w:pPr>
              <w:adjustRightInd w:val="0"/>
              <w:snapToGrid w:val="0"/>
              <w:jc w:val="center"/>
              <w:rPr>
                <w:rFonts w:ascii="Times New Roman" w:hAnsi="Times New Roman" w:eastAsia="宋体" w:cs="Times New Roman"/>
                <w:color w:val="000000" w:themeColor="text1"/>
                <w:kern w:val="0"/>
                <w:szCs w:val="20"/>
                <w14:textFill>
                  <w14:solidFill>
                    <w14:schemeClr w14:val="tx1"/>
                  </w14:solidFill>
                </w14:textFill>
              </w:rPr>
            </w:pPr>
            <w:r>
              <w:rPr>
                <w:rFonts w:ascii="Times New Roman" w:hAnsi="Times New Roman" w:eastAsia="宋体" w:cs="Times New Roman"/>
                <w:color w:val="000000" w:themeColor="text1"/>
                <w:kern w:val="0"/>
                <w:szCs w:val="20"/>
                <w14:textFill>
                  <w14:solidFill>
                    <w14:schemeClr w14:val="tx1"/>
                  </w14:solidFill>
                </w14:textFill>
              </w:rPr>
              <w:t>非正常排放浓度</w:t>
            </w:r>
          </w:p>
          <w:p>
            <w:pPr>
              <w:adjustRightInd w:val="0"/>
              <w:snapToGrid w:val="0"/>
              <w:jc w:val="center"/>
              <w:rPr>
                <w:rFonts w:ascii="Times New Roman" w:hAnsi="Times New Roman" w:eastAsia="宋体" w:cs="Times New Roman"/>
                <w:color w:val="000000" w:themeColor="text1"/>
                <w:kern w:val="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（mg/m</w:t>
            </w:r>
            <w:r>
              <w:rPr>
                <w:rFonts w:ascii="Times New Roman" w:hAnsi="Times New Roman" w:eastAsia="宋体" w:cs="Times New Roman"/>
                <w:color w:val="000000" w:themeColor="text1"/>
                <w:vertAlign w:val="superscript"/>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w:t>
            </w:r>
          </w:p>
        </w:tc>
        <w:tc>
          <w:tcPr>
            <w:tcW w:w="1151" w:type="dxa"/>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非正常排放速率</w:t>
            </w:r>
          </w:p>
          <w:p>
            <w:pPr>
              <w:adjustRightInd w:val="0"/>
              <w:snapToGrid w:val="0"/>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（kg/h）</w:t>
            </w:r>
          </w:p>
        </w:tc>
        <w:tc>
          <w:tcPr>
            <w:tcW w:w="1151" w:type="dxa"/>
            <w:vAlign w:val="center"/>
          </w:tcPr>
          <w:p>
            <w:pPr>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单次持续时间/h</w:t>
            </w:r>
          </w:p>
        </w:tc>
        <w:tc>
          <w:tcPr>
            <w:tcW w:w="1151" w:type="dxa"/>
            <w:vAlign w:val="center"/>
          </w:tcPr>
          <w:p>
            <w:pPr>
              <w:adjustRightInd w:val="0"/>
              <w:snapToGrid w:val="0"/>
              <w:jc w:val="center"/>
              <w:rPr>
                <w:rFonts w:ascii="Times New Roman" w:hAnsi="Times New Roman" w:eastAsia="宋体" w:cs="Times New Roman"/>
                <w:snapToGrid w:val="0"/>
                <w:color w:val="000000" w:themeColor="text1"/>
                <w:kern w:val="0"/>
                <w:szCs w:val="21"/>
                <w14:textFill>
                  <w14:solidFill>
                    <w14:schemeClr w14:val="tx1"/>
                  </w14:solidFill>
                </w14:textFill>
              </w:rPr>
            </w:pPr>
            <w:r>
              <w:rPr>
                <w:rFonts w:ascii="Times New Roman" w:hAnsi="Times New Roman" w:eastAsia="宋体" w:cs="Times New Roman"/>
                <w:snapToGrid w:val="0"/>
                <w:color w:val="000000" w:themeColor="text1"/>
                <w:kern w:val="0"/>
                <w:szCs w:val="21"/>
                <w14:textFill>
                  <w14:solidFill>
                    <w14:schemeClr w14:val="tx1"/>
                  </w14:solidFill>
                </w14:textFill>
              </w:rPr>
              <w:t>发生频次/次</w:t>
            </w:r>
          </w:p>
        </w:tc>
        <w:tc>
          <w:tcPr>
            <w:tcW w:w="1144"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应对措施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719" w:type="dxa"/>
            <w:vMerge w:val="restart"/>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排气筒P1/P2</w:t>
            </w:r>
          </w:p>
        </w:tc>
        <w:tc>
          <w:tcPr>
            <w:tcW w:w="988" w:type="dxa"/>
            <w:vMerge w:val="restart"/>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环保设施故障</w:t>
            </w:r>
          </w:p>
        </w:tc>
        <w:tc>
          <w:tcPr>
            <w:tcW w:w="837"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276" w:type="dxa"/>
            <w:shd w:val="clear" w:color="auto" w:fill="auto"/>
            <w:vAlign w:val="center"/>
          </w:tcPr>
          <w:p>
            <w:pPr>
              <w:pStyle w:val="47"/>
            </w:pPr>
            <w:r>
              <w:rPr>
                <w:rFonts w:hint="eastAsia"/>
              </w:rPr>
              <w:t>11.14</w:t>
            </w:r>
          </w:p>
        </w:tc>
        <w:tc>
          <w:tcPr>
            <w:tcW w:w="1151" w:type="dxa"/>
            <w:vAlign w:val="center"/>
          </w:tcPr>
          <w:p>
            <w:pPr>
              <w:pStyle w:val="47"/>
              <w:rPr>
                <w:color w:val="FF0000"/>
              </w:rPr>
            </w:pPr>
            <w:r>
              <w:rPr>
                <w:rFonts w:hint="eastAsia"/>
                <w:color w:val="FF0000"/>
              </w:rPr>
              <w:t>0.0</w:t>
            </w:r>
            <w:r>
              <w:rPr>
                <w:color w:val="FF0000"/>
              </w:rPr>
              <w:t>72</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1144" w:type="dxa"/>
            <w:vMerge w:val="restart"/>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制定严格的操作规程，加强工艺稳定性管理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2</w:t>
            </w:r>
          </w:p>
        </w:tc>
        <w:tc>
          <w:tcPr>
            <w:tcW w:w="719"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988"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c>
          <w:tcPr>
            <w:tcW w:w="837"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276" w:type="dxa"/>
            <w:shd w:val="clear" w:color="auto" w:fill="auto"/>
            <w:vAlign w:val="center"/>
          </w:tcPr>
          <w:p>
            <w:pPr>
              <w:pStyle w:val="47"/>
            </w:pPr>
            <w:r>
              <w:rPr>
                <w:rFonts w:hint="eastAsia"/>
              </w:rPr>
              <w:t>18.56</w:t>
            </w:r>
          </w:p>
        </w:tc>
        <w:tc>
          <w:tcPr>
            <w:tcW w:w="1151" w:type="dxa"/>
            <w:vAlign w:val="center"/>
          </w:tcPr>
          <w:p>
            <w:pPr>
              <w:pStyle w:val="47"/>
              <w:rPr>
                <w:color w:val="FF0000"/>
              </w:rPr>
            </w:pPr>
            <w:r>
              <w:rPr>
                <w:rFonts w:hint="eastAsia"/>
                <w:color w:val="FF0000"/>
              </w:rPr>
              <w:t>0.</w:t>
            </w:r>
            <w:r>
              <w:rPr>
                <w:color w:val="FF0000"/>
              </w:rPr>
              <w:t>120</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1144"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3</w:t>
            </w:r>
          </w:p>
        </w:tc>
        <w:tc>
          <w:tcPr>
            <w:tcW w:w="719"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988"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837"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NOx</w:t>
            </w:r>
          </w:p>
        </w:tc>
        <w:tc>
          <w:tcPr>
            <w:tcW w:w="1276" w:type="dxa"/>
            <w:shd w:val="clear" w:color="auto" w:fill="auto"/>
            <w:vAlign w:val="center"/>
          </w:tcPr>
          <w:p>
            <w:pPr>
              <w:pStyle w:val="47"/>
              <w:rPr>
                <w:highlight w:val="yellow"/>
              </w:rPr>
            </w:pPr>
            <w:r>
              <w:t>147.28</w:t>
            </w:r>
          </w:p>
        </w:tc>
        <w:tc>
          <w:tcPr>
            <w:tcW w:w="1151" w:type="dxa"/>
            <w:vAlign w:val="center"/>
          </w:tcPr>
          <w:p>
            <w:pPr>
              <w:pStyle w:val="47"/>
              <w:rPr>
                <w:color w:val="FF0000"/>
                <w:highlight w:val="yellow"/>
              </w:rPr>
            </w:pPr>
            <w:r>
              <w:rPr>
                <w:color w:val="FF0000"/>
              </w:rPr>
              <w:t>0.952</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w:t>
            </w:r>
          </w:p>
        </w:tc>
        <w:tc>
          <w:tcPr>
            <w:tcW w:w="1144"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4</w:t>
            </w:r>
          </w:p>
        </w:tc>
        <w:tc>
          <w:tcPr>
            <w:tcW w:w="719" w:type="dxa"/>
            <w:vMerge w:val="restart"/>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排气筒</w:t>
            </w:r>
            <w:r>
              <w:rPr>
                <w:rFonts w:ascii="Times New Roman" w:hAnsi="Times New Roman" w:eastAsia="宋体" w:cs="Times New Roman"/>
                <w:kern w:val="0"/>
                <w:szCs w:val="20"/>
              </w:rPr>
              <w:t>P3</w:t>
            </w:r>
          </w:p>
        </w:tc>
        <w:tc>
          <w:tcPr>
            <w:tcW w:w="988" w:type="dxa"/>
            <w:vMerge w:val="restart"/>
            <w:vAlign w:val="center"/>
          </w:tcPr>
          <w:p>
            <w:pPr>
              <w:jc w:val="center"/>
            </w:pPr>
            <w:r>
              <w:rPr>
                <w:rFonts w:ascii="Times New Roman" w:hAnsi="Times New Roman" w:eastAsia="宋体" w:cs="Times New Roman"/>
                <w:snapToGrid w:val="0"/>
                <w:kern w:val="0"/>
                <w:szCs w:val="21"/>
              </w:rPr>
              <w:t>环保设施故障</w:t>
            </w:r>
          </w:p>
        </w:tc>
        <w:tc>
          <w:tcPr>
            <w:tcW w:w="837" w:type="dxa"/>
            <w:shd w:val="clear" w:color="auto" w:fill="auto"/>
            <w:vAlign w:val="center"/>
          </w:tcPr>
          <w:p>
            <w:pPr>
              <w:tabs>
                <w:tab w:val="left" w:pos="2340"/>
              </w:tabs>
              <w:snapToGrid w:val="0"/>
              <w:jc w:val="center"/>
              <w:rPr>
                <w:rFonts w:ascii="Times New Roman" w:hAnsi="Times New Roman" w:eastAsia="宋体" w:cs="Times New Roman"/>
                <w:kern w:val="0"/>
                <w:szCs w:val="20"/>
                <w:highlight w:val="yellow"/>
              </w:rPr>
            </w:pPr>
            <w:r>
              <w:rPr>
                <w:rFonts w:hint="eastAsia" w:ascii="Times New Roman" w:hAnsi="Times New Roman" w:eastAsia="宋体" w:cs="Times New Roman"/>
                <w:szCs w:val="21"/>
              </w:rPr>
              <w:t>颗粒物</w:t>
            </w:r>
          </w:p>
        </w:tc>
        <w:tc>
          <w:tcPr>
            <w:tcW w:w="1276" w:type="dxa"/>
            <w:shd w:val="clear" w:color="auto" w:fill="auto"/>
            <w:vAlign w:val="center"/>
          </w:tcPr>
          <w:p>
            <w:pPr>
              <w:pStyle w:val="47"/>
            </w:pPr>
            <w:r>
              <w:rPr>
                <w:rFonts w:hint="eastAsia"/>
              </w:rPr>
              <w:t>11.14</w:t>
            </w:r>
          </w:p>
        </w:tc>
        <w:tc>
          <w:tcPr>
            <w:tcW w:w="1151" w:type="dxa"/>
            <w:vAlign w:val="center"/>
          </w:tcPr>
          <w:p>
            <w:pPr>
              <w:pStyle w:val="47"/>
              <w:rPr>
                <w:color w:val="FF0000"/>
              </w:rPr>
            </w:pPr>
            <w:r>
              <w:rPr>
                <w:rFonts w:hint="eastAsia"/>
                <w:color w:val="FF0000"/>
              </w:rPr>
              <w:t>0.014</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1144"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5</w:t>
            </w:r>
          </w:p>
        </w:tc>
        <w:tc>
          <w:tcPr>
            <w:tcW w:w="719"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988"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837" w:type="dxa"/>
            <w:shd w:val="clear" w:color="auto" w:fill="auto"/>
            <w:vAlign w:val="center"/>
          </w:tcPr>
          <w:p>
            <w:pPr>
              <w:pStyle w:val="47"/>
              <w:rPr>
                <w:szCs w:val="21"/>
                <w:highlight w:val="yellow"/>
              </w:rPr>
            </w:pPr>
            <w:r>
              <w:rPr>
                <w:rFonts w:hint="eastAsia" w:hAnsi="Times New Roman"/>
                <w:szCs w:val="21"/>
              </w:rPr>
              <w:t>SO</w:t>
            </w:r>
            <w:r>
              <w:rPr>
                <w:rFonts w:hint="eastAsia" w:hAnsi="Times New Roman"/>
                <w:szCs w:val="21"/>
                <w:vertAlign w:val="subscript"/>
              </w:rPr>
              <w:t>2</w:t>
            </w:r>
          </w:p>
        </w:tc>
        <w:tc>
          <w:tcPr>
            <w:tcW w:w="1276" w:type="dxa"/>
            <w:shd w:val="clear" w:color="auto" w:fill="auto"/>
            <w:vAlign w:val="center"/>
          </w:tcPr>
          <w:p>
            <w:pPr>
              <w:pStyle w:val="47"/>
            </w:pPr>
            <w:r>
              <w:rPr>
                <w:rFonts w:hint="eastAsia"/>
              </w:rPr>
              <w:t>18.56</w:t>
            </w:r>
          </w:p>
        </w:tc>
        <w:tc>
          <w:tcPr>
            <w:tcW w:w="1151" w:type="dxa"/>
            <w:vAlign w:val="center"/>
          </w:tcPr>
          <w:p>
            <w:pPr>
              <w:pStyle w:val="47"/>
              <w:rPr>
                <w:color w:val="FF0000"/>
              </w:rPr>
            </w:pPr>
            <w:r>
              <w:rPr>
                <w:rFonts w:hint="eastAsia"/>
                <w:color w:val="FF0000"/>
              </w:rPr>
              <w:t>0.023</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ascii="Times New Roman" w:hAnsi="Times New Roman" w:eastAsia="宋体" w:cs="Times New Roman"/>
                <w:snapToGrid w:val="0"/>
                <w:kern w:val="0"/>
                <w:szCs w:val="21"/>
              </w:rPr>
              <w:t>1</w:t>
            </w:r>
          </w:p>
        </w:tc>
        <w:tc>
          <w:tcPr>
            <w:tcW w:w="1144"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rPr>
        <w:tc>
          <w:tcPr>
            <w:tcW w:w="453" w:type="dxa"/>
            <w:shd w:val="clear" w:color="auto" w:fill="auto"/>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6</w:t>
            </w:r>
          </w:p>
        </w:tc>
        <w:tc>
          <w:tcPr>
            <w:tcW w:w="719" w:type="dxa"/>
            <w:vMerge w:val="continue"/>
            <w:vAlign w:val="center"/>
          </w:tcPr>
          <w:p>
            <w:pPr>
              <w:tabs>
                <w:tab w:val="left" w:pos="2340"/>
              </w:tabs>
              <w:snapToGrid w:val="0"/>
              <w:jc w:val="center"/>
              <w:rPr>
                <w:rFonts w:ascii="Times New Roman" w:hAnsi="Times New Roman" w:eastAsia="宋体" w:cs="Times New Roman"/>
                <w:kern w:val="0"/>
                <w:szCs w:val="20"/>
              </w:rPr>
            </w:pPr>
          </w:p>
        </w:tc>
        <w:tc>
          <w:tcPr>
            <w:tcW w:w="988" w:type="dxa"/>
            <w:vMerge w:val="continue"/>
            <w:vAlign w:val="center"/>
          </w:tcPr>
          <w:p>
            <w:pPr>
              <w:tabs>
                <w:tab w:val="left" w:pos="2340"/>
              </w:tabs>
              <w:snapToGrid w:val="0"/>
              <w:jc w:val="center"/>
              <w:rPr>
                <w:rFonts w:ascii="Times New Roman" w:hAnsi="Times New Roman" w:eastAsia="宋体" w:cs="Times New Roman"/>
                <w:kern w:val="0"/>
                <w:szCs w:val="20"/>
                <w:highlight w:val="yellow"/>
              </w:rPr>
            </w:pPr>
          </w:p>
        </w:tc>
        <w:tc>
          <w:tcPr>
            <w:tcW w:w="837" w:type="dxa"/>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NOx</w:t>
            </w:r>
          </w:p>
        </w:tc>
        <w:tc>
          <w:tcPr>
            <w:tcW w:w="1276" w:type="dxa"/>
            <w:shd w:val="clear" w:color="auto" w:fill="auto"/>
            <w:vAlign w:val="center"/>
          </w:tcPr>
          <w:p>
            <w:pPr>
              <w:pStyle w:val="47"/>
              <w:rPr>
                <w:highlight w:val="yellow"/>
              </w:rPr>
            </w:pPr>
            <w:r>
              <w:t>147.28</w:t>
            </w:r>
          </w:p>
        </w:tc>
        <w:tc>
          <w:tcPr>
            <w:tcW w:w="1151" w:type="dxa"/>
            <w:vAlign w:val="center"/>
          </w:tcPr>
          <w:p>
            <w:pPr>
              <w:pStyle w:val="47"/>
              <w:rPr>
                <w:color w:val="FF0000"/>
              </w:rPr>
            </w:pPr>
            <w:r>
              <w:rPr>
                <w:color w:val="FF0000"/>
              </w:rPr>
              <w:t>0.179</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0.5</w:t>
            </w:r>
          </w:p>
        </w:tc>
        <w:tc>
          <w:tcPr>
            <w:tcW w:w="1151" w:type="dxa"/>
            <w:vAlign w:val="center"/>
          </w:tcPr>
          <w:p>
            <w:pPr>
              <w:adjustRightInd w:val="0"/>
              <w:snapToGrid w:val="0"/>
              <w:jc w:val="center"/>
              <w:rPr>
                <w:rFonts w:ascii="Times New Roman" w:hAnsi="Times New Roman" w:eastAsia="宋体" w:cs="Times New Roman"/>
                <w:snapToGrid w:val="0"/>
                <w:kern w:val="0"/>
                <w:szCs w:val="21"/>
              </w:rPr>
            </w:pPr>
            <w:r>
              <w:rPr>
                <w:rFonts w:hint="eastAsia" w:ascii="Times New Roman" w:hAnsi="Times New Roman" w:eastAsia="宋体" w:cs="Times New Roman"/>
                <w:snapToGrid w:val="0"/>
                <w:kern w:val="0"/>
                <w:szCs w:val="21"/>
              </w:rPr>
              <w:t>1</w:t>
            </w:r>
          </w:p>
        </w:tc>
        <w:tc>
          <w:tcPr>
            <w:tcW w:w="1144" w:type="dxa"/>
            <w:vMerge w:val="continue"/>
            <w:vAlign w:val="center"/>
          </w:tcPr>
          <w:p>
            <w:pPr>
              <w:adjustRightInd w:val="0"/>
              <w:snapToGrid w:val="0"/>
              <w:jc w:val="center"/>
              <w:rPr>
                <w:rFonts w:ascii="Times New Roman" w:hAnsi="Times New Roman" w:eastAsia="宋体" w:cs="Times New Roman"/>
                <w:snapToGrid w:val="0"/>
                <w:kern w:val="0"/>
                <w:szCs w:val="21"/>
                <w:highlight w:val="yellow"/>
              </w:rPr>
            </w:pPr>
          </w:p>
        </w:tc>
      </w:tr>
    </w:tbl>
    <w:p>
      <w:pPr>
        <w:pStyle w:val="40"/>
        <w:ind w:firstLine="480"/>
        <w:rPr>
          <w:highlight w:val="yellow"/>
        </w:rPr>
      </w:pPr>
    </w:p>
    <w:p>
      <w:pPr>
        <w:pStyle w:val="40"/>
        <w:ind w:firstLine="480"/>
        <w:rPr>
          <w:highlight w:val="yellow"/>
        </w:rPr>
      </w:pPr>
    </w:p>
    <w:p>
      <w:pPr>
        <w:pStyle w:val="40"/>
        <w:ind w:firstLine="480"/>
        <w:rPr>
          <w:highlight w:val="yellow"/>
        </w:rPr>
      </w:pPr>
    </w:p>
    <w:p>
      <w:pPr>
        <w:pStyle w:val="40"/>
        <w:ind w:firstLine="480"/>
        <w:rPr>
          <w:highlight w:val="yellow"/>
        </w:rPr>
      </w:pPr>
    </w:p>
    <w:p>
      <w:pPr>
        <w:pStyle w:val="40"/>
        <w:ind w:firstLine="480"/>
        <w:rPr>
          <w:highlight w:val="yellow"/>
        </w:rPr>
        <w:sectPr>
          <w:headerReference r:id="rId48" w:type="default"/>
          <w:headerReference r:id="rId49" w:type="even"/>
          <w:pgSz w:w="11906" w:h="16838"/>
          <w:pgMar w:top="1418" w:right="1418" w:bottom="1418" w:left="1588" w:header="851" w:footer="992" w:gutter="0"/>
          <w:pgNumType w:fmt="numberInDash"/>
          <w:cols w:space="425" w:num="1"/>
          <w:docGrid w:type="linesAndChars" w:linePitch="312" w:charSpace="0"/>
        </w:sectPr>
      </w:pPr>
    </w:p>
    <w:p>
      <w:pPr>
        <w:pStyle w:val="4"/>
      </w:pPr>
      <w:r>
        <w:rPr>
          <w:rFonts w:hint="eastAsia"/>
        </w:rPr>
        <w:t>地表水</w:t>
      </w:r>
      <w:r>
        <w:t>环境影响分析</w:t>
      </w:r>
    </w:p>
    <w:p>
      <w:pPr>
        <w:pStyle w:val="5"/>
      </w:pPr>
      <w:r>
        <w:rPr>
          <w:rFonts w:hint="eastAsia"/>
        </w:rPr>
        <w:t>废水</w:t>
      </w:r>
      <w:r>
        <w:t>处理及排放情况</w:t>
      </w:r>
    </w:p>
    <w:p>
      <w:pPr>
        <w:pStyle w:val="40"/>
        <w:ind w:firstLine="480"/>
      </w:pPr>
      <w:r>
        <w:rPr>
          <w:rFonts w:hint="eastAsia"/>
        </w:rPr>
        <w:t>根据工程分析计算可知，本项目产生的废水主要</w:t>
      </w:r>
      <w:r>
        <w:t>来自门诊人员</w:t>
      </w:r>
      <w:r>
        <w:rPr>
          <w:rFonts w:hint="eastAsia"/>
        </w:rPr>
        <w:t>、</w:t>
      </w:r>
      <w:r>
        <w:t>住院</w:t>
      </w:r>
      <w:r>
        <w:rPr>
          <w:rFonts w:hint="eastAsia"/>
        </w:rPr>
        <w:t>病人</w:t>
      </w:r>
      <w:r>
        <w:t>、医务人员和行政办公人</w:t>
      </w:r>
      <w:r>
        <w:rPr>
          <w:rFonts w:hint="eastAsia"/>
        </w:rPr>
        <w:t>员以及</w:t>
      </w:r>
      <w:r>
        <w:t>食堂废水等</w:t>
      </w:r>
      <w:r>
        <w:rPr>
          <w:rFonts w:hint="eastAsia"/>
        </w:rPr>
        <w:t>，进入</w:t>
      </w:r>
      <w:r>
        <w:t>污水处理站</w:t>
      </w:r>
      <w:r>
        <w:rPr>
          <w:rFonts w:hint="eastAsia"/>
        </w:rPr>
        <w:t>的总废水排放量为</w:t>
      </w:r>
      <w:r>
        <w:t>195.32m</w:t>
      </w:r>
      <w:r>
        <w:rPr>
          <w:vertAlign w:val="superscript"/>
        </w:rPr>
        <w:t>3</w:t>
      </w:r>
      <w:r>
        <w:rPr>
          <w:rFonts w:hint="eastAsia"/>
        </w:rPr>
        <w:t>/d，</w:t>
      </w:r>
      <w:r>
        <w:t>71291.8m</w:t>
      </w:r>
      <w:r>
        <w:rPr>
          <w:vertAlign w:val="superscript"/>
        </w:rPr>
        <w:t>3</w:t>
      </w:r>
      <w:r>
        <w:rPr>
          <w:rFonts w:hint="eastAsia"/>
        </w:rPr>
        <w:t>/a。</w:t>
      </w:r>
    </w:p>
    <w:p>
      <w:pPr>
        <w:adjustRightInd w:val="0"/>
        <w:spacing w:line="360" w:lineRule="auto"/>
        <w:ind w:firstLine="480" w:firstLineChars="200"/>
        <w:textAlignment w:val="baseline"/>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本项目采用雨、污分流。项目内雨水汇流入雨水管收集系统，就近排至市政雨水管网。本项目废水根据废水类别进行分类收集，即：医护人员</w:t>
      </w:r>
      <w:r>
        <w:rPr>
          <w:rFonts w:ascii="Times New Roman" w:hAnsi="Times New Roman" w:eastAsia="宋体" w:cs="Times New Roman"/>
          <w:kern w:val="0"/>
          <w:sz w:val="24"/>
          <w:szCs w:val="20"/>
        </w:rPr>
        <w:t>及</w:t>
      </w:r>
      <w:r>
        <w:rPr>
          <w:rFonts w:hint="eastAsia" w:ascii="Times New Roman" w:hAnsi="Times New Roman" w:eastAsia="宋体" w:cs="Times New Roman"/>
          <w:kern w:val="0"/>
          <w:sz w:val="24"/>
          <w:szCs w:val="20"/>
        </w:rPr>
        <w:t>门诊</w:t>
      </w:r>
      <w:r>
        <w:rPr>
          <w:rFonts w:ascii="Times New Roman" w:hAnsi="Times New Roman" w:eastAsia="宋体" w:cs="Times New Roman"/>
          <w:kern w:val="0"/>
          <w:sz w:val="24"/>
          <w:szCs w:val="20"/>
        </w:rPr>
        <w:t>、住院病人的</w:t>
      </w:r>
      <w:r>
        <w:rPr>
          <w:rFonts w:hint="eastAsia" w:ascii="Times New Roman" w:hAnsi="Times New Roman" w:eastAsia="宋体" w:cs="Times New Roman"/>
          <w:kern w:val="0"/>
          <w:sz w:val="24"/>
          <w:szCs w:val="20"/>
        </w:rPr>
        <w:t>生活污水经化粪池预处理后，食堂</w:t>
      </w:r>
      <w:r>
        <w:rPr>
          <w:rFonts w:ascii="Times New Roman" w:hAnsi="Times New Roman" w:eastAsia="宋体" w:cs="Times New Roman"/>
          <w:kern w:val="0"/>
          <w:sz w:val="24"/>
          <w:szCs w:val="20"/>
        </w:rPr>
        <w:t>废水经隔油池处理后</w:t>
      </w:r>
      <w:r>
        <w:rPr>
          <w:rFonts w:hint="eastAsia" w:ascii="Times New Roman" w:hAnsi="Times New Roman" w:eastAsia="宋体" w:cs="Times New Roman"/>
          <w:kern w:val="0"/>
          <w:sz w:val="24"/>
          <w:szCs w:val="20"/>
        </w:rPr>
        <w:t>与其余</w:t>
      </w:r>
      <w:r>
        <w:rPr>
          <w:rFonts w:ascii="Times New Roman" w:hAnsi="Times New Roman" w:eastAsia="宋体" w:cs="Times New Roman"/>
          <w:kern w:val="0"/>
          <w:sz w:val="24"/>
          <w:szCs w:val="20"/>
        </w:rPr>
        <w:t>医疗</w:t>
      </w:r>
      <w:r>
        <w:rPr>
          <w:rFonts w:hint="eastAsia" w:ascii="Times New Roman" w:hAnsi="Times New Roman" w:eastAsia="宋体" w:cs="Times New Roman"/>
          <w:kern w:val="0"/>
          <w:sz w:val="24"/>
          <w:szCs w:val="20"/>
        </w:rPr>
        <w:t>废水</w:t>
      </w:r>
      <w:r>
        <w:rPr>
          <w:rFonts w:ascii="Times New Roman" w:hAnsi="Times New Roman" w:eastAsia="宋体" w:cs="Times New Roman"/>
          <w:kern w:val="0"/>
          <w:sz w:val="24"/>
          <w:szCs w:val="20"/>
        </w:rPr>
        <w:t>一</w:t>
      </w:r>
      <w:r>
        <w:rPr>
          <w:rFonts w:hint="eastAsia" w:ascii="Times New Roman" w:hAnsi="Times New Roman" w:eastAsia="宋体" w:cs="Times New Roman"/>
          <w:kern w:val="0"/>
          <w:sz w:val="24"/>
          <w:szCs w:val="20"/>
        </w:rPr>
        <w:t>同进入自建污水处理站进行处理，污水</w:t>
      </w:r>
      <w:r>
        <w:rPr>
          <w:rFonts w:ascii="Times New Roman" w:hAnsi="Times New Roman" w:eastAsia="宋体" w:cs="Times New Roman"/>
          <w:kern w:val="0"/>
          <w:sz w:val="24"/>
          <w:szCs w:val="20"/>
        </w:rPr>
        <w:t>处理工艺采用</w:t>
      </w:r>
      <w:r>
        <w:rPr>
          <w:rFonts w:hint="eastAsia"/>
          <w:sz w:val="24"/>
          <w:szCs w:val="24"/>
        </w:rPr>
        <w:t>一级强化工艺处理，具体工艺采用“混凝沉淀+</w:t>
      </w:r>
      <w:r>
        <w:rPr>
          <w:sz w:val="24"/>
          <w:szCs w:val="24"/>
        </w:rPr>
        <w:t>次氯酸钠消毒</w:t>
      </w:r>
      <w:r>
        <w:rPr>
          <w:rFonts w:hint="eastAsia"/>
          <w:sz w:val="24"/>
          <w:szCs w:val="24"/>
        </w:rPr>
        <w:t>”工艺，废水处理效</w:t>
      </w:r>
      <w:r>
        <w:rPr>
          <w:rFonts w:ascii="Times New Roman" w:hAnsi="Times New Roman" w:eastAsia="宋体" w:cs="Times New Roman"/>
          <w:sz w:val="24"/>
          <w:szCs w:val="24"/>
        </w:rPr>
        <w:t>率COD 40%，BOD</w:t>
      </w:r>
      <w:r>
        <w:rPr>
          <w:rFonts w:ascii="Times New Roman" w:hAnsi="Times New Roman" w:eastAsia="宋体" w:cs="Times New Roman"/>
          <w:sz w:val="24"/>
          <w:szCs w:val="24"/>
          <w:vertAlign w:val="subscript"/>
        </w:rPr>
        <w:t xml:space="preserve">5 </w:t>
      </w:r>
      <w:r>
        <w:rPr>
          <w:rFonts w:ascii="Times New Roman" w:hAnsi="Times New Roman" w:eastAsia="宋体" w:cs="Times New Roman"/>
          <w:sz w:val="24"/>
          <w:szCs w:val="24"/>
        </w:rPr>
        <w:t>40%，氨氮0%，SS 80%</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污水处理达到</w:t>
      </w:r>
      <w:r>
        <w:rPr>
          <w:rFonts w:hint="eastAsia" w:ascii="Times New Roman" w:hAnsi="Times New Roman" w:eastAsia="宋体" w:cs="Times New Roman"/>
          <w:kern w:val="0"/>
          <w:sz w:val="24"/>
          <w:szCs w:val="20"/>
        </w:rPr>
        <w:t>《医疗机构水污染物排放标准》（GB18466- 2005）表2的预处理标准后，排入安康市恒口示范区污水处理厂。</w:t>
      </w:r>
    </w:p>
    <w:p>
      <w:pPr>
        <w:pStyle w:val="5"/>
      </w:pPr>
      <w:r>
        <w:rPr>
          <w:rFonts w:hint="eastAsia"/>
        </w:rPr>
        <w:t>依托污水</w:t>
      </w:r>
      <w:r>
        <w:t>处理厂可行性分析</w:t>
      </w:r>
    </w:p>
    <w:p>
      <w:pPr>
        <w:pStyle w:val="40"/>
        <w:ind w:firstLine="480"/>
      </w:pPr>
      <w:r>
        <w:rPr>
          <w:rFonts w:hint="eastAsia"/>
        </w:rPr>
        <w:t>根据前文</w:t>
      </w:r>
      <w:r>
        <w:t>评</w:t>
      </w:r>
      <w:r>
        <w:rPr>
          <w:rFonts w:hint="eastAsia"/>
        </w:rPr>
        <w:t>等级</w:t>
      </w:r>
      <w:r>
        <w:t>确定，本项目水环境影响评价等级为三级B，</w:t>
      </w:r>
      <w:r>
        <w:rPr>
          <w:rFonts w:hint="eastAsia"/>
        </w:rPr>
        <w:t>水污染影响型三级B评价可不进行地表水环境影响预测。水污染影响型三级B评价，主要评价内容包括：①水污染物控制和水环境影响减缓措施有效性评价；②依托污水设施的环境可行性评价。</w:t>
      </w:r>
    </w:p>
    <w:p>
      <w:pPr>
        <w:pStyle w:val="40"/>
        <w:ind w:firstLine="480"/>
      </w:pPr>
      <w:r>
        <w:t>安康市恒口示范区污水处理厂位于</w:t>
      </w:r>
      <w:r>
        <w:rPr>
          <w:rFonts w:hint="eastAsia"/>
        </w:rPr>
        <w:t>安康市</w:t>
      </w:r>
      <w:r>
        <w:t>恒口示范区大同镇王家台村，服务范围为恒口示范区范围，本项目所在区域属于其服务范围内。</w:t>
      </w:r>
    </w:p>
    <w:p>
      <w:pPr>
        <w:pStyle w:val="40"/>
        <w:ind w:firstLine="480"/>
      </w:pPr>
      <w:r>
        <w:rPr>
          <w:rFonts w:hint="eastAsia"/>
        </w:rPr>
        <w:t>（1）污水处理厂工艺简介</w:t>
      </w:r>
    </w:p>
    <w:p>
      <w:pPr>
        <w:pStyle w:val="40"/>
        <w:ind w:firstLine="480"/>
      </w:pPr>
      <w:r>
        <w:rPr>
          <w:rFonts w:hint="eastAsia"/>
        </w:rPr>
        <w:t>根据</w:t>
      </w:r>
      <w:r>
        <w:t>安康市恒口示范区污水处理厂</w:t>
      </w:r>
      <w:r>
        <w:rPr>
          <w:rFonts w:hint="eastAsia"/>
        </w:rPr>
        <w:t>排污</w:t>
      </w:r>
      <w:r>
        <w:t>许可副本，安康市恒口示范区污水处理厂采用</w:t>
      </w:r>
      <w:r>
        <w:rPr>
          <w:rFonts w:hint="eastAsia"/>
        </w:rPr>
        <w:t>A</w:t>
      </w:r>
      <w:r>
        <w:rPr>
          <w:rFonts w:hint="eastAsia"/>
          <w:vertAlign w:val="superscript"/>
        </w:rPr>
        <w:t>2</w:t>
      </w:r>
      <w:r>
        <w:rPr>
          <w:rFonts w:hint="eastAsia"/>
        </w:rPr>
        <w:t>/O+混凝</w:t>
      </w:r>
      <w:r>
        <w:t>沉淀</w:t>
      </w:r>
      <w:r>
        <w:rPr>
          <w:rFonts w:hint="eastAsia"/>
        </w:rPr>
        <w:t>工艺，设计规模为日处理污水</w:t>
      </w:r>
      <w:r>
        <w:t>2</w:t>
      </w:r>
      <w:r>
        <w:rPr>
          <w:rFonts w:hint="eastAsia"/>
        </w:rPr>
        <w:t>万</w:t>
      </w:r>
      <w:r>
        <w:t>t/d</w:t>
      </w:r>
      <w:r>
        <w:rPr>
          <w:rFonts w:hint="eastAsia"/>
        </w:rPr>
        <w:t>，</w:t>
      </w:r>
      <w:r>
        <w:t>污水处理工艺如下</w:t>
      </w:r>
      <w:r>
        <w:rPr>
          <w:rFonts w:hint="eastAsia"/>
        </w:rPr>
        <w:t>。</w:t>
      </w:r>
    </w:p>
    <w:p>
      <w:pPr>
        <w:pStyle w:val="40"/>
        <w:spacing w:line="240" w:lineRule="auto"/>
        <w:ind w:firstLine="0" w:firstLineChars="0"/>
        <w:jc w:val="center"/>
        <w:rPr>
          <w:highlight w:val="yellow"/>
        </w:rPr>
      </w:pPr>
      <w:r>
        <w:object>
          <v:shape id="_x0000_i1034" o:spt="75" type="#_x0000_t75" style="height:151.15pt;width:446.25pt;" o:ole="t" filled="f" o:preferrelative="t" stroked="f" coordsize="21600,21600">
            <v:path/>
            <v:fill on="f" focussize="0,0"/>
            <v:stroke on="f" joinstyle="miter"/>
            <v:imagedata r:id="rId88" o:title=""/>
            <o:lock v:ext="edit" aspectratio="t"/>
            <w10:wrap type="none"/>
            <w10:anchorlock/>
          </v:shape>
          <o:OLEObject Type="Embed" ProgID="Visio.Drawing.11" ShapeID="_x0000_i1034" DrawAspect="Content" ObjectID="_1468075734" r:id="rId87">
            <o:LockedField>false</o:LockedField>
          </o:OLEObject>
        </w:object>
      </w:r>
      <w:r>
        <w:rPr>
          <w:b/>
        </w:rPr>
        <w:t xml:space="preserve">图 </w:t>
      </w:r>
      <w:r>
        <w:rPr>
          <w:b/>
        </w:rPr>
        <w:fldChar w:fldCharType="begin"/>
      </w:r>
      <w:r>
        <w:rPr>
          <w:b/>
        </w:rPr>
        <w:instrText xml:space="preserve"> STYLEREF 2 \s </w:instrText>
      </w:r>
      <w:r>
        <w:rPr>
          <w:b/>
        </w:rPr>
        <w:fldChar w:fldCharType="separate"/>
      </w:r>
      <w:r>
        <w:rPr>
          <w:b/>
        </w:rPr>
        <w:t>6.2</w:t>
      </w:r>
      <w:r>
        <w:fldChar w:fldCharType="end"/>
      </w:r>
      <w:r>
        <w:rPr>
          <w:b/>
        </w:rPr>
        <w:noBreakHyphen/>
      </w:r>
      <w:r>
        <w:rPr>
          <w:b/>
        </w:rPr>
        <w:fldChar w:fldCharType="begin"/>
      </w:r>
      <w:r>
        <w:rPr>
          <w:b/>
        </w:rPr>
        <w:instrText xml:space="preserve"> SEQ 图 \* ARABIC \s 2 </w:instrText>
      </w:r>
      <w:r>
        <w:rPr>
          <w:b/>
        </w:rPr>
        <w:fldChar w:fldCharType="separate"/>
      </w:r>
      <w:r>
        <w:rPr>
          <w:b/>
        </w:rPr>
        <w:t>1</w:t>
      </w:r>
      <w:r>
        <w:fldChar w:fldCharType="end"/>
      </w:r>
      <w:r>
        <w:t xml:space="preserve">  </w:t>
      </w:r>
      <w:r>
        <w:rPr>
          <w:rFonts w:hint="eastAsia"/>
          <w:b/>
          <w:bCs/>
        </w:rPr>
        <w:t>安康市恒口示范区污水处理厂的处理工艺流程图</w:t>
      </w:r>
    </w:p>
    <w:p>
      <w:pPr>
        <w:pStyle w:val="40"/>
        <w:ind w:firstLine="480"/>
      </w:pPr>
      <w:r>
        <w:rPr>
          <w:rFonts w:hint="eastAsia"/>
        </w:rPr>
        <w:t>（</w:t>
      </w:r>
      <w:r>
        <w:t>2</w:t>
      </w:r>
      <w:r>
        <w:rPr>
          <w:rFonts w:hint="eastAsia"/>
        </w:rPr>
        <w:t>）水量分析</w:t>
      </w:r>
    </w:p>
    <w:p>
      <w:pPr>
        <w:pStyle w:val="40"/>
        <w:ind w:firstLine="480"/>
      </w:pPr>
      <w:r>
        <w:rPr>
          <w:rFonts w:hint="eastAsia"/>
        </w:rPr>
        <w:t>目前，安康市恒口示范区污水处理厂设计日处理综合废水量</w:t>
      </w:r>
      <w:r>
        <w:t>20000</w:t>
      </w:r>
      <w:r>
        <w:rPr>
          <w:rFonts w:hint="eastAsia"/>
        </w:rPr>
        <w:t>m</w:t>
      </w:r>
      <w:r>
        <w:rPr>
          <w:rFonts w:hint="eastAsia"/>
          <w:vertAlign w:val="superscript"/>
        </w:rPr>
        <w:t>3</w:t>
      </w:r>
      <w:r>
        <w:rPr>
          <w:rFonts w:hint="eastAsia"/>
        </w:rPr>
        <w:t>/</w:t>
      </w:r>
      <w:r>
        <w:t>d</w:t>
      </w:r>
      <w:r>
        <w:rPr>
          <w:rFonts w:hint="eastAsia"/>
        </w:rPr>
        <w:t>，而本项目建成后排入</w:t>
      </w:r>
      <w:r>
        <w:t>安康市恒口示范区污水处理厂</w:t>
      </w:r>
      <w:r>
        <w:rPr>
          <w:rFonts w:hint="eastAsia"/>
        </w:rPr>
        <w:t>规模平均为</w:t>
      </w:r>
      <w:r>
        <w:t>195.32</w:t>
      </w:r>
      <w:r>
        <w:rPr>
          <w:rFonts w:hint="eastAsia"/>
        </w:rPr>
        <w:t>m</w:t>
      </w:r>
      <w:r>
        <w:rPr>
          <w:rFonts w:hint="eastAsia"/>
          <w:vertAlign w:val="superscript"/>
        </w:rPr>
        <w:t>3</w:t>
      </w:r>
      <w:r>
        <w:rPr>
          <w:rFonts w:hint="eastAsia"/>
        </w:rPr>
        <w:t>/d，仅占污水处理厂处理能力的0.</w:t>
      </w:r>
      <w:r>
        <w:t>98</w:t>
      </w:r>
      <w:r>
        <w:rPr>
          <w:rFonts w:hint="eastAsia"/>
        </w:rPr>
        <w:t>%，</w:t>
      </w:r>
      <w:r>
        <w:t>安康市恒口示范区污水处理厂</w:t>
      </w:r>
      <w:r>
        <w:rPr>
          <w:rFonts w:hint="eastAsia"/>
        </w:rPr>
        <w:t>污水处理规模可以满足本项目污水处理要求，且尚有余量，因此，项目运营期产生的废水可排入</w:t>
      </w:r>
      <w:r>
        <w:t>安康市恒口示范区污水处理厂</w:t>
      </w:r>
      <w:r>
        <w:rPr>
          <w:rFonts w:hint="eastAsia"/>
        </w:rPr>
        <w:t>。</w:t>
      </w:r>
    </w:p>
    <w:p>
      <w:pPr>
        <w:pStyle w:val="40"/>
        <w:ind w:firstLine="480"/>
      </w:pPr>
      <w:r>
        <w:rPr>
          <w:rFonts w:hint="eastAsia"/>
        </w:rPr>
        <w:t>（</w:t>
      </w:r>
      <w:r>
        <w:t>3</w:t>
      </w:r>
      <w:r>
        <w:rPr>
          <w:rFonts w:hint="eastAsia"/>
        </w:rPr>
        <w:t>）水质</w:t>
      </w:r>
      <w:r>
        <w:t>分析</w:t>
      </w:r>
    </w:p>
    <w:p>
      <w:pPr>
        <w:pStyle w:val="40"/>
        <w:ind w:firstLine="480"/>
        <w:rPr>
          <w:highlight w:val="yellow"/>
        </w:rPr>
      </w:pPr>
      <w:r>
        <w:rPr>
          <w:rFonts w:hint="eastAsia"/>
        </w:rPr>
        <w:t>项目运营期产生的医护人员</w:t>
      </w:r>
      <w:r>
        <w:t>及</w:t>
      </w:r>
      <w:r>
        <w:rPr>
          <w:rFonts w:hint="eastAsia"/>
        </w:rPr>
        <w:t>门诊</w:t>
      </w:r>
      <w:r>
        <w:t>、住院病人的</w:t>
      </w:r>
      <w:r>
        <w:rPr>
          <w:rFonts w:hint="eastAsia"/>
        </w:rPr>
        <w:t>生活污水经化粪池预处理后，食堂</w:t>
      </w:r>
      <w:r>
        <w:t>废水经隔油池处理后</w:t>
      </w:r>
      <w:r>
        <w:rPr>
          <w:rFonts w:hint="eastAsia"/>
        </w:rPr>
        <w:t>与其余医疗废水一同经自建污水处理站进行处理达到《医疗机构水污染物排放标准》（GB18466-2005）表2综合</w:t>
      </w:r>
      <w:r>
        <w:t>医疗</w:t>
      </w:r>
      <w:r>
        <w:rPr>
          <w:rFonts w:hint="eastAsia"/>
        </w:rPr>
        <w:t>机构</w:t>
      </w:r>
      <w:r>
        <w:t>和其他医疗机构</w:t>
      </w:r>
      <w:r>
        <w:rPr>
          <w:rFonts w:hint="eastAsia"/>
        </w:rPr>
        <w:t>预处理标准，接入市政污水管网进入</w:t>
      </w:r>
      <w:r>
        <w:t>安康市恒口示范区污水处理厂</w:t>
      </w:r>
      <w:r>
        <w:rPr>
          <w:rFonts w:hint="eastAsia"/>
        </w:rPr>
        <w:t>集中处理，不会对</w:t>
      </w:r>
      <w:r>
        <w:t>安康市恒口示范区污水处理厂</w:t>
      </w:r>
      <w:r>
        <w:rPr>
          <w:rFonts w:hint="eastAsia"/>
        </w:rPr>
        <w:t>运行产生冲击。</w:t>
      </w:r>
    </w:p>
    <w:p>
      <w:pPr>
        <w:pStyle w:val="40"/>
        <w:ind w:firstLine="480"/>
      </w:pPr>
      <w:r>
        <w:t>安康市恒口示范区污水处理厂</w:t>
      </w:r>
      <w:r>
        <w:rPr>
          <w:rFonts w:hint="eastAsia"/>
        </w:rPr>
        <w:t>主要采用A</w:t>
      </w:r>
      <w:r>
        <w:rPr>
          <w:rFonts w:hint="eastAsia"/>
          <w:vertAlign w:val="superscript"/>
        </w:rPr>
        <w:t>2</w:t>
      </w:r>
      <w:r>
        <w:rPr>
          <w:rFonts w:hint="eastAsia"/>
        </w:rPr>
        <w:t>/O生物处理+混凝</w:t>
      </w:r>
      <w:r>
        <w:t>沉淀</w:t>
      </w:r>
      <w:r>
        <w:rPr>
          <w:rFonts w:hint="eastAsia"/>
        </w:rPr>
        <w:t>工艺，其出水水质达到《城镇污水处理厂污染物排放标准》（GB18918-2002）一级</w:t>
      </w:r>
      <w:r>
        <w:rPr>
          <w:color w:val="FF0000"/>
        </w:rPr>
        <w:t>A</w:t>
      </w:r>
      <w:r>
        <w:rPr>
          <w:rFonts w:hint="eastAsia"/>
        </w:rPr>
        <w:t>标准，尾水最终汇入月河。综上所述，本项目正常情况下产生的废水对周边环境影响较小。</w:t>
      </w:r>
    </w:p>
    <w:p>
      <w:pPr>
        <w:pStyle w:val="5"/>
      </w:pPr>
      <w:r>
        <w:rPr>
          <w:rFonts w:hint="eastAsia"/>
        </w:rPr>
        <w:t>非</w:t>
      </w:r>
      <w:r>
        <w:t>正常情况下水环境影响分析</w:t>
      </w:r>
    </w:p>
    <w:p>
      <w:pPr>
        <w:pStyle w:val="40"/>
        <w:ind w:firstLine="480"/>
      </w:pPr>
      <w:r>
        <w:rPr>
          <w:rFonts w:hint="eastAsia"/>
        </w:rPr>
        <w:t>根据项目的污染源分析，项目产生的医疗废水在运营期采用了有效的环保治理措施，但在运营过程中项目废水处理设施一旦发生故障产生</w:t>
      </w:r>
      <w:r>
        <w:t>事故排放，</w:t>
      </w:r>
      <w:r>
        <w:rPr>
          <w:rFonts w:hint="eastAsia"/>
        </w:rPr>
        <w:t>废水未经处理排放进入市政污水管道，很快会进入安康市恒口示范区污水处理厂，对安康市恒口示范区污水处理厂的水质会造成一定的冲击。针对医疗废水非正常排放所产生的环境影响，要求建设单位应加强管理，做好各项环保措施，环评建议修建环境风险事故应急池。一旦项目废水站发生事故，项目废水经收集进入事故应急池，不流出厂区，从而确保废（污）水达标排放，不会对周围水体和环境造成影响。</w:t>
      </w:r>
    </w:p>
    <w:p>
      <w:pPr>
        <w:pStyle w:val="5"/>
      </w:pPr>
      <w:r>
        <w:rPr>
          <w:rFonts w:hint="eastAsia"/>
        </w:rPr>
        <w:t>项目</w:t>
      </w:r>
      <w:r>
        <w:t>废水污染物排放情况表</w:t>
      </w:r>
    </w:p>
    <w:p>
      <w:pPr>
        <w:pStyle w:val="22"/>
        <w:rPr>
          <w:highlight w:val="yellow"/>
        </w:rPr>
      </w:pPr>
      <w:r>
        <w:br w:type="column"/>
      </w:r>
      <w:r>
        <w:t>表 6.2</w:t>
      </w:r>
      <w:r>
        <w:noBreakHyphen/>
      </w:r>
      <w:r>
        <w:t>9  废水类别、污染物及污染治理设施信息表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29"/>
        <w:gridCol w:w="518"/>
        <w:gridCol w:w="799"/>
        <w:gridCol w:w="719"/>
        <w:gridCol w:w="884"/>
        <w:gridCol w:w="806"/>
        <w:gridCol w:w="902"/>
        <w:gridCol w:w="1072"/>
        <w:gridCol w:w="721"/>
        <w:gridCol w:w="827"/>
        <w:gridCol w:w="12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9" w:type="dxa"/>
            <w:vMerge w:val="restart"/>
            <w:vAlign w:val="center"/>
          </w:tcPr>
          <w:p>
            <w:pPr>
              <w:pStyle w:val="47"/>
            </w:pPr>
            <w:r>
              <w:t>序号</w:t>
            </w:r>
          </w:p>
        </w:tc>
        <w:tc>
          <w:tcPr>
            <w:tcW w:w="518" w:type="dxa"/>
            <w:vMerge w:val="restart"/>
            <w:vAlign w:val="center"/>
          </w:tcPr>
          <w:p>
            <w:pPr>
              <w:pStyle w:val="47"/>
            </w:pPr>
            <w:r>
              <w:t>废水类别</w:t>
            </w:r>
          </w:p>
        </w:tc>
        <w:tc>
          <w:tcPr>
            <w:tcW w:w="799" w:type="dxa"/>
            <w:vMerge w:val="restart"/>
            <w:vAlign w:val="center"/>
          </w:tcPr>
          <w:p>
            <w:pPr>
              <w:pStyle w:val="47"/>
            </w:pPr>
            <w:r>
              <w:t>污染物种类</w:t>
            </w:r>
          </w:p>
        </w:tc>
        <w:tc>
          <w:tcPr>
            <w:tcW w:w="719" w:type="dxa"/>
            <w:vMerge w:val="restart"/>
            <w:vAlign w:val="center"/>
          </w:tcPr>
          <w:p>
            <w:pPr>
              <w:pStyle w:val="47"/>
            </w:pPr>
            <w:r>
              <w:t>排放去向</w:t>
            </w:r>
          </w:p>
        </w:tc>
        <w:tc>
          <w:tcPr>
            <w:tcW w:w="884" w:type="dxa"/>
            <w:vMerge w:val="restart"/>
            <w:vAlign w:val="center"/>
          </w:tcPr>
          <w:p>
            <w:pPr>
              <w:pStyle w:val="47"/>
            </w:pPr>
            <w:r>
              <w:t>排放规律</w:t>
            </w:r>
          </w:p>
        </w:tc>
        <w:tc>
          <w:tcPr>
            <w:tcW w:w="2780" w:type="dxa"/>
            <w:gridSpan w:val="3"/>
            <w:vAlign w:val="center"/>
          </w:tcPr>
          <w:p>
            <w:pPr>
              <w:pStyle w:val="47"/>
            </w:pPr>
            <w:r>
              <w:t>污染防治设施</w:t>
            </w:r>
          </w:p>
        </w:tc>
        <w:tc>
          <w:tcPr>
            <w:tcW w:w="721" w:type="dxa"/>
            <w:vMerge w:val="restart"/>
            <w:vAlign w:val="center"/>
          </w:tcPr>
          <w:p>
            <w:pPr>
              <w:pStyle w:val="47"/>
            </w:pPr>
            <w:r>
              <w:t>排放口</w:t>
            </w:r>
          </w:p>
          <w:p>
            <w:pPr>
              <w:pStyle w:val="47"/>
            </w:pPr>
            <w:r>
              <w:t>编号</w:t>
            </w:r>
          </w:p>
        </w:tc>
        <w:tc>
          <w:tcPr>
            <w:tcW w:w="827" w:type="dxa"/>
            <w:vMerge w:val="restart"/>
            <w:vAlign w:val="center"/>
          </w:tcPr>
          <w:p>
            <w:pPr>
              <w:pStyle w:val="47"/>
            </w:pPr>
            <w:r>
              <w:t>排放口设置是否符合要求</w:t>
            </w:r>
          </w:p>
        </w:tc>
        <w:tc>
          <w:tcPr>
            <w:tcW w:w="1293" w:type="dxa"/>
            <w:vMerge w:val="restart"/>
            <w:vAlign w:val="center"/>
          </w:tcPr>
          <w:p>
            <w:pPr>
              <w:pStyle w:val="47"/>
            </w:pPr>
            <w: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9" w:type="dxa"/>
            <w:vMerge w:val="continue"/>
            <w:vAlign w:val="center"/>
          </w:tcPr>
          <w:p>
            <w:pPr>
              <w:pStyle w:val="47"/>
            </w:pPr>
          </w:p>
        </w:tc>
        <w:tc>
          <w:tcPr>
            <w:tcW w:w="518" w:type="dxa"/>
            <w:vMerge w:val="continue"/>
            <w:vAlign w:val="center"/>
          </w:tcPr>
          <w:p>
            <w:pPr>
              <w:pStyle w:val="47"/>
            </w:pPr>
          </w:p>
        </w:tc>
        <w:tc>
          <w:tcPr>
            <w:tcW w:w="799" w:type="dxa"/>
            <w:vMerge w:val="continue"/>
            <w:vAlign w:val="center"/>
          </w:tcPr>
          <w:p>
            <w:pPr>
              <w:pStyle w:val="47"/>
            </w:pPr>
          </w:p>
        </w:tc>
        <w:tc>
          <w:tcPr>
            <w:tcW w:w="719" w:type="dxa"/>
            <w:vMerge w:val="continue"/>
            <w:vAlign w:val="center"/>
          </w:tcPr>
          <w:p>
            <w:pPr>
              <w:pStyle w:val="47"/>
            </w:pPr>
          </w:p>
        </w:tc>
        <w:tc>
          <w:tcPr>
            <w:tcW w:w="884" w:type="dxa"/>
            <w:vMerge w:val="continue"/>
            <w:vAlign w:val="center"/>
          </w:tcPr>
          <w:p>
            <w:pPr>
              <w:pStyle w:val="47"/>
            </w:pPr>
          </w:p>
        </w:tc>
        <w:tc>
          <w:tcPr>
            <w:tcW w:w="806" w:type="dxa"/>
            <w:vAlign w:val="center"/>
          </w:tcPr>
          <w:p>
            <w:pPr>
              <w:pStyle w:val="47"/>
            </w:pPr>
            <w:r>
              <w:t>污染设施施编号</w:t>
            </w:r>
          </w:p>
        </w:tc>
        <w:tc>
          <w:tcPr>
            <w:tcW w:w="902" w:type="dxa"/>
            <w:vAlign w:val="center"/>
          </w:tcPr>
          <w:p>
            <w:pPr>
              <w:pStyle w:val="47"/>
            </w:pPr>
            <w:r>
              <w:t>污染治理设施名称</w:t>
            </w:r>
          </w:p>
        </w:tc>
        <w:tc>
          <w:tcPr>
            <w:tcW w:w="1072" w:type="dxa"/>
            <w:vAlign w:val="center"/>
          </w:tcPr>
          <w:p>
            <w:pPr>
              <w:pStyle w:val="47"/>
            </w:pPr>
            <w:r>
              <w:t>污染治理设施工艺</w:t>
            </w:r>
          </w:p>
        </w:tc>
        <w:tc>
          <w:tcPr>
            <w:tcW w:w="721" w:type="dxa"/>
            <w:vMerge w:val="continue"/>
            <w:vAlign w:val="center"/>
          </w:tcPr>
          <w:p>
            <w:pPr>
              <w:pStyle w:val="47"/>
            </w:pPr>
          </w:p>
        </w:tc>
        <w:tc>
          <w:tcPr>
            <w:tcW w:w="827" w:type="dxa"/>
            <w:vMerge w:val="continue"/>
            <w:vAlign w:val="center"/>
          </w:tcPr>
          <w:p>
            <w:pPr>
              <w:pStyle w:val="47"/>
            </w:pPr>
          </w:p>
        </w:tc>
        <w:tc>
          <w:tcPr>
            <w:tcW w:w="1293" w:type="dxa"/>
            <w:vMerge w:val="continue"/>
            <w:vAlign w:val="center"/>
          </w:tcPr>
          <w:p>
            <w:pPr>
              <w:pStyle w:val="4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329" w:type="dxa"/>
            <w:vAlign w:val="center"/>
          </w:tcPr>
          <w:p>
            <w:pPr>
              <w:pStyle w:val="47"/>
            </w:pPr>
            <w:r>
              <w:t>1</w:t>
            </w:r>
          </w:p>
        </w:tc>
        <w:tc>
          <w:tcPr>
            <w:tcW w:w="518" w:type="dxa"/>
            <w:vAlign w:val="center"/>
          </w:tcPr>
          <w:p>
            <w:pPr>
              <w:pStyle w:val="47"/>
            </w:pPr>
            <w:r>
              <w:rPr>
                <w:rFonts w:hint="eastAsia"/>
              </w:rPr>
              <w:t>综合</w:t>
            </w:r>
            <w:r>
              <w:t>废水</w:t>
            </w:r>
          </w:p>
        </w:tc>
        <w:tc>
          <w:tcPr>
            <w:tcW w:w="799" w:type="dxa"/>
            <w:vAlign w:val="center"/>
          </w:tcPr>
          <w:p>
            <w:pPr>
              <w:pStyle w:val="47"/>
            </w:pPr>
            <w:r>
              <w:t>COD、</w:t>
            </w:r>
          </w:p>
          <w:p>
            <w:pPr>
              <w:pStyle w:val="47"/>
            </w:pPr>
            <w:r>
              <w:t>BOD、</w:t>
            </w:r>
          </w:p>
          <w:p>
            <w:pPr>
              <w:pStyle w:val="47"/>
            </w:pPr>
            <w:r>
              <w:t>氨氮、</w:t>
            </w:r>
          </w:p>
          <w:p>
            <w:pPr>
              <w:pStyle w:val="47"/>
            </w:pPr>
            <w:r>
              <w:t>SS</w:t>
            </w:r>
            <w:r>
              <w:rPr>
                <w:rFonts w:hint="eastAsia"/>
              </w:rPr>
              <w:t>、</w:t>
            </w:r>
            <w:r>
              <w:t>粪大肠菌群等</w:t>
            </w:r>
          </w:p>
        </w:tc>
        <w:tc>
          <w:tcPr>
            <w:tcW w:w="719" w:type="dxa"/>
            <w:vAlign w:val="center"/>
          </w:tcPr>
          <w:p>
            <w:pPr>
              <w:pStyle w:val="47"/>
            </w:pPr>
            <w:r>
              <w:t>进入</w:t>
            </w:r>
            <w:r>
              <w:rPr>
                <w:rFonts w:hint="eastAsia"/>
              </w:rPr>
              <w:t>安康市恒口示范区污水处理厂</w:t>
            </w:r>
          </w:p>
        </w:tc>
        <w:tc>
          <w:tcPr>
            <w:tcW w:w="884" w:type="dxa"/>
            <w:vAlign w:val="center"/>
          </w:tcPr>
          <w:p>
            <w:pPr>
              <w:pStyle w:val="47"/>
            </w:pPr>
            <w:r>
              <w:t>间断排放</w:t>
            </w:r>
            <w:r>
              <w:rPr>
                <w:rFonts w:hint="eastAsia"/>
              </w:rPr>
              <w:t>，</w:t>
            </w:r>
            <w:r>
              <w:t>排放期间流量不稳定且无规律，但不属于冲击型排放</w:t>
            </w:r>
          </w:p>
        </w:tc>
        <w:tc>
          <w:tcPr>
            <w:tcW w:w="806" w:type="dxa"/>
            <w:vAlign w:val="center"/>
          </w:tcPr>
          <w:p>
            <w:pPr>
              <w:pStyle w:val="47"/>
            </w:pPr>
            <w:r>
              <w:t>DW001</w:t>
            </w:r>
          </w:p>
        </w:tc>
        <w:tc>
          <w:tcPr>
            <w:tcW w:w="902" w:type="dxa"/>
            <w:vAlign w:val="center"/>
          </w:tcPr>
          <w:p>
            <w:pPr>
              <w:pStyle w:val="47"/>
            </w:pPr>
            <w:r>
              <w:rPr>
                <w:rFonts w:hint="eastAsia"/>
              </w:rPr>
              <w:t>化</w:t>
            </w:r>
          </w:p>
          <w:p>
            <w:pPr>
              <w:pStyle w:val="47"/>
            </w:pPr>
            <w:r>
              <w:rPr>
                <w:rFonts w:hint="eastAsia"/>
              </w:rPr>
              <w:t>粪池+隔油池</w:t>
            </w:r>
          </w:p>
          <w:p>
            <w:pPr>
              <w:pStyle w:val="47"/>
            </w:pPr>
            <w:r>
              <w:rPr>
                <w:rFonts w:hint="eastAsia"/>
              </w:rPr>
              <w:t>+自建污水处理站</w:t>
            </w:r>
          </w:p>
        </w:tc>
        <w:tc>
          <w:tcPr>
            <w:tcW w:w="1072" w:type="dxa"/>
            <w:vAlign w:val="center"/>
          </w:tcPr>
          <w:p>
            <w:pPr>
              <w:pStyle w:val="47"/>
              <w:rPr>
                <w:highlight w:val="yellow"/>
              </w:rPr>
            </w:pPr>
            <w:r>
              <w:rPr>
                <w:rFonts w:hint="eastAsia"/>
                <w:color w:val="000000" w:themeColor="text1"/>
                <w14:textFill>
                  <w14:solidFill>
                    <w14:schemeClr w14:val="tx1"/>
                  </w14:solidFill>
                </w14:textFill>
              </w:rPr>
              <w:t>混凝</w:t>
            </w:r>
            <w:r>
              <w:rPr>
                <w:color w:val="000000" w:themeColor="text1"/>
                <w14:textFill>
                  <w14:solidFill>
                    <w14:schemeClr w14:val="tx1"/>
                  </w14:solidFill>
                </w14:textFill>
              </w:rPr>
              <w:t>沉淀</w:t>
            </w:r>
            <w:r>
              <w:rPr>
                <w:rFonts w:hint="eastAsia"/>
                <w:color w:val="000000" w:themeColor="text1"/>
                <w14:textFill>
                  <w14:solidFill>
                    <w14:schemeClr w14:val="tx1"/>
                  </w14:solidFill>
                </w14:textFill>
              </w:rPr>
              <w:t>+次氯酸钠</w:t>
            </w:r>
            <w:r>
              <w:rPr>
                <w:color w:val="000000" w:themeColor="text1"/>
                <w14:textFill>
                  <w14:solidFill>
                    <w14:schemeClr w14:val="tx1"/>
                  </w14:solidFill>
                </w14:textFill>
              </w:rPr>
              <w:t>消毒</w:t>
            </w:r>
          </w:p>
        </w:tc>
        <w:tc>
          <w:tcPr>
            <w:tcW w:w="721" w:type="dxa"/>
            <w:vAlign w:val="center"/>
          </w:tcPr>
          <w:p>
            <w:pPr>
              <w:pStyle w:val="47"/>
            </w:pPr>
            <w:r>
              <w:t>DW001</w:t>
            </w:r>
          </w:p>
        </w:tc>
        <w:tc>
          <w:tcPr>
            <w:tcW w:w="827" w:type="dxa"/>
            <w:vAlign w:val="center"/>
          </w:tcPr>
          <w:p>
            <w:pPr>
              <w:pStyle w:val="47"/>
            </w:pPr>
            <w:r>
              <w:rPr>
                <w:rFonts w:hint="eastAsia" w:ascii="MS Mincho" w:hAnsi="MS Mincho" w:eastAsia="MS Mincho" w:cs="MS Mincho"/>
              </w:rPr>
              <w:t>☑</w:t>
            </w:r>
            <w:r>
              <w:t>是</w:t>
            </w:r>
          </w:p>
          <w:p>
            <w:pPr>
              <w:pStyle w:val="47"/>
            </w:pPr>
            <w:r>
              <w:t>□否</w:t>
            </w:r>
          </w:p>
        </w:tc>
        <w:tc>
          <w:tcPr>
            <w:tcW w:w="1293" w:type="dxa"/>
            <w:vAlign w:val="center"/>
          </w:tcPr>
          <w:p>
            <w:pPr>
              <w:pStyle w:val="47"/>
            </w:pPr>
            <w:r>
              <w:rPr>
                <w:rFonts w:hint="eastAsia" w:ascii="MS Mincho" w:hAnsi="MS Mincho" w:eastAsia="MS Mincho" w:cs="MS Mincho"/>
              </w:rPr>
              <w:t>☑</w:t>
            </w:r>
            <w:r>
              <w:t>企业总排</w:t>
            </w:r>
          </w:p>
          <w:p>
            <w:pPr>
              <w:pStyle w:val="47"/>
            </w:pPr>
            <w:r>
              <w:t>□雨水排放</w:t>
            </w:r>
          </w:p>
          <w:p>
            <w:pPr>
              <w:pStyle w:val="47"/>
            </w:pPr>
            <w:r>
              <w:t>□清净下水排放</w:t>
            </w:r>
          </w:p>
          <w:p>
            <w:pPr>
              <w:pStyle w:val="47"/>
            </w:pPr>
            <w:r>
              <w:t>□温排水排放</w:t>
            </w:r>
          </w:p>
          <w:p>
            <w:pPr>
              <w:pStyle w:val="47"/>
            </w:pPr>
            <w:r>
              <w:t>□车间或车间处理设施排放口</w:t>
            </w:r>
          </w:p>
        </w:tc>
      </w:tr>
    </w:tbl>
    <w:p>
      <w:pPr>
        <w:pStyle w:val="22"/>
      </w:pPr>
      <w:r>
        <w:t>表6.2-10  废水间接排放口基本情况表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99"/>
        <w:gridCol w:w="720"/>
        <w:gridCol w:w="1157"/>
        <w:gridCol w:w="1157"/>
        <w:gridCol w:w="731"/>
        <w:gridCol w:w="534"/>
        <w:gridCol w:w="389"/>
        <w:gridCol w:w="811"/>
        <w:gridCol w:w="674"/>
        <w:gridCol w:w="871"/>
        <w:gridCol w:w="15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序号</w:t>
            </w:r>
          </w:p>
        </w:tc>
        <w:tc>
          <w:tcPr>
            <w:tcW w:w="720"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排放口编号</w:t>
            </w:r>
          </w:p>
        </w:tc>
        <w:tc>
          <w:tcPr>
            <w:tcW w:w="2314" w:type="dxa"/>
            <w:gridSpan w:val="2"/>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排放口地理坐标</w:t>
            </w:r>
          </w:p>
        </w:tc>
        <w:tc>
          <w:tcPr>
            <w:tcW w:w="731"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废水排放量（</w:t>
            </w:r>
            <w:r>
              <w:rPr>
                <w:rFonts w:hint="eastAsia" w:ascii="Times New Roman" w:hAnsi="Times New Roman" w:eastAsia="宋体" w:cs="Times New Roman"/>
                <w:kern w:val="0"/>
                <w:szCs w:val="20"/>
              </w:rPr>
              <w:t>万</w:t>
            </w:r>
            <w:r>
              <w:rPr>
                <w:rFonts w:ascii="Times New Roman" w:hAnsi="Times New Roman" w:eastAsia="宋体" w:cs="Times New Roman"/>
                <w:kern w:val="0"/>
                <w:szCs w:val="20"/>
              </w:rPr>
              <w:t>t/a）</w:t>
            </w:r>
          </w:p>
        </w:tc>
        <w:tc>
          <w:tcPr>
            <w:tcW w:w="534"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排放去向</w:t>
            </w:r>
          </w:p>
        </w:tc>
        <w:tc>
          <w:tcPr>
            <w:tcW w:w="389"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排放规律</w:t>
            </w:r>
          </w:p>
        </w:tc>
        <w:tc>
          <w:tcPr>
            <w:tcW w:w="811"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间歇排放时段</w:t>
            </w:r>
          </w:p>
        </w:tc>
        <w:tc>
          <w:tcPr>
            <w:tcW w:w="3072" w:type="dxa"/>
            <w:gridSpan w:val="3"/>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720"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115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经度</w:t>
            </w:r>
          </w:p>
        </w:tc>
        <w:tc>
          <w:tcPr>
            <w:tcW w:w="115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纬度</w:t>
            </w:r>
          </w:p>
        </w:tc>
        <w:tc>
          <w:tcPr>
            <w:tcW w:w="73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53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38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1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674"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名称</w:t>
            </w: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污染物种类</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国家或地方污染物排放标准浓度限值（mg/L）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1</w:t>
            </w:r>
          </w:p>
        </w:tc>
        <w:tc>
          <w:tcPr>
            <w:tcW w:w="720"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DW001</w:t>
            </w:r>
          </w:p>
        </w:tc>
        <w:tc>
          <w:tcPr>
            <w:tcW w:w="1157"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 xml:space="preserve">108°46'2.51" </w:t>
            </w:r>
          </w:p>
        </w:tc>
        <w:tc>
          <w:tcPr>
            <w:tcW w:w="1157"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 xml:space="preserve">32°43'50.29" </w:t>
            </w:r>
          </w:p>
        </w:tc>
        <w:tc>
          <w:tcPr>
            <w:tcW w:w="731" w:type="dxa"/>
            <w:vMerge w:val="restart"/>
            <w:vAlign w:val="center"/>
          </w:tcPr>
          <w:p>
            <w:pPr>
              <w:adjustRightInd w:val="0"/>
              <w:snapToGrid w:val="0"/>
              <w:jc w:val="center"/>
              <w:textAlignment w:val="baseline"/>
              <w:rPr>
                <w:rFonts w:ascii="Times New Roman" w:hAnsi="Times New Roman" w:eastAsia="宋体" w:cs="Times New Roman"/>
                <w:kern w:val="0"/>
                <w:szCs w:val="20"/>
                <w:highlight w:val="yellow"/>
              </w:rPr>
            </w:pPr>
            <w:r>
              <w:rPr>
                <w:rFonts w:ascii="Times New Roman" w:hAnsi="Times New Roman" w:eastAsia="宋体" w:cs="Times New Roman"/>
                <w:kern w:val="0"/>
                <w:szCs w:val="20"/>
              </w:rPr>
              <w:t>7.12</w:t>
            </w:r>
          </w:p>
        </w:tc>
        <w:tc>
          <w:tcPr>
            <w:tcW w:w="534"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进入</w:t>
            </w:r>
            <w:r>
              <w:rPr>
                <w:rFonts w:hint="eastAsia" w:ascii="Times New Roman" w:hAnsi="Times New Roman" w:eastAsia="宋体" w:cs="Times New Roman"/>
                <w:kern w:val="0"/>
                <w:szCs w:val="20"/>
              </w:rPr>
              <w:t>安康市恒口示范区污水处理厂</w:t>
            </w:r>
          </w:p>
        </w:tc>
        <w:tc>
          <w:tcPr>
            <w:tcW w:w="389"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间断排放</w:t>
            </w:r>
          </w:p>
        </w:tc>
        <w:tc>
          <w:tcPr>
            <w:tcW w:w="811"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8:00~18:00</w:t>
            </w:r>
          </w:p>
        </w:tc>
        <w:tc>
          <w:tcPr>
            <w:tcW w:w="674" w:type="dxa"/>
            <w:vMerge w:val="restart"/>
            <w:vAlign w:val="center"/>
          </w:tcPr>
          <w:p>
            <w:pPr>
              <w:adjustRightInd w:val="0"/>
              <w:snapToGrid w:val="0"/>
              <w:jc w:val="center"/>
              <w:textAlignment w:val="baseline"/>
              <w:rPr>
                <w:rFonts w:ascii="Times New Roman" w:hAnsi="Times New Roman" w:eastAsia="宋体" w:cs="Times New Roman"/>
                <w:kern w:val="0"/>
                <w:szCs w:val="20"/>
              </w:rPr>
            </w:pPr>
            <w:r>
              <w:rPr>
                <w:rFonts w:hint="eastAsia" w:ascii="Times New Roman" w:hAnsi="Times New Roman" w:eastAsia="宋体" w:cs="Times New Roman"/>
                <w:kern w:val="0"/>
                <w:szCs w:val="20"/>
              </w:rPr>
              <w:t>安康市恒口示范区污水处理厂</w:t>
            </w: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pH</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6.0~9.0（无量纲）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20"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31"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53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38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1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67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COD</w:t>
            </w:r>
            <w:r>
              <w:rPr>
                <w:rFonts w:ascii="Times New Roman" w:hAnsi="Times New Roman" w:eastAsia="宋体" w:cs="Times New Roman"/>
                <w:kern w:val="0"/>
                <w:szCs w:val="20"/>
                <w:vertAlign w:val="subscript"/>
              </w:rPr>
              <w:t>Cr</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20"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31"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53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38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1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67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BOD</w:t>
            </w:r>
            <w:r>
              <w:rPr>
                <w:rFonts w:ascii="Times New Roman" w:hAnsi="Times New Roman" w:eastAsia="宋体" w:cs="Times New Roman"/>
                <w:kern w:val="0"/>
                <w:szCs w:val="20"/>
                <w:vertAlign w:val="subscript"/>
              </w:rPr>
              <w:t>5</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20"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31"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53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38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1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67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NH</w:t>
            </w:r>
            <w:r>
              <w:rPr>
                <w:rFonts w:ascii="Times New Roman" w:hAnsi="Times New Roman" w:eastAsia="宋体" w:cs="Times New Roman"/>
                <w:kern w:val="0"/>
                <w:szCs w:val="20"/>
                <w:vertAlign w:val="subscript"/>
              </w:rPr>
              <w:t>3</w:t>
            </w:r>
            <w:r>
              <w:rPr>
                <w:rFonts w:ascii="Times New Roman" w:hAnsi="Times New Roman" w:eastAsia="宋体" w:cs="Times New Roman"/>
                <w:kern w:val="0"/>
                <w:szCs w:val="20"/>
              </w:rPr>
              <w:t>-N</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299"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20"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1157"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731" w:type="dxa"/>
            <w:vMerge w:val="continue"/>
            <w:vAlign w:val="center"/>
          </w:tcPr>
          <w:p>
            <w:pPr>
              <w:adjustRightInd w:val="0"/>
              <w:snapToGrid w:val="0"/>
              <w:jc w:val="center"/>
              <w:textAlignment w:val="baseline"/>
              <w:rPr>
                <w:rFonts w:ascii="Times New Roman" w:hAnsi="Times New Roman" w:eastAsia="宋体" w:cs="Times New Roman"/>
                <w:kern w:val="0"/>
                <w:szCs w:val="20"/>
                <w:highlight w:val="yellow"/>
              </w:rPr>
            </w:pPr>
          </w:p>
        </w:tc>
        <w:tc>
          <w:tcPr>
            <w:tcW w:w="53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389"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11"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674" w:type="dxa"/>
            <w:vMerge w:val="continue"/>
            <w:vAlign w:val="center"/>
          </w:tcPr>
          <w:p>
            <w:pPr>
              <w:adjustRightInd w:val="0"/>
              <w:snapToGrid w:val="0"/>
              <w:jc w:val="center"/>
              <w:textAlignment w:val="baseline"/>
              <w:rPr>
                <w:rFonts w:ascii="Times New Roman" w:hAnsi="Times New Roman" w:eastAsia="宋体" w:cs="Times New Roman"/>
                <w:kern w:val="0"/>
                <w:szCs w:val="20"/>
              </w:rPr>
            </w:pPr>
          </w:p>
        </w:tc>
        <w:tc>
          <w:tcPr>
            <w:tcW w:w="871"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SS</w:t>
            </w:r>
          </w:p>
        </w:tc>
        <w:tc>
          <w:tcPr>
            <w:tcW w:w="1527" w:type="dxa"/>
            <w:vAlign w:val="center"/>
          </w:tcPr>
          <w:p>
            <w:pPr>
              <w:adjustRightInd w:val="0"/>
              <w:snapToGrid w:val="0"/>
              <w:jc w:val="center"/>
              <w:textAlignment w:val="baseline"/>
              <w:rPr>
                <w:rFonts w:ascii="Times New Roman" w:hAnsi="Times New Roman" w:eastAsia="宋体" w:cs="Times New Roman"/>
                <w:kern w:val="0"/>
                <w:szCs w:val="20"/>
              </w:rPr>
            </w:pPr>
            <w:r>
              <w:rPr>
                <w:rFonts w:ascii="Times New Roman" w:hAnsi="Times New Roman" w:eastAsia="宋体" w:cs="Times New Roman"/>
                <w:kern w:val="0"/>
                <w:szCs w:val="20"/>
              </w:rPr>
              <w:t>10</w:t>
            </w:r>
          </w:p>
        </w:tc>
      </w:tr>
    </w:tbl>
    <w:p>
      <w:pPr>
        <w:pStyle w:val="22"/>
      </w:pPr>
      <w:r>
        <w:t>表6.2</w:t>
      </w:r>
      <w:r>
        <w:noBreakHyphen/>
      </w:r>
      <w:r>
        <w:t>11  废水污染物排放执行标准表</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45"/>
        <w:gridCol w:w="1336"/>
        <w:gridCol w:w="1350"/>
        <w:gridCol w:w="2918"/>
        <w:gridCol w:w="27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restart"/>
            <w:vAlign w:val="center"/>
          </w:tcPr>
          <w:p>
            <w:pPr>
              <w:pStyle w:val="43"/>
            </w:pPr>
            <w:r>
              <w:t>序号</w:t>
            </w:r>
          </w:p>
        </w:tc>
        <w:tc>
          <w:tcPr>
            <w:tcW w:w="1336" w:type="dxa"/>
            <w:vMerge w:val="restart"/>
            <w:vAlign w:val="center"/>
          </w:tcPr>
          <w:p>
            <w:pPr>
              <w:pStyle w:val="43"/>
            </w:pPr>
            <w:r>
              <w:t>排放口编号</w:t>
            </w:r>
          </w:p>
        </w:tc>
        <w:tc>
          <w:tcPr>
            <w:tcW w:w="1350" w:type="dxa"/>
            <w:vMerge w:val="restart"/>
            <w:vAlign w:val="center"/>
          </w:tcPr>
          <w:p>
            <w:pPr>
              <w:pStyle w:val="43"/>
            </w:pPr>
            <w:r>
              <w:t>污染物种类</w:t>
            </w:r>
          </w:p>
        </w:tc>
        <w:tc>
          <w:tcPr>
            <w:tcW w:w="5639" w:type="dxa"/>
            <w:gridSpan w:val="2"/>
            <w:vMerge w:val="restart"/>
            <w:vAlign w:val="center"/>
          </w:tcPr>
          <w:p>
            <w:pPr>
              <w:pStyle w:val="43"/>
            </w:pPr>
            <w: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Merge w:val="continue"/>
            <w:vAlign w:val="center"/>
          </w:tcPr>
          <w:p>
            <w:pPr>
              <w:pStyle w:val="43"/>
            </w:pPr>
          </w:p>
        </w:tc>
        <w:tc>
          <w:tcPr>
            <w:tcW w:w="5639" w:type="dxa"/>
            <w:gridSpan w:val="2"/>
            <w:vMerge w:val="continue"/>
            <w:vAlign w:val="center"/>
          </w:tcPr>
          <w:p>
            <w:pPr>
              <w:pStyle w:val="4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Merge w:val="continue"/>
            <w:vAlign w:val="center"/>
          </w:tcPr>
          <w:p>
            <w:pPr>
              <w:pStyle w:val="43"/>
            </w:pPr>
          </w:p>
        </w:tc>
        <w:tc>
          <w:tcPr>
            <w:tcW w:w="2918" w:type="dxa"/>
            <w:vAlign w:val="center"/>
          </w:tcPr>
          <w:p>
            <w:pPr>
              <w:pStyle w:val="43"/>
            </w:pPr>
            <w:r>
              <w:t>名称</w:t>
            </w:r>
          </w:p>
        </w:tc>
        <w:tc>
          <w:tcPr>
            <w:tcW w:w="2721" w:type="dxa"/>
            <w:vAlign w:val="center"/>
          </w:tcPr>
          <w:p>
            <w:pPr>
              <w:pStyle w:val="43"/>
            </w:pPr>
            <w:r>
              <w:t>准浓度限值（mg/L）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restart"/>
            <w:vAlign w:val="center"/>
          </w:tcPr>
          <w:p>
            <w:pPr>
              <w:pStyle w:val="43"/>
            </w:pPr>
            <w:r>
              <w:t>1</w:t>
            </w:r>
          </w:p>
        </w:tc>
        <w:tc>
          <w:tcPr>
            <w:tcW w:w="1336" w:type="dxa"/>
            <w:vMerge w:val="restart"/>
            <w:vAlign w:val="center"/>
          </w:tcPr>
          <w:p>
            <w:pPr>
              <w:pStyle w:val="43"/>
            </w:pPr>
            <w:r>
              <w:t>DW001</w:t>
            </w:r>
          </w:p>
        </w:tc>
        <w:tc>
          <w:tcPr>
            <w:tcW w:w="1350" w:type="dxa"/>
            <w:vAlign w:val="center"/>
          </w:tcPr>
          <w:p>
            <w:pPr>
              <w:pStyle w:val="43"/>
            </w:pPr>
            <w:r>
              <w:t>pH</w:t>
            </w:r>
          </w:p>
        </w:tc>
        <w:tc>
          <w:tcPr>
            <w:tcW w:w="2918" w:type="dxa"/>
            <w:vMerge w:val="restart"/>
            <w:vAlign w:val="center"/>
          </w:tcPr>
          <w:p>
            <w:pPr>
              <w:pStyle w:val="43"/>
            </w:pPr>
            <w:r>
              <w:rPr>
                <w:rFonts w:hint="eastAsia"/>
              </w:rPr>
              <w:t>《医疗机构水污染物排放标准》（GB18466-2005）表2综合医疗机构和其他医疗机构预处理标准限值，氨氮、总余氯参照《污水排入城镇下水道水质标准》（GB/T31962-2015）</w:t>
            </w:r>
            <w:r>
              <w:t>B</w:t>
            </w:r>
            <w:r>
              <w:rPr>
                <w:rFonts w:hint="eastAsia"/>
              </w:rPr>
              <w:t>级标准</w:t>
            </w:r>
          </w:p>
        </w:tc>
        <w:tc>
          <w:tcPr>
            <w:tcW w:w="2721" w:type="dxa"/>
            <w:vAlign w:val="center"/>
          </w:tcPr>
          <w:p>
            <w:pPr>
              <w:pStyle w:val="43"/>
            </w:pPr>
            <w:r>
              <w:t>6.0~9.0（无量纲）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Align w:val="center"/>
          </w:tcPr>
          <w:p>
            <w:pPr>
              <w:pStyle w:val="43"/>
            </w:pPr>
            <w:r>
              <w:t>CODCr</w:t>
            </w:r>
          </w:p>
        </w:tc>
        <w:tc>
          <w:tcPr>
            <w:tcW w:w="2918" w:type="dxa"/>
            <w:vMerge w:val="continue"/>
            <w:vAlign w:val="center"/>
          </w:tcPr>
          <w:p>
            <w:pPr>
              <w:pStyle w:val="43"/>
            </w:pPr>
          </w:p>
        </w:tc>
        <w:tc>
          <w:tcPr>
            <w:tcW w:w="2721" w:type="dxa"/>
            <w:vAlign w:val="center"/>
          </w:tcPr>
          <w:p>
            <w:pPr>
              <w:pStyle w:val="43"/>
            </w:pPr>
            <w: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Align w:val="center"/>
          </w:tcPr>
          <w:p>
            <w:pPr>
              <w:pStyle w:val="43"/>
            </w:pPr>
            <w:r>
              <w:t>BOD</w:t>
            </w:r>
            <w:r>
              <w:rPr>
                <w:vertAlign w:val="subscript"/>
              </w:rPr>
              <w:t>5</w:t>
            </w:r>
          </w:p>
        </w:tc>
        <w:tc>
          <w:tcPr>
            <w:tcW w:w="2918" w:type="dxa"/>
            <w:vMerge w:val="continue"/>
            <w:vAlign w:val="center"/>
          </w:tcPr>
          <w:p>
            <w:pPr>
              <w:pStyle w:val="43"/>
            </w:pPr>
          </w:p>
        </w:tc>
        <w:tc>
          <w:tcPr>
            <w:tcW w:w="2721" w:type="dxa"/>
            <w:vAlign w:val="center"/>
          </w:tcPr>
          <w:p>
            <w:pPr>
              <w:pStyle w:val="43"/>
            </w:pPr>
            <w: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Align w:val="center"/>
          </w:tcPr>
          <w:p>
            <w:pPr>
              <w:pStyle w:val="43"/>
            </w:pPr>
            <w:r>
              <w:t>NH</w:t>
            </w:r>
            <w:r>
              <w:rPr>
                <w:vertAlign w:val="subscript"/>
              </w:rPr>
              <w:t>3</w:t>
            </w:r>
            <w:r>
              <w:t>-N</w:t>
            </w:r>
          </w:p>
        </w:tc>
        <w:tc>
          <w:tcPr>
            <w:tcW w:w="2918" w:type="dxa"/>
            <w:vMerge w:val="continue"/>
            <w:vAlign w:val="center"/>
          </w:tcPr>
          <w:p>
            <w:pPr>
              <w:pStyle w:val="43"/>
            </w:pPr>
          </w:p>
        </w:tc>
        <w:tc>
          <w:tcPr>
            <w:tcW w:w="2721" w:type="dxa"/>
            <w:vAlign w:val="center"/>
          </w:tcPr>
          <w:p>
            <w:pPr>
              <w:pStyle w:val="43"/>
            </w:pPr>
            <w: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Align w:val="center"/>
          </w:tcPr>
          <w:p>
            <w:pPr>
              <w:pStyle w:val="43"/>
            </w:pPr>
            <w:r>
              <w:t>SS</w:t>
            </w:r>
          </w:p>
        </w:tc>
        <w:tc>
          <w:tcPr>
            <w:tcW w:w="2918" w:type="dxa"/>
            <w:vMerge w:val="continue"/>
            <w:vAlign w:val="center"/>
          </w:tcPr>
          <w:p>
            <w:pPr>
              <w:pStyle w:val="43"/>
            </w:pPr>
          </w:p>
        </w:tc>
        <w:tc>
          <w:tcPr>
            <w:tcW w:w="2721" w:type="dxa"/>
            <w:vAlign w:val="center"/>
          </w:tcPr>
          <w:p>
            <w:pPr>
              <w:pStyle w:val="43"/>
            </w:pPr>
            <w: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454" w:hRule="atLeast"/>
          <w:jc w:val="center"/>
        </w:trPr>
        <w:tc>
          <w:tcPr>
            <w:tcW w:w="545" w:type="dxa"/>
            <w:vMerge w:val="continue"/>
            <w:vAlign w:val="center"/>
          </w:tcPr>
          <w:p>
            <w:pPr>
              <w:pStyle w:val="43"/>
            </w:pPr>
          </w:p>
        </w:tc>
        <w:tc>
          <w:tcPr>
            <w:tcW w:w="1336" w:type="dxa"/>
            <w:vMerge w:val="continue"/>
            <w:vAlign w:val="center"/>
          </w:tcPr>
          <w:p>
            <w:pPr>
              <w:pStyle w:val="43"/>
            </w:pPr>
          </w:p>
        </w:tc>
        <w:tc>
          <w:tcPr>
            <w:tcW w:w="1350" w:type="dxa"/>
            <w:vAlign w:val="center"/>
          </w:tcPr>
          <w:p>
            <w:pPr>
              <w:pStyle w:val="43"/>
            </w:pPr>
            <w:r>
              <w:rPr>
                <w:rFonts w:hint="eastAsia"/>
              </w:rPr>
              <w:t>粪大肠</w:t>
            </w:r>
            <w:r>
              <w:t>菌群</w:t>
            </w:r>
          </w:p>
        </w:tc>
        <w:tc>
          <w:tcPr>
            <w:tcW w:w="2918" w:type="dxa"/>
            <w:vMerge w:val="continue"/>
            <w:vAlign w:val="center"/>
          </w:tcPr>
          <w:p>
            <w:pPr>
              <w:pStyle w:val="43"/>
            </w:pPr>
          </w:p>
        </w:tc>
        <w:tc>
          <w:tcPr>
            <w:tcW w:w="2721" w:type="dxa"/>
            <w:vAlign w:val="center"/>
          </w:tcPr>
          <w:p>
            <w:pPr>
              <w:pStyle w:val="43"/>
            </w:pPr>
            <w:r>
              <w:rPr>
                <w:rFonts w:hint="eastAsia"/>
              </w:rPr>
              <w:t>500</w:t>
            </w:r>
            <w:r>
              <w:t>0</w:t>
            </w:r>
            <w:r>
              <w:rPr>
                <w:rFonts w:hint="eastAsia"/>
              </w:rPr>
              <w:t>MPN/L</w:t>
            </w:r>
          </w:p>
        </w:tc>
      </w:tr>
    </w:tbl>
    <w:p>
      <w:pPr>
        <w:pStyle w:val="22"/>
        <w:rPr>
          <w:highlight w:val="yellow"/>
        </w:rPr>
      </w:pPr>
    </w:p>
    <w:p>
      <w:pPr>
        <w:pStyle w:val="22"/>
      </w:pPr>
      <w:r>
        <w:br w:type="column"/>
      </w:r>
      <w:r>
        <w:t>表6.2-12</w:t>
      </w:r>
      <w:r>
        <w:rPr>
          <w:rFonts w:hint="eastAsia"/>
        </w:rPr>
        <w:t xml:space="preserve"> </w:t>
      </w:r>
      <w:r>
        <w:t xml:space="preserve"> </w:t>
      </w:r>
      <w:r>
        <w:rPr>
          <w:lang w:val="en-GB"/>
        </w:rPr>
        <w:t>废水污染物排放信息表（新建项目）</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698"/>
        <w:gridCol w:w="1630"/>
        <w:gridCol w:w="1499"/>
        <w:gridCol w:w="1739"/>
        <w:gridCol w:w="1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Align w:val="center"/>
          </w:tcPr>
          <w:p>
            <w:pPr>
              <w:pStyle w:val="47"/>
            </w:pPr>
            <w:r>
              <w:t>序号</w:t>
            </w:r>
          </w:p>
        </w:tc>
        <w:tc>
          <w:tcPr>
            <w:tcW w:w="1698" w:type="dxa"/>
            <w:vAlign w:val="center"/>
          </w:tcPr>
          <w:p>
            <w:pPr>
              <w:pStyle w:val="47"/>
            </w:pPr>
            <w:r>
              <w:t>排放口编号</w:t>
            </w:r>
          </w:p>
        </w:tc>
        <w:tc>
          <w:tcPr>
            <w:tcW w:w="1630" w:type="dxa"/>
            <w:vAlign w:val="center"/>
          </w:tcPr>
          <w:p>
            <w:pPr>
              <w:pStyle w:val="47"/>
            </w:pPr>
            <w:r>
              <w:t>污染物种类</w:t>
            </w:r>
          </w:p>
        </w:tc>
        <w:tc>
          <w:tcPr>
            <w:tcW w:w="1499" w:type="dxa"/>
            <w:vAlign w:val="center"/>
          </w:tcPr>
          <w:p>
            <w:pPr>
              <w:pStyle w:val="47"/>
            </w:pPr>
            <w:r>
              <w:t>排放浓度（mg/L）</w:t>
            </w:r>
          </w:p>
        </w:tc>
        <w:tc>
          <w:tcPr>
            <w:tcW w:w="1739" w:type="dxa"/>
            <w:vAlign w:val="center"/>
          </w:tcPr>
          <w:p>
            <w:pPr>
              <w:pStyle w:val="47"/>
              <w:rPr>
                <w:highlight w:val="yellow"/>
              </w:rPr>
            </w:pPr>
            <w:r>
              <w:t>日排放量（t/d）</w:t>
            </w:r>
          </w:p>
        </w:tc>
        <w:tc>
          <w:tcPr>
            <w:tcW w:w="1659" w:type="dxa"/>
            <w:vAlign w:val="center"/>
          </w:tcPr>
          <w:p>
            <w:pPr>
              <w:pStyle w:val="47"/>
            </w:pPr>
            <w: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Merge w:val="restart"/>
            <w:vAlign w:val="center"/>
          </w:tcPr>
          <w:p>
            <w:pPr>
              <w:pStyle w:val="47"/>
            </w:pPr>
            <w:r>
              <w:t>1</w:t>
            </w:r>
          </w:p>
        </w:tc>
        <w:tc>
          <w:tcPr>
            <w:tcW w:w="1698" w:type="dxa"/>
            <w:vMerge w:val="restart"/>
            <w:vAlign w:val="center"/>
          </w:tcPr>
          <w:p>
            <w:pPr>
              <w:pStyle w:val="47"/>
            </w:pPr>
            <w:r>
              <w:t>DW001</w:t>
            </w:r>
          </w:p>
        </w:tc>
        <w:tc>
          <w:tcPr>
            <w:tcW w:w="1630" w:type="dxa"/>
            <w:vAlign w:val="center"/>
          </w:tcPr>
          <w:p>
            <w:pPr>
              <w:pStyle w:val="47"/>
            </w:pPr>
            <w:r>
              <w:t>CODc</w:t>
            </w:r>
            <w:r>
              <w:rPr>
                <w:vertAlign w:val="subscript"/>
              </w:rPr>
              <w:t>r</w:t>
            </w:r>
          </w:p>
        </w:tc>
        <w:tc>
          <w:tcPr>
            <w:tcW w:w="1499" w:type="dxa"/>
            <w:vAlign w:val="center"/>
          </w:tcPr>
          <w:p>
            <w:pPr>
              <w:widowControl/>
              <w:jc w:val="center"/>
              <w:rPr>
                <w:rFonts w:ascii="Times New Roman" w:hAnsi="Times New Roman" w:cs="Times New Roman"/>
                <w:szCs w:val="21"/>
              </w:rPr>
            </w:pPr>
            <w:r>
              <w:rPr>
                <w:rFonts w:ascii="Times New Roman" w:hAnsi="Times New Roman" w:cs="Times New Roman"/>
                <w:szCs w:val="21"/>
              </w:rPr>
              <w:t>180</w:t>
            </w:r>
          </w:p>
        </w:tc>
        <w:tc>
          <w:tcPr>
            <w:tcW w:w="1739" w:type="dxa"/>
            <w:vAlign w:val="center"/>
          </w:tcPr>
          <w:p>
            <w:pPr>
              <w:pStyle w:val="47"/>
            </w:pPr>
            <w:r>
              <w:rPr>
                <w:rFonts w:hint="eastAsia"/>
              </w:rPr>
              <w:t>0.035</w:t>
            </w:r>
          </w:p>
        </w:tc>
        <w:tc>
          <w:tcPr>
            <w:tcW w:w="1659"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12.83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Merge w:val="continue"/>
            <w:vAlign w:val="center"/>
          </w:tcPr>
          <w:p>
            <w:pPr>
              <w:pStyle w:val="47"/>
              <w:rPr>
                <w:highlight w:val="yellow"/>
              </w:rPr>
            </w:pPr>
          </w:p>
        </w:tc>
        <w:tc>
          <w:tcPr>
            <w:tcW w:w="1698" w:type="dxa"/>
            <w:vMerge w:val="continue"/>
            <w:vAlign w:val="center"/>
          </w:tcPr>
          <w:p>
            <w:pPr>
              <w:pStyle w:val="47"/>
            </w:pPr>
          </w:p>
        </w:tc>
        <w:tc>
          <w:tcPr>
            <w:tcW w:w="1630" w:type="dxa"/>
            <w:vAlign w:val="center"/>
          </w:tcPr>
          <w:p>
            <w:pPr>
              <w:pStyle w:val="47"/>
            </w:pPr>
            <w:r>
              <w:t>BOD</w:t>
            </w:r>
            <w:r>
              <w:rPr>
                <w:vertAlign w:val="subscript"/>
              </w:rPr>
              <w:t>5</w:t>
            </w:r>
          </w:p>
        </w:tc>
        <w:tc>
          <w:tcPr>
            <w:tcW w:w="1499" w:type="dxa"/>
            <w:vAlign w:val="center"/>
          </w:tcPr>
          <w:p>
            <w:pPr>
              <w:jc w:val="center"/>
              <w:rPr>
                <w:rFonts w:ascii="Times New Roman" w:hAnsi="Times New Roman" w:cs="Times New Roman"/>
                <w:szCs w:val="21"/>
              </w:rPr>
            </w:pPr>
            <w:r>
              <w:rPr>
                <w:rFonts w:ascii="Times New Roman" w:hAnsi="Times New Roman" w:cs="Times New Roman"/>
                <w:szCs w:val="21"/>
              </w:rPr>
              <w:t>90</w:t>
            </w:r>
          </w:p>
        </w:tc>
        <w:tc>
          <w:tcPr>
            <w:tcW w:w="1739" w:type="dxa"/>
            <w:vAlign w:val="center"/>
          </w:tcPr>
          <w:p>
            <w:pPr>
              <w:pStyle w:val="47"/>
            </w:pPr>
            <w:r>
              <w:rPr>
                <w:rFonts w:hint="eastAsia"/>
              </w:rPr>
              <w:t>0.018</w:t>
            </w:r>
          </w:p>
        </w:tc>
        <w:tc>
          <w:tcPr>
            <w:tcW w:w="1659" w:type="dxa"/>
            <w:vAlign w:val="center"/>
          </w:tcPr>
          <w:p>
            <w:pPr>
              <w:jc w:val="center"/>
              <w:rPr>
                <w:rFonts w:ascii="Times New Roman" w:hAnsi="Times New Roman" w:cs="Times New Roman"/>
                <w:szCs w:val="21"/>
              </w:rPr>
            </w:pPr>
            <w:r>
              <w:rPr>
                <w:rFonts w:hint="eastAsia" w:ascii="Times New Roman" w:hAnsi="Times New Roman" w:cs="Times New Roman"/>
                <w:szCs w:val="21"/>
              </w:rPr>
              <w:t>6.42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Merge w:val="continue"/>
            <w:vAlign w:val="center"/>
          </w:tcPr>
          <w:p>
            <w:pPr>
              <w:pStyle w:val="47"/>
              <w:rPr>
                <w:highlight w:val="yellow"/>
              </w:rPr>
            </w:pPr>
          </w:p>
        </w:tc>
        <w:tc>
          <w:tcPr>
            <w:tcW w:w="1698" w:type="dxa"/>
            <w:vMerge w:val="continue"/>
            <w:vAlign w:val="center"/>
          </w:tcPr>
          <w:p>
            <w:pPr>
              <w:pStyle w:val="47"/>
            </w:pPr>
          </w:p>
        </w:tc>
        <w:tc>
          <w:tcPr>
            <w:tcW w:w="1630" w:type="dxa"/>
            <w:vAlign w:val="center"/>
          </w:tcPr>
          <w:p>
            <w:pPr>
              <w:pStyle w:val="47"/>
            </w:pPr>
            <w:r>
              <w:t>氨氮</w:t>
            </w:r>
          </w:p>
        </w:tc>
        <w:tc>
          <w:tcPr>
            <w:tcW w:w="1499" w:type="dxa"/>
            <w:vAlign w:val="center"/>
          </w:tcPr>
          <w:p>
            <w:pPr>
              <w:jc w:val="center"/>
              <w:rPr>
                <w:rFonts w:ascii="Times New Roman" w:hAnsi="Times New Roman" w:cs="Times New Roman"/>
                <w:szCs w:val="21"/>
              </w:rPr>
            </w:pPr>
            <w:r>
              <w:rPr>
                <w:rFonts w:ascii="Times New Roman" w:hAnsi="Times New Roman" w:cs="Times New Roman"/>
                <w:szCs w:val="21"/>
              </w:rPr>
              <w:t>24</w:t>
            </w:r>
          </w:p>
        </w:tc>
        <w:tc>
          <w:tcPr>
            <w:tcW w:w="1739" w:type="dxa"/>
            <w:vAlign w:val="center"/>
          </w:tcPr>
          <w:p>
            <w:pPr>
              <w:pStyle w:val="47"/>
            </w:pPr>
            <w:r>
              <w:rPr>
                <w:rFonts w:hint="eastAsia"/>
              </w:rPr>
              <w:t>0.006</w:t>
            </w:r>
          </w:p>
        </w:tc>
        <w:tc>
          <w:tcPr>
            <w:tcW w:w="1659" w:type="dxa"/>
            <w:vAlign w:val="center"/>
          </w:tcPr>
          <w:p>
            <w:pPr>
              <w:jc w:val="center"/>
              <w:rPr>
                <w:rFonts w:ascii="Times New Roman" w:hAnsi="Times New Roman" w:cs="Times New Roman"/>
                <w:szCs w:val="21"/>
              </w:rPr>
            </w:pPr>
            <w:r>
              <w:rPr>
                <w:rFonts w:hint="eastAsia" w:ascii="Times New Roman" w:hAnsi="Times New Roman" w:cs="Times New Roman"/>
                <w:szCs w:val="21"/>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Merge w:val="continue"/>
            <w:vAlign w:val="center"/>
          </w:tcPr>
          <w:p>
            <w:pPr>
              <w:pStyle w:val="47"/>
              <w:rPr>
                <w:highlight w:val="yellow"/>
              </w:rPr>
            </w:pPr>
          </w:p>
        </w:tc>
        <w:tc>
          <w:tcPr>
            <w:tcW w:w="1698" w:type="dxa"/>
            <w:vMerge w:val="continue"/>
            <w:vAlign w:val="center"/>
          </w:tcPr>
          <w:p>
            <w:pPr>
              <w:pStyle w:val="47"/>
            </w:pPr>
          </w:p>
        </w:tc>
        <w:tc>
          <w:tcPr>
            <w:tcW w:w="1630" w:type="dxa"/>
            <w:vAlign w:val="center"/>
          </w:tcPr>
          <w:p>
            <w:pPr>
              <w:pStyle w:val="47"/>
            </w:pPr>
            <w:r>
              <w:t>SS</w:t>
            </w:r>
          </w:p>
        </w:tc>
        <w:tc>
          <w:tcPr>
            <w:tcW w:w="1499" w:type="dxa"/>
            <w:vAlign w:val="center"/>
          </w:tcPr>
          <w:p>
            <w:pPr>
              <w:jc w:val="center"/>
              <w:rPr>
                <w:rFonts w:ascii="Times New Roman" w:hAnsi="Times New Roman" w:cs="Times New Roman"/>
                <w:szCs w:val="21"/>
              </w:rPr>
            </w:pPr>
            <w:r>
              <w:rPr>
                <w:rFonts w:ascii="Times New Roman" w:hAnsi="Times New Roman" w:cs="Times New Roman"/>
                <w:szCs w:val="21"/>
              </w:rPr>
              <w:t>30</w:t>
            </w:r>
          </w:p>
        </w:tc>
        <w:tc>
          <w:tcPr>
            <w:tcW w:w="1739" w:type="dxa"/>
            <w:vAlign w:val="center"/>
          </w:tcPr>
          <w:p>
            <w:pPr>
              <w:pStyle w:val="47"/>
            </w:pPr>
            <w:r>
              <w:rPr>
                <w:rFonts w:hint="eastAsia"/>
              </w:rPr>
              <w:t>0.005</w:t>
            </w:r>
          </w:p>
        </w:tc>
        <w:tc>
          <w:tcPr>
            <w:tcW w:w="1659" w:type="dxa"/>
            <w:vAlign w:val="center"/>
          </w:tcPr>
          <w:p>
            <w:pPr>
              <w:jc w:val="center"/>
              <w:rPr>
                <w:rFonts w:ascii="Times New Roman" w:hAnsi="Times New Roman" w:cs="Times New Roman"/>
                <w:szCs w:val="21"/>
              </w:rPr>
            </w:pPr>
            <w:r>
              <w:rPr>
                <w:rFonts w:hint="eastAsia" w:ascii="Times New Roman" w:hAnsi="Times New Roman" w:cs="Times New Roman"/>
                <w:szCs w:val="21"/>
              </w:rPr>
              <w:t>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vMerge w:val="continue"/>
            <w:vAlign w:val="center"/>
          </w:tcPr>
          <w:p>
            <w:pPr>
              <w:pStyle w:val="47"/>
              <w:rPr>
                <w:highlight w:val="yellow"/>
              </w:rPr>
            </w:pPr>
          </w:p>
        </w:tc>
        <w:tc>
          <w:tcPr>
            <w:tcW w:w="1698" w:type="dxa"/>
            <w:vMerge w:val="continue"/>
            <w:vAlign w:val="center"/>
          </w:tcPr>
          <w:p>
            <w:pPr>
              <w:pStyle w:val="47"/>
            </w:pPr>
          </w:p>
        </w:tc>
        <w:tc>
          <w:tcPr>
            <w:tcW w:w="1630" w:type="dxa"/>
            <w:vAlign w:val="center"/>
          </w:tcPr>
          <w:p>
            <w:pPr>
              <w:pStyle w:val="47"/>
            </w:pPr>
            <w:r>
              <w:rPr>
                <w:rFonts w:hint="eastAsia"/>
              </w:rPr>
              <w:t>粪</w:t>
            </w:r>
            <w:r>
              <w:t>大肠菌群</w:t>
            </w:r>
          </w:p>
        </w:tc>
        <w:tc>
          <w:tcPr>
            <w:tcW w:w="1499" w:type="dxa"/>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500个/</w:t>
            </w:r>
            <w:r>
              <w:rPr>
                <w:rFonts w:ascii="Times New Roman" w:hAnsi="Times New Roman" w:eastAsia="宋体" w:cs="Times New Roman"/>
                <w:kern w:val="0"/>
                <w:szCs w:val="21"/>
              </w:rPr>
              <w:t>L</w:t>
            </w:r>
          </w:p>
        </w:tc>
        <w:tc>
          <w:tcPr>
            <w:tcW w:w="1739" w:type="dxa"/>
            <w:vAlign w:val="center"/>
          </w:tcPr>
          <w:p>
            <w:pPr>
              <w:pStyle w:val="47"/>
              <w:rPr>
                <w:highlight w:val="yellow"/>
              </w:rPr>
            </w:pPr>
            <w:r>
              <w:t>9.75</w:t>
            </w:r>
            <w:r>
              <w:rPr>
                <w:snapToGrid w:val="0"/>
                <w:spacing w:val="4"/>
                <w:w w:val="90"/>
                <w:szCs w:val="21"/>
              </w:rPr>
              <w:t>×10</w:t>
            </w:r>
            <w:r>
              <w:rPr>
                <w:snapToGrid w:val="0"/>
                <w:spacing w:val="4"/>
                <w:w w:val="90"/>
                <w:szCs w:val="21"/>
                <w:vertAlign w:val="superscript"/>
              </w:rPr>
              <w:t>7</w:t>
            </w:r>
            <w:r>
              <w:rPr>
                <w:szCs w:val="21"/>
              </w:rPr>
              <w:t>个</w:t>
            </w:r>
            <w:r>
              <w:rPr>
                <w:rFonts w:hint="eastAsia"/>
                <w:szCs w:val="21"/>
              </w:rPr>
              <w:t>/</w:t>
            </w:r>
            <w:r>
              <w:rPr>
                <w:szCs w:val="21"/>
              </w:rPr>
              <w:t>d</w:t>
            </w:r>
          </w:p>
        </w:tc>
        <w:tc>
          <w:tcPr>
            <w:tcW w:w="1659" w:type="dxa"/>
            <w:vAlign w:val="center"/>
          </w:tcPr>
          <w:p>
            <w:pPr>
              <w:pStyle w:val="47"/>
            </w:pPr>
            <w:r>
              <w:rPr>
                <w:szCs w:val="21"/>
              </w:rPr>
              <w:t>3.56</w:t>
            </w:r>
            <w:r>
              <w:rPr>
                <w:snapToGrid w:val="0"/>
                <w:spacing w:val="4"/>
                <w:w w:val="90"/>
                <w:szCs w:val="21"/>
              </w:rPr>
              <w:t>×10</w:t>
            </w:r>
            <w:r>
              <w:rPr>
                <w:snapToGrid w:val="0"/>
                <w:spacing w:val="4"/>
                <w:w w:val="90"/>
                <w:szCs w:val="21"/>
                <w:vertAlign w:val="superscript"/>
              </w:rPr>
              <w:t>10</w:t>
            </w:r>
            <w:r>
              <w:rPr>
                <w:szCs w:val="21"/>
              </w:rPr>
              <w:t>个</w:t>
            </w:r>
            <w:r>
              <w:rPr>
                <w:rFonts w:hint="eastAsia"/>
                <w:szCs w:val="21"/>
              </w:rPr>
              <w:t>/a</w:t>
            </w:r>
          </w:p>
        </w:tc>
      </w:tr>
    </w:tbl>
    <w:p>
      <w:pPr>
        <w:pStyle w:val="4"/>
      </w:pPr>
      <w:r>
        <w:rPr>
          <w:rFonts w:hint="eastAsia"/>
        </w:rPr>
        <w:t>声环境</w:t>
      </w:r>
      <w:r>
        <w:t>影响分析</w:t>
      </w:r>
    </w:p>
    <w:p>
      <w:pPr>
        <w:pStyle w:val="5"/>
      </w:pPr>
      <w:r>
        <w:rPr>
          <w:rFonts w:hint="eastAsia"/>
        </w:rPr>
        <w:t>主要噪声源</w:t>
      </w:r>
    </w:p>
    <w:p>
      <w:pPr>
        <w:pStyle w:val="40"/>
        <w:ind w:firstLine="480"/>
      </w:pPr>
      <w:r>
        <w:t>本项目营运期产生噪声的主要机械设备有</w:t>
      </w:r>
      <w:r>
        <w:rPr>
          <w:rFonts w:hint="eastAsia"/>
        </w:rPr>
        <w:t>污水</w:t>
      </w:r>
      <w:r>
        <w:t>处理站水泵，风机，备用</w:t>
      </w:r>
      <w:r>
        <w:rPr>
          <w:rFonts w:hint="eastAsia"/>
        </w:rPr>
        <w:t>发电机以及锅炉房水泵、风机</w:t>
      </w:r>
      <w:r>
        <w:t>等。设备运行时产生的噪声声级在80～85dB（A）之间。在采取了选用低噪声设备，基础减振，</w:t>
      </w:r>
      <w:r>
        <w:rPr>
          <w:rFonts w:hint="eastAsia" w:cs="Times New Roman"/>
        </w:rPr>
        <w:t>布置在</w:t>
      </w:r>
      <w:r>
        <w:rPr>
          <w:rFonts w:cs="Times New Roman"/>
        </w:rPr>
        <w:t>地下隔声，风机风管与设备采用软连接，排风口安装消声器，生产设备进行合理布局的降噪措施后，可降低噪声15~20dB（A）</w:t>
      </w:r>
      <w:r>
        <w:rPr>
          <w:rFonts w:hint="eastAsia"/>
        </w:rPr>
        <w:t>，由于柴油发电机仅在电力线路故障情况下使用，为间断性排放，因此</w:t>
      </w:r>
      <w:r>
        <w:t>预测评价不予考虑，项目预测</w:t>
      </w:r>
      <w:r>
        <w:rPr>
          <w:rFonts w:hint="eastAsia"/>
        </w:rPr>
        <w:t>噪声源源强见表</w:t>
      </w:r>
      <w:r>
        <w:t>6.2-13</w:t>
      </w:r>
      <w:r>
        <w:rPr>
          <w:rFonts w:hint="eastAsia"/>
        </w:rPr>
        <w:t>。</w:t>
      </w:r>
    </w:p>
    <w:p>
      <w:pPr>
        <w:pStyle w:val="22"/>
      </w:pPr>
      <w:bookmarkStart w:id="64" w:name="_Ref26801838"/>
      <w:r>
        <w:t>表</w:t>
      </w:r>
      <w:r>
        <w:fldChar w:fldCharType="begin"/>
      </w:r>
      <w:r>
        <w:instrText xml:space="preserve"> STYLEREF 2 \s </w:instrText>
      </w:r>
      <w:r>
        <w:fldChar w:fldCharType="separate"/>
      </w:r>
      <w:r>
        <w:t>6.2</w:t>
      </w:r>
      <w:r>
        <w:fldChar w:fldCharType="end"/>
      </w:r>
      <w:r>
        <w:noBreakHyphen/>
      </w:r>
      <w:bookmarkEnd w:id="64"/>
      <w:r>
        <w:t>13  项目</w:t>
      </w:r>
      <w:r>
        <w:rPr>
          <w:rFonts w:hint="eastAsia"/>
        </w:rPr>
        <w:t>运营期</w:t>
      </w:r>
      <w:r>
        <w:t xml:space="preserve">主要产噪设备 </w:t>
      </w:r>
    </w:p>
    <w:tbl>
      <w:tblPr>
        <w:tblStyle w:val="26"/>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
        <w:gridCol w:w="752"/>
        <w:gridCol w:w="1215"/>
        <w:gridCol w:w="914"/>
        <w:gridCol w:w="1061"/>
        <w:gridCol w:w="2113"/>
        <w:gridCol w:w="1109"/>
        <w:gridCol w:w="1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adjustRightInd w:val="0"/>
              <w:snapToGrid w:val="0"/>
              <w:jc w:val="center"/>
              <w:rPr>
                <w:rFonts w:cs="Times New Roman"/>
                <w:szCs w:val="21"/>
              </w:rPr>
            </w:pPr>
            <w:r>
              <w:rPr>
                <w:rFonts w:cs="Times New Roman"/>
                <w:szCs w:val="21"/>
              </w:rPr>
              <w:t>序号</w:t>
            </w:r>
          </w:p>
        </w:tc>
        <w:tc>
          <w:tcPr>
            <w:tcW w:w="752" w:type="dxa"/>
            <w:vAlign w:val="center"/>
          </w:tcPr>
          <w:p>
            <w:pPr>
              <w:pStyle w:val="43"/>
            </w:pPr>
            <w:r>
              <w:rPr>
                <w:rFonts w:hint="eastAsia"/>
              </w:rPr>
              <w:t>位置</w:t>
            </w:r>
          </w:p>
        </w:tc>
        <w:tc>
          <w:tcPr>
            <w:tcW w:w="1215" w:type="dxa"/>
            <w:vAlign w:val="center"/>
          </w:tcPr>
          <w:p>
            <w:pPr>
              <w:pStyle w:val="43"/>
            </w:pPr>
            <w:r>
              <w:t>噪声设备</w:t>
            </w:r>
          </w:p>
        </w:tc>
        <w:tc>
          <w:tcPr>
            <w:tcW w:w="914" w:type="dxa"/>
            <w:vAlign w:val="center"/>
          </w:tcPr>
          <w:p>
            <w:pPr>
              <w:pStyle w:val="43"/>
            </w:pPr>
            <w:r>
              <w:t>台数</w:t>
            </w:r>
          </w:p>
          <w:p>
            <w:pPr>
              <w:pStyle w:val="43"/>
            </w:pPr>
            <w:r>
              <w:t>（台/套）</w:t>
            </w:r>
          </w:p>
        </w:tc>
        <w:tc>
          <w:tcPr>
            <w:tcW w:w="1061" w:type="dxa"/>
            <w:vAlign w:val="center"/>
          </w:tcPr>
          <w:p>
            <w:pPr>
              <w:pStyle w:val="43"/>
            </w:pPr>
            <w:r>
              <w:t>噪声级dB(A)</w:t>
            </w:r>
          </w:p>
        </w:tc>
        <w:tc>
          <w:tcPr>
            <w:tcW w:w="2113" w:type="dxa"/>
            <w:vAlign w:val="center"/>
          </w:tcPr>
          <w:p>
            <w:pPr>
              <w:pStyle w:val="43"/>
            </w:pPr>
            <w:r>
              <w:t>治理措施</w:t>
            </w:r>
          </w:p>
        </w:tc>
        <w:tc>
          <w:tcPr>
            <w:tcW w:w="1109" w:type="dxa"/>
            <w:vAlign w:val="center"/>
          </w:tcPr>
          <w:p>
            <w:pPr>
              <w:pStyle w:val="43"/>
            </w:pPr>
            <w:r>
              <w:t>降噪效果（dB（A））</w:t>
            </w:r>
          </w:p>
        </w:tc>
        <w:tc>
          <w:tcPr>
            <w:tcW w:w="1107" w:type="dxa"/>
            <w:vAlign w:val="center"/>
          </w:tcPr>
          <w:p>
            <w:pPr>
              <w:pStyle w:val="43"/>
            </w:pPr>
            <w:r>
              <w:t>治理后</w:t>
            </w:r>
          </w:p>
          <w:p>
            <w:pPr>
              <w:pStyle w:val="43"/>
            </w:pPr>
            <w:r>
              <w:t>噪声级dB(A)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3"/>
              <w:widowControl w:val="0"/>
              <w:numPr>
                <w:ilvl w:val="0"/>
                <w:numId w:val="8"/>
              </w:numPr>
              <w:snapToGrid/>
            </w:pPr>
          </w:p>
        </w:tc>
        <w:tc>
          <w:tcPr>
            <w:tcW w:w="752" w:type="dxa"/>
            <w:vMerge w:val="restart"/>
            <w:vAlign w:val="center"/>
          </w:tcPr>
          <w:p>
            <w:pPr>
              <w:pStyle w:val="43"/>
            </w:pPr>
            <w:r>
              <w:rPr>
                <w:rFonts w:hint="eastAsia"/>
              </w:rPr>
              <w:t>污水</w:t>
            </w:r>
            <w:r>
              <w:t>处理站</w:t>
            </w:r>
          </w:p>
        </w:tc>
        <w:tc>
          <w:tcPr>
            <w:tcW w:w="1215" w:type="dxa"/>
            <w:vAlign w:val="center"/>
          </w:tcPr>
          <w:p>
            <w:pPr>
              <w:pStyle w:val="43"/>
            </w:pPr>
            <w:r>
              <w:rPr>
                <w:rFonts w:hint="eastAsia"/>
              </w:rPr>
              <w:t>水泵</w:t>
            </w:r>
          </w:p>
        </w:tc>
        <w:tc>
          <w:tcPr>
            <w:tcW w:w="914" w:type="dxa"/>
            <w:vAlign w:val="center"/>
          </w:tcPr>
          <w:p>
            <w:pPr>
              <w:pStyle w:val="43"/>
            </w:pPr>
            <w:r>
              <w:t>2</w:t>
            </w:r>
          </w:p>
        </w:tc>
        <w:tc>
          <w:tcPr>
            <w:tcW w:w="1061" w:type="dxa"/>
            <w:vAlign w:val="center"/>
          </w:tcPr>
          <w:p>
            <w:pPr>
              <w:pStyle w:val="43"/>
            </w:pPr>
            <w:r>
              <w:t>85</w:t>
            </w:r>
          </w:p>
        </w:tc>
        <w:tc>
          <w:tcPr>
            <w:tcW w:w="2113" w:type="dxa"/>
            <w:vAlign w:val="center"/>
          </w:tcPr>
          <w:p>
            <w:pPr>
              <w:pStyle w:val="43"/>
            </w:pPr>
            <w:r>
              <w:rPr>
                <w:rFonts w:hint="eastAsia"/>
              </w:rPr>
              <w:t>选用</w:t>
            </w:r>
            <w:r>
              <w:t>低噪声设备，布置在地下，加减振基础</w:t>
            </w:r>
          </w:p>
        </w:tc>
        <w:tc>
          <w:tcPr>
            <w:tcW w:w="1109" w:type="dxa"/>
            <w:vAlign w:val="center"/>
          </w:tcPr>
          <w:p>
            <w:pPr>
              <w:pStyle w:val="43"/>
            </w:pPr>
            <w:r>
              <w:rPr>
                <w:rFonts w:hint="eastAsia"/>
              </w:rPr>
              <w:t>20</w:t>
            </w:r>
          </w:p>
        </w:tc>
        <w:tc>
          <w:tcPr>
            <w:tcW w:w="1107" w:type="dxa"/>
            <w:vAlign w:val="center"/>
          </w:tcPr>
          <w:p>
            <w:pPr>
              <w:pStyle w:val="43"/>
            </w:pPr>
            <w:r>
              <w:rPr>
                <w:rFonts w:hint="eastAsi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3"/>
              <w:widowControl w:val="0"/>
              <w:numPr>
                <w:ilvl w:val="0"/>
                <w:numId w:val="8"/>
              </w:numPr>
              <w:snapToGrid/>
            </w:pPr>
          </w:p>
        </w:tc>
        <w:tc>
          <w:tcPr>
            <w:tcW w:w="752" w:type="dxa"/>
            <w:vMerge w:val="continue"/>
            <w:vAlign w:val="center"/>
          </w:tcPr>
          <w:p>
            <w:pPr>
              <w:pStyle w:val="43"/>
            </w:pPr>
          </w:p>
        </w:tc>
        <w:tc>
          <w:tcPr>
            <w:tcW w:w="1215" w:type="dxa"/>
            <w:vAlign w:val="center"/>
          </w:tcPr>
          <w:p>
            <w:pPr>
              <w:pStyle w:val="43"/>
            </w:pPr>
            <w:r>
              <w:rPr>
                <w:rFonts w:hint="eastAsia"/>
              </w:rPr>
              <w:t>风机</w:t>
            </w:r>
          </w:p>
        </w:tc>
        <w:tc>
          <w:tcPr>
            <w:tcW w:w="914" w:type="dxa"/>
            <w:vAlign w:val="center"/>
          </w:tcPr>
          <w:p>
            <w:pPr>
              <w:pStyle w:val="43"/>
            </w:pPr>
            <w:r>
              <w:t>1</w:t>
            </w:r>
          </w:p>
        </w:tc>
        <w:tc>
          <w:tcPr>
            <w:tcW w:w="1061" w:type="dxa"/>
            <w:vAlign w:val="center"/>
          </w:tcPr>
          <w:p>
            <w:pPr>
              <w:pStyle w:val="43"/>
            </w:pPr>
            <w:r>
              <w:t>85</w:t>
            </w:r>
          </w:p>
        </w:tc>
        <w:tc>
          <w:tcPr>
            <w:tcW w:w="2113" w:type="dxa"/>
            <w:vMerge w:val="restart"/>
            <w:vAlign w:val="center"/>
          </w:tcPr>
          <w:p>
            <w:pPr>
              <w:pStyle w:val="43"/>
            </w:pPr>
            <w:r>
              <w:t>风机风管与设备采用软连接，排风口安装消声器</w:t>
            </w:r>
          </w:p>
        </w:tc>
        <w:tc>
          <w:tcPr>
            <w:tcW w:w="1109" w:type="dxa"/>
            <w:vAlign w:val="center"/>
          </w:tcPr>
          <w:p>
            <w:pPr>
              <w:pStyle w:val="43"/>
            </w:pPr>
            <w:r>
              <w:rPr>
                <w:rFonts w:hint="eastAsia"/>
              </w:rPr>
              <w:t>20</w:t>
            </w:r>
          </w:p>
        </w:tc>
        <w:tc>
          <w:tcPr>
            <w:tcW w:w="1107" w:type="dxa"/>
            <w:vAlign w:val="center"/>
          </w:tcPr>
          <w:p>
            <w:pPr>
              <w:pStyle w:val="43"/>
            </w:pPr>
            <w:r>
              <w:rPr>
                <w:rFonts w:hint="eastAsi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3"/>
              <w:widowControl w:val="0"/>
              <w:numPr>
                <w:ilvl w:val="0"/>
                <w:numId w:val="8"/>
              </w:numPr>
              <w:snapToGrid/>
            </w:pPr>
          </w:p>
        </w:tc>
        <w:tc>
          <w:tcPr>
            <w:tcW w:w="752" w:type="dxa"/>
            <w:vMerge w:val="restart"/>
            <w:vAlign w:val="center"/>
          </w:tcPr>
          <w:p>
            <w:pPr>
              <w:pStyle w:val="43"/>
            </w:pPr>
            <w:r>
              <w:rPr>
                <w:rFonts w:hint="eastAsia"/>
              </w:rPr>
              <w:t>锅炉房</w:t>
            </w:r>
          </w:p>
        </w:tc>
        <w:tc>
          <w:tcPr>
            <w:tcW w:w="1215" w:type="dxa"/>
            <w:vAlign w:val="center"/>
          </w:tcPr>
          <w:p>
            <w:pPr>
              <w:pStyle w:val="43"/>
            </w:pPr>
            <w:r>
              <w:rPr>
                <w:rFonts w:hint="eastAsia"/>
              </w:rPr>
              <w:t>风机</w:t>
            </w:r>
          </w:p>
        </w:tc>
        <w:tc>
          <w:tcPr>
            <w:tcW w:w="914" w:type="dxa"/>
            <w:vAlign w:val="center"/>
          </w:tcPr>
          <w:p>
            <w:pPr>
              <w:pStyle w:val="43"/>
              <w:rPr>
                <w:color w:val="FF0000"/>
              </w:rPr>
            </w:pPr>
            <w:r>
              <w:rPr>
                <w:color w:val="FF0000"/>
              </w:rPr>
              <w:t>3</w:t>
            </w:r>
          </w:p>
        </w:tc>
        <w:tc>
          <w:tcPr>
            <w:tcW w:w="1061" w:type="dxa"/>
            <w:vAlign w:val="center"/>
          </w:tcPr>
          <w:p>
            <w:pPr>
              <w:pStyle w:val="43"/>
            </w:pPr>
            <w:r>
              <w:rPr>
                <w:rFonts w:hint="eastAsia"/>
              </w:rPr>
              <w:t>85</w:t>
            </w:r>
          </w:p>
        </w:tc>
        <w:tc>
          <w:tcPr>
            <w:tcW w:w="2113" w:type="dxa"/>
            <w:vMerge w:val="continue"/>
            <w:vAlign w:val="center"/>
          </w:tcPr>
          <w:p>
            <w:pPr>
              <w:pStyle w:val="43"/>
            </w:pPr>
          </w:p>
        </w:tc>
        <w:tc>
          <w:tcPr>
            <w:tcW w:w="1109" w:type="dxa"/>
            <w:vAlign w:val="center"/>
          </w:tcPr>
          <w:p>
            <w:pPr>
              <w:pStyle w:val="43"/>
            </w:pPr>
            <w:r>
              <w:rPr>
                <w:rFonts w:hint="eastAsia"/>
              </w:rPr>
              <w:t>20</w:t>
            </w:r>
          </w:p>
        </w:tc>
        <w:tc>
          <w:tcPr>
            <w:tcW w:w="1107" w:type="dxa"/>
            <w:vAlign w:val="center"/>
          </w:tcPr>
          <w:p>
            <w:pPr>
              <w:pStyle w:val="43"/>
            </w:pPr>
            <w:r>
              <w:rPr>
                <w:rFonts w:hint="eastAsi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99" w:type="dxa"/>
            <w:vAlign w:val="center"/>
          </w:tcPr>
          <w:p>
            <w:pPr>
              <w:pStyle w:val="43"/>
              <w:widowControl w:val="0"/>
              <w:numPr>
                <w:ilvl w:val="0"/>
                <w:numId w:val="8"/>
              </w:numPr>
              <w:snapToGrid/>
            </w:pPr>
          </w:p>
        </w:tc>
        <w:tc>
          <w:tcPr>
            <w:tcW w:w="752" w:type="dxa"/>
            <w:vMerge w:val="continue"/>
            <w:vAlign w:val="center"/>
          </w:tcPr>
          <w:p>
            <w:pPr>
              <w:pStyle w:val="43"/>
            </w:pPr>
          </w:p>
        </w:tc>
        <w:tc>
          <w:tcPr>
            <w:tcW w:w="1215" w:type="dxa"/>
            <w:vAlign w:val="center"/>
          </w:tcPr>
          <w:p>
            <w:pPr>
              <w:pStyle w:val="43"/>
            </w:pPr>
            <w:r>
              <w:rPr>
                <w:rFonts w:hint="eastAsia"/>
              </w:rPr>
              <w:t>水泵</w:t>
            </w:r>
          </w:p>
        </w:tc>
        <w:tc>
          <w:tcPr>
            <w:tcW w:w="914" w:type="dxa"/>
            <w:vAlign w:val="center"/>
          </w:tcPr>
          <w:p>
            <w:pPr>
              <w:pStyle w:val="43"/>
              <w:rPr>
                <w:color w:val="FF0000"/>
              </w:rPr>
            </w:pPr>
            <w:r>
              <w:rPr>
                <w:color w:val="FF0000"/>
              </w:rPr>
              <w:t>3</w:t>
            </w:r>
          </w:p>
        </w:tc>
        <w:tc>
          <w:tcPr>
            <w:tcW w:w="1061" w:type="dxa"/>
            <w:vAlign w:val="center"/>
          </w:tcPr>
          <w:p>
            <w:pPr>
              <w:pStyle w:val="43"/>
            </w:pPr>
            <w:r>
              <w:rPr>
                <w:rFonts w:hint="eastAsia"/>
              </w:rPr>
              <w:t>85</w:t>
            </w:r>
          </w:p>
        </w:tc>
        <w:tc>
          <w:tcPr>
            <w:tcW w:w="2113" w:type="dxa"/>
            <w:vAlign w:val="center"/>
          </w:tcPr>
          <w:p>
            <w:pPr>
              <w:pStyle w:val="43"/>
            </w:pPr>
            <w:r>
              <w:rPr>
                <w:rFonts w:hint="eastAsia"/>
                <w:szCs w:val="21"/>
              </w:rPr>
              <w:t>选用低噪声设备，隔声、减振</w:t>
            </w:r>
          </w:p>
        </w:tc>
        <w:tc>
          <w:tcPr>
            <w:tcW w:w="1109" w:type="dxa"/>
            <w:vAlign w:val="center"/>
          </w:tcPr>
          <w:p>
            <w:pPr>
              <w:pStyle w:val="43"/>
            </w:pPr>
            <w:r>
              <w:rPr>
                <w:rFonts w:hint="eastAsia"/>
              </w:rPr>
              <w:t>20</w:t>
            </w:r>
          </w:p>
        </w:tc>
        <w:tc>
          <w:tcPr>
            <w:tcW w:w="1107" w:type="dxa"/>
            <w:vAlign w:val="center"/>
          </w:tcPr>
          <w:p>
            <w:pPr>
              <w:pStyle w:val="43"/>
            </w:pPr>
            <w:r>
              <w:rPr>
                <w:rFonts w:hint="eastAsia"/>
              </w:rPr>
              <w:t>65</w:t>
            </w:r>
          </w:p>
        </w:tc>
      </w:tr>
    </w:tbl>
    <w:p>
      <w:pPr>
        <w:spacing w:line="360" w:lineRule="auto"/>
        <w:rPr>
          <w:rFonts w:ascii="Times New Roman" w:hAnsi="Times New Roman" w:eastAsia="宋体" w:cs="Times New Roman"/>
          <w:sz w:val="24"/>
        </w:rPr>
      </w:pPr>
      <w:r>
        <w:rPr>
          <w:rFonts w:ascii="Times New Roman" w:hAnsi="Times New Roman" w:eastAsia="宋体" w:cs="Times New Roman"/>
          <w:sz w:val="24"/>
        </w:rPr>
        <w:t>项目各噪声源车间距离厂界的最近距离见</w:t>
      </w:r>
      <w:r>
        <w:rPr>
          <w:rFonts w:hint="eastAsia" w:ascii="Times New Roman" w:hAnsi="Times New Roman" w:eastAsia="宋体" w:cs="Times New Roman"/>
          <w:sz w:val="24"/>
        </w:rPr>
        <w:t>表6.2-</w:t>
      </w:r>
      <w:r>
        <w:rPr>
          <w:rFonts w:ascii="Times New Roman" w:hAnsi="Times New Roman" w:eastAsia="宋体" w:cs="Times New Roman"/>
          <w:sz w:val="24"/>
        </w:rPr>
        <w:t>14。</w:t>
      </w:r>
    </w:p>
    <w:p>
      <w:pPr>
        <w:pStyle w:val="22"/>
        <w:rPr>
          <w:sz w:val="20"/>
          <w:szCs w:val="20"/>
        </w:rPr>
      </w:pPr>
      <w:bookmarkStart w:id="65" w:name="_Ref26802000"/>
      <w:r>
        <w:t>表</w:t>
      </w:r>
      <w:r>
        <w:fldChar w:fldCharType="begin"/>
      </w:r>
      <w:r>
        <w:instrText xml:space="preserve"> STYLEREF 2 \s </w:instrText>
      </w:r>
      <w:r>
        <w:fldChar w:fldCharType="separate"/>
      </w:r>
      <w:r>
        <w:t>6.2</w:t>
      </w:r>
      <w:r>
        <w:fldChar w:fldCharType="end"/>
      </w:r>
      <w:r>
        <w:noBreakHyphen/>
      </w:r>
      <w:bookmarkEnd w:id="65"/>
      <w:r>
        <w:t xml:space="preserve">14  </w:t>
      </w:r>
      <w:r>
        <w:rPr>
          <w:szCs w:val="21"/>
        </w:rPr>
        <w:t>主要噪声源车间及距厂界的最近距离        单位：m</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63"/>
        <w:gridCol w:w="1135"/>
        <w:gridCol w:w="2127"/>
        <w:gridCol w:w="1355"/>
        <w:gridCol w:w="1096"/>
        <w:gridCol w:w="1221"/>
        <w:gridCol w:w="1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863"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1135"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噪声源位置</w:t>
            </w:r>
          </w:p>
        </w:tc>
        <w:tc>
          <w:tcPr>
            <w:tcW w:w="2127" w:type="dxa"/>
            <w:vMerge w:val="restart"/>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噪声源</w:t>
            </w:r>
          </w:p>
        </w:tc>
        <w:tc>
          <w:tcPr>
            <w:tcW w:w="4745" w:type="dxa"/>
            <w:gridSpan w:val="4"/>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距最近厂界监测点位的最近距离（m）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tblHeader/>
          <w:jc w:val="center"/>
        </w:trPr>
        <w:tc>
          <w:tcPr>
            <w:tcW w:w="863" w:type="dxa"/>
            <w:vMerge w:val="continue"/>
            <w:vAlign w:val="center"/>
          </w:tcPr>
          <w:p>
            <w:pPr>
              <w:adjustRightInd w:val="0"/>
              <w:snapToGrid w:val="0"/>
              <w:jc w:val="center"/>
              <w:rPr>
                <w:rFonts w:ascii="Times New Roman" w:hAnsi="Times New Roman" w:eastAsia="宋体" w:cs="Times New Roman"/>
                <w:szCs w:val="21"/>
              </w:rPr>
            </w:pPr>
          </w:p>
        </w:tc>
        <w:tc>
          <w:tcPr>
            <w:tcW w:w="1135" w:type="dxa"/>
            <w:vMerge w:val="continue"/>
            <w:vAlign w:val="center"/>
          </w:tcPr>
          <w:p>
            <w:pPr>
              <w:adjustRightInd w:val="0"/>
              <w:snapToGrid w:val="0"/>
              <w:jc w:val="center"/>
              <w:rPr>
                <w:rFonts w:ascii="Times New Roman" w:hAnsi="Times New Roman" w:eastAsia="宋体" w:cs="Times New Roman"/>
                <w:szCs w:val="21"/>
              </w:rPr>
            </w:pPr>
          </w:p>
        </w:tc>
        <w:tc>
          <w:tcPr>
            <w:tcW w:w="2127" w:type="dxa"/>
            <w:vMerge w:val="continue"/>
            <w:vAlign w:val="center"/>
          </w:tcPr>
          <w:p>
            <w:pPr>
              <w:adjustRightInd w:val="0"/>
              <w:snapToGrid w:val="0"/>
              <w:jc w:val="center"/>
              <w:rPr>
                <w:rFonts w:ascii="Times New Roman" w:hAnsi="Times New Roman" w:eastAsia="宋体" w:cs="Times New Roman"/>
                <w:szCs w:val="21"/>
              </w:rPr>
            </w:pPr>
          </w:p>
        </w:tc>
        <w:tc>
          <w:tcPr>
            <w:tcW w:w="1355"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东厂界</w:t>
            </w:r>
          </w:p>
        </w:tc>
        <w:tc>
          <w:tcPr>
            <w:tcW w:w="109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南厂界</w:t>
            </w:r>
          </w:p>
        </w:tc>
        <w:tc>
          <w:tcPr>
            <w:tcW w:w="1221"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西厂界</w:t>
            </w:r>
          </w:p>
        </w:tc>
        <w:tc>
          <w:tcPr>
            <w:tcW w:w="1073"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63" w:type="dxa"/>
            <w:vAlign w:val="center"/>
          </w:tcPr>
          <w:p>
            <w:pPr>
              <w:numPr>
                <w:ilvl w:val="0"/>
                <w:numId w:val="9"/>
              </w:numPr>
              <w:adjustRightInd w:val="0"/>
              <w:snapToGrid w:val="0"/>
              <w:spacing w:line="360" w:lineRule="auto"/>
              <w:jc w:val="center"/>
              <w:rPr>
                <w:rFonts w:ascii="Times New Roman" w:hAnsi="Times New Roman" w:eastAsia="宋体" w:cs="Times New Roman"/>
                <w:sz w:val="24"/>
                <w:szCs w:val="21"/>
              </w:rPr>
            </w:pPr>
          </w:p>
        </w:tc>
        <w:tc>
          <w:tcPr>
            <w:tcW w:w="1135"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污水处理站</w:t>
            </w:r>
          </w:p>
        </w:tc>
        <w:tc>
          <w:tcPr>
            <w:tcW w:w="212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水泵</w:t>
            </w:r>
          </w:p>
        </w:tc>
        <w:tc>
          <w:tcPr>
            <w:tcW w:w="135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09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22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107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63" w:type="dxa"/>
            <w:vAlign w:val="center"/>
          </w:tcPr>
          <w:p>
            <w:pPr>
              <w:numPr>
                <w:ilvl w:val="0"/>
                <w:numId w:val="9"/>
              </w:numPr>
              <w:adjustRightInd w:val="0"/>
              <w:snapToGrid w:val="0"/>
              <w:spacing w:line="360" w:lineRule="auto"/>
              <w:jc w:val="center"/>
              <w:rPr>
                <w:rFonts w:ascii="Times New Roman" w:hAnsi="Times New Roman" w:eastAsia="宋体" w:cs="Times New Roman"/>
                <w:sz w:val="24"/>
                <w:szCs w:val="21"/>
              </w:rPr>
            </w:pPr>
          </w:p>
        </w:tc>
        <w:tc>
          <w:tcPr>
            <w:tcW w:w="1135" w:type="dxa"/>
            <w:vMerge w:val="continue"/>
            <w:vAlign w:val="center"/>
          </w:tcPr>
          <w:p>
            <w:pPr>
              <w:adjustRightInd w:val="0"/>
              <w:snapToGrid w:val="0"/>
              <w:jc w:val="center"/>
              <w:rPr>
                <w:rFonts w:ascii="Times New Roman" w:hAnsi="Times New Roman" w:eastAsia="宋体" w:cs="Times New Roman"/>
                <w:szCs w:val="21"/>
              </w:rPr>
            </w:pPr>
          </w:p>
        </w:tc>
        <w:tc>
          <w:tcPr>
            <w:tcW w:w="212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风机</w:t>
            </w:r>
          </w:p>
        </w:tc>
        <w:tc>
          <w:tcPr>
            <w:tcW w:w="135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38</w:t>
            </w:r>
          </w:p>
        </w:tc>
        <w:tc>
          <w:tcPr>
            <w:tcW w:w="109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22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107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63" w:type="dxa"/>
            <w:vAlign w:val="center"/>
          </w:tcPr>
          <w:p>
            <w:pPr>
              <w:numPr>
                <w:ilvl w:val="0"/>
                <w:numId w:val="9"/>
              </w:numPr>
              <w:adjustRightInd w:val="0"/>
              <w:snapToGrid w:val="0"/>
              <w:spacing w:line="360" w:lineRule="auto"/>
              <w:jc w:val="center"/>
              <w:rPr>
                <w:rFonts w:ascii="Times New Roman" w:hAnsi="Times New Roman" w:eastAsia="宋体" w:cs="Times New Roman"/>
                <w:sz w:val="24"/>
                <w:szCs w:val="21"/>
              </w:rPr>
            </w:pPr>
          </w:p>
        </w:tc>
        <w:tc>
          <w:tcPr>
            <w:tcW w:w="1135" w:type="dxa"/>
            <w:vMerge w:val="restart"/>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锅炉房</w:t>
            </w:r>
          </w:p>
        </w:tc>
        <w:tc>
          <w:tcPr>
            <w:tcW w:w="2127" w:type="dxa"/>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水泵</w:t>
            </w:r>
          </w:p>
        </w:tc>
        <w:tc>
          <w:tcPr>
            <w:tcW w:w="135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096" w:type="dxa"/>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40</w:t>
            </w:r>
          </w:p>
        </w:tc>
        <w:tc>
          <w:tcPr>
            <w:tcW w:w="122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p>
        </w:tc>
        <w:tc>
          <w:tcPr>
            <w:tcW w:w="107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863" w:type="dxa"/>
            <w:vAlign w:val="center"/>
          </w:tcPr>
          <w:p>
            <w:pPr>
              <w:numPr>
                <w:ilvl w:val="0"/>
                <w:numId w:val="9"/>
              </w:numPr>
              <w:adjustRightInd w:val="0"/>
              <w:snapToGrid w:val="0"/>
              <w:spacing w:line="360" w:lineRule="auto"/>
              <w:jc w:val="center"/>
              <w:rPr>
                <w:rFonts w:ascii="Times New Roman" w:hAnsi="Times New Roman" w:eastAsia="宋体" w:cs="Times New Roman"/>
                <w:sz w:val="24"/>
                <w:szCs w:val="21"/>
              </w:rPr>
            </w:pPr>
          </w:p>
        </w:tc>
        <w:tc>
          <w:tcPr>
            <w:tcW w:w="1135" w:type="dxa"/>
            <w:vMerge w:val="continue"/>
            <w:vAlign w:val="center"/>
          </w:tcPr>
          <w:p>
            <w:pPr>
              <w:adjustRightInd w:val="0"/>
              <w:snapToGrid w:val="0"/>
              <w:jc w:val="center"/>
              <w:rPr>
                <w:rFonts w:ascii="Times New Roman" w:hAnsi="Times New Roman" w:eastAsia="宋体" w:cs="Times New Roman"/>
                <w:szCs w:val="21"/>
              </w:rPr>
            </w:pPr>
          </w:p>
        </w:tc>
        <w:tc>
          <w:tcPr>
            <w:tcW w:w="2127" w:type="dxa"/>
            <w:vAlign w:val="center"/>
          </w:tcPr>
          <w:p>
            <w:pPr>
              <w:pStyle w:val="43"/>
            </w:pPr>
            <w:r>
              <w:rPr>
                <w:rFonts w:hint="eastAsia"/>
              </w:rPr>
              <w:t>风机</w:t>
            </w:r>
          </w:p>
        </w:tc>
        <w:tc>
          <w:tcPr>
            <w:tcW w:w="1355"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1096"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1221"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1073" w:type="dxa"/>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bl>
    <w:p>
      <w:pPr>
        <w:pStyle w:val="5"/>
      </w:pPr>
      <w:r>
        <w:rPr>
          <w:rFonts w:hint="eastAsia"/>
        </w:rPr>
        <w:t>声环境预测</w:t>
      </w:r>
    </w:p>
    <w:p>
      <w:pPr>
        <w:pStyle w:val="40"/>
        <w:ind w:firstLine="480"/>
      </w:pPr>
      <w:r>
        <w:t>本次评价采用《环境影响评价技术导则声环境》(HJ 2.4－2021)中推荐模式进行预测，具体模式如下：</w:t>
      </w:r>
    </w:p>
    <w:p>
      <w:pPr>
        <w:pStyle w:val="40"/>
        <w:ind w:firstLine="480"/>
      </w:pPr>
      <w:r>
        <w:t>（1）室外声源在预测点的A声级</w:t>
      </w:r>
    </w:p>
    <w:p>
      <w:pPr>
        <w:adjustRightInd w:val="0"/>
        <w:snapToGrid w:val="0"/>
        <w:ind w:firstLine="420" w:firstLineChars="200"/>
        <w:jc w:val="center"/>
        <w:rPr>
          <w:rFonts w:cs="Times New Roman"/>
        </w:rPr>
      </w:pPr>
      <w:r>
        <w:rPr>
          <w:rFonts w:cs="Times New Roman"/>
        </w:rPr>
        <w:object>
          <v:shape id="_x0000_i1035" o:spt="75" type="#_x0000_t75" style="height:22.1pt;width:260.2pt;" o:ole="t" fillcolor="#FFFFFF" filled="f" o:preferrelative="t" stroked="f" coordsize="21600,21600">
            <v:path/>
            <v:fill on="f" focussize="0,0"/>
            <v:stroke on="f" joinstyle="miter"/>
            <v:imagedata r:id="rId90" o:title=""/>
            <o:lock v:ext="edit" aspectratio="t"/>
            <w10:wrap type="none"/>
            <w10:anchorlock/>
          </v:shape>
          <o:OLEObject Type="Embed" ProgID="Equation.3" ShapeID="_x0000_i1035" DrawAspect="Content" ObjectID="_1468075735" r:id="rId89">
            <o:LockedField>false</o:LockedField>
          </o:OLEObject>
        </w:object>
      </w:r>
    </w:p>
    <w:p>
      <w:pPr>
        <w:pStyle w:val="40"/>
        <w:ind w:firstLine="480"/>
      </w:pPr>
      <w:r>
        <w:t>式中：</w:t>
      </w:r>
    </w:p>
    <w:p>
      <w:pPr>
        <w:pStyle w:val="40"/>
        <w:ind w:firstLine="480"/>
      </w:pPr>
      <w:r>
        <w:t>Lp(r)——距声源r处的A声级，dB(A)；</w:t>
      </w:r>
    </w:p>
    <w:p>
      <w:pPr>
        <w:pStyle w:val="40"/>
        <w:ind w:firstLine="480"/>
      </w:pPr>
      <w:r>
        <w:t>Lp(r</w:t>
      </w:r>
      <w:r>
        <w:rPr>
          <w:vertAlign w:val="subscript"/>
        </w:rPr>
        <w:t>0</w:t>
      </w:r>
      <w:r>
        <w:t>)——参考位置r</w:t>
      </w:r>
      <w:r>
        <w:rPr>
          <w:vertAlign w:val="subscript"/>
        </w:rPr>
        <w:t>0</w:t>
      </w:r>
      <w:r>
        <w:t>处的A声级，dB(A)；</w:t>
      </w:r>
    </w:p>
    <w:p>
      <w:pPr>
        <w:pStyle w:val="40"/>
        <w:ind w:firstLine="480"/>
      </w:pPr>
      <w:r>
        <w:t>A</w:t>
      </w:r>
      <w:r>
        <w:rPr>
          <w:vertAlign w:val="subscript"/>
        </w:rPr>
        <w:t>div</w:t>
      </w:r>
      <w:r>
        <w:t>——声波几何发散引起的A声级衰减量，dB(A)；</w:t>
      </w:r>
    </w:p>
    <w:p>
      <w:pPr>
        <w:pStyle w:val="40"/>
        <w:ind w:firstLine="480"/>
      </w:pPr>
      <w:r>
        <w:t>A</w:t>
      </w:r>
      <w:r>
        <w:rPr>
          <w:vertAlign w:val="subscript"/>
        </w:rPr>
        <w:t>bar</w:t>
      </w:r>
      <w:r>
        <w:t>——遮挡物引起的A声级衰减量，dB(A)；</w:t>
      </w:r>
    </w:p>
    <w:p>
      <w:pPr>
        <w:pStyle w:val="40"/>
        <w:ind w:firstLine="480"/>
      </w:pPr>
      <w:r>
        <w:t>A</w:t>
      </w:r>
      <w:r>
        <w:rPr>
          <w:vertAlign w:val="subscript"/>
        </w:rPr>
        <w:t>atm</w:t>
      </w:r>
      <w:r>
        <w:t>——空气吸收衰减量，dB(A)；</w:t>
      </w:r>
    </w:p>
    <w:p>
      <w:pPr>
        <w:pStyle w:val="40"/>
        <w:ind w:firstLine="480"/>
      </w:pPr>
      <w:r>
        <w:t>A</w:t>
      </w:r>
      <w:r>
        <w:rPr>
          <w:vertAlign w:val="subscript"/>
        </w:rPr>
        <w:t>gr</w:t>
      </w:r>
      <w:r>
        <w:t>——地面效应衰减量，dB(A)；</w:t>
      </w:r>
    </w:p>
    <w:p>
      <w:pPr>
        <w:pStyle w:val="40"/>
        <w:ind w:firstLine="480"/>
      </w:pPr>
      <w:r>
        <w:t>A</w:t>
      </w:r>
      <w:r>
        <w:rPr>
          <w:vertAlign w:val="subscript"/>
        </w:rPr>
        <w:t>misc</w:t>
      </w:r>
      <w:r>
        <w:t>——其它方面效应衰减量，dB(A)。</w:t>
      </w:r>
    </w:p>
    <w:p>
      <w:pPr>
        <w:pStyle w:val="40"/>
        <w:ind w:firstLine="480"/>
      </w:pPr>
      <w:r>
        <w:t>（2）室内声源在预测点的A声级计算</w:t>
      </w:r>
    </w:p>
    <w:p>
      <w:pPr>
        <w:pStyle w:val="40"/>
        <w:ind w:firstLine="480"/>
      </w:pPr>
      <w:r>
        <w:t>a.首先计算某个室内声源在靠近围护结构处的A声级</w:t>
      </w:r>
    </w:p>
    <w:p>
      <w:pPr>
        <w:adjustRightInd w:val="0"/>
        <w:snapToGrid w:val="0"/>
        <w:ind w:firstLine="420" w:firstLineChars="200"/>
        <w:jc w:val="center"/>
        <w:rPr>
          <w:rFonts w:cs="Times New Roman"/>
        </w:rPr>
      </w:pPr>
      <w:r>
        <w:rPr>
          <w:rFonts w:cs="Times New Roman"/>
        </w:rPr>
        <w:object>
          <v:shape id="_x0000_i1036" o:spt="75" type="#_x0000_t75" style="height:36.35pt;width:121.9pt;" o:ole="t" filled="f" o:preferrelative="t" stroked="f" coordsize="21600,21600">
            <v:path/>
            <v:fill on="f" focussize="0,0"/>
            <v:stroke on="f" joinstyle="miter"/>
            <v:imagedata r:id="rId92" o:title=""/>
            <o:lock v:ext="edit" aspectratio="t"/>
            <w10:wrap type="none"/>
            <w10:anchorlock/>
          </v:shape>
          <o:OLEObject Type="Embed" ProgID="Equation.3" ShapeID="_x0000_i1036" DrawAspect="Content" ObjectID="_1468075736" r:id="rId91">
            <o:LockedField>false</o:LockedField>
          </o:OLEObject>
        </w:object>
      </w:r>
    </w:p>
    <w:p>
      <w:pPr>
        <w:pStyle w:val="40"/>
        <w:ind w:firstLine="480"/>
      </w:pPr>
      <w:r>
        <w:t>式中：</w:t>
      </w:r>
    </w:p>
    <w:p>
      <w:pPr>
        <w:pStyle w:val="40"/>
        <w:ind w:firstLine="480"/>
      </w:pPr>
      <w:r>
        <w:t>Li——某个室内声源在靠近围护结构处产生的A声级，dB(A)；</w:t>
      </w:r>
    </w:p>
    <w:p>
      <w:pPr>
        <w:pStyle w:val="40"/>
        <w:ind w:firstLine="480"/>
      </w:pPr>
      <w:r>
        <w:t>Lw——某个声源的声功率级，dB(A)；</w:t>
      </w:r>
    </w:p>
    <w:p>
      <w:pPr>
        <w:pStyle w:val="40"/>
        <w:ind w:firstLine="480"/>
      </w:pPr>
      <w:r>
        <w:t>r——某个声源与靠近围护结构处的距离，m；</w:t>
      </w:r>
    </w:p>
    <w:p>
      <w:pPr>
        <w:pStyle w:val="40"/>
        <w:ind w:firstLine="480"/>
      </w:pPr>
      <w:r>
        <w:t>R——房间常数（取R =10 m</w:t>
      </w:r>
      <w:r>
        <w:rPr>
          <w:vertAlign w:val="superscript"/>
        </w:rPr>
        <w:t>2</w:t>
      </w:r>
      <w:r>
        <w:t>）；</w:t>
      </w:r>
    </w:p>
    <w:p>
      <w:pPr>
        <w:pStyle w:val="40"/>
        <w:ind w:firstLine="480"/>
      </w:pPr>
      <w:r>
        <w:t>Q——方向性因子（取Q=1）。</w:t>
      </w:r>
    </w:p>
    <w:p>
      <w:pPr>
        <w:pStyle w:val="40"/>
        <w:ind w:firstLine="480"/>
      </w:pPr>
      <w:r>
        <w:t>b.计算所有室内声源在靠近围护结构处产生的总有效声级</w:t>
      </w:r>
    </w:p>
    <w:p>
      <w:pPr>
        <w:pStyle w:val="40"/>
        <w:ind w:firstLine="480"/>
        <w:jc w:val="center"/>
        <w:rPr>
          <w:rFonts w:cs="Times New Roman"/>
        </w:rPr>
      </w:pPr>
      <w:r>
        <w:rPr>
          <w:rFonts w:cs="Times New Roman"/>
        </w:rPr>
        <w:object>
          <v:shape id="_x0000_i1037" o:spt="75" type="#_x0000_t75" style="height:36.35pt;width:108.35pt;" o:ole="t" filled="f" o:preferrelative="t" stroked="f" coordsize="21600,21600">
            <v:path/>
            <v:fill on="f" focussize="0,0"/>
            <v:stroke on="f" joinstyle="miter"/>
            <v:imagedata r:id="rId94" o:title=""/>
            <o:lock v:ext="edit" aspectratio="t"/>
            <w10:wrap type="none"/>
            <w10:anchorlock/>
          </v:shape>
          <o:OLEObject Type="Embed" ProgID="Equation.3" ShapeID="_x0000_i1037" DrawAspect="Content" ObjectID="_1468075737" r:id="rId93">
            <o:LockedField>false</o:LockedField>
          </o:OLEObject>
        </w:object>
      </w:r>
    </w:p>
    <w:p>
      <w:pPr>
        <w:pStyle w:val="40"/>
        <w:ind w:firstLine="480"/>
        <w:rPr>
          <w:rFonts w:cs="Times New Roman"/>
        </w:rPr>
      </w:pPr>
      <w:r>
        <w:rPr>
          <w:rFonts w:cs="Times New Roman"/>
        </w:rPr>
        <w:t>c.计算室外靠近围护结构处的A声级</w:t>
      </w:r>
    </w:p>
    <w:p>
      <w:pPr>
        <w:pStyle w:val="40"/>
        <w:ind w:firstLine="480"/>
        <w:jc w:val="center"/>
        <w:rPr>
          <w:rFonts w:cs="Times New Roman"/>
        </w:rPr>
      </w:pPr>
      <w:r>
        <w:rPr>
          <w:rFonts w:cs="Times New Roman"/>
        </w:rPr>
        <w:object>
          <v:shape id="_x0000_i1038" o:spt="75" type="#_x0000_t75" style="height:22.1pt;width:122.6pt;" o:ole="t" filled="f" o:preferrelative="t" stroked="f" coordsize="21600,21600">
            <v:path/>
            <v:fill on="f" focussize="0,0"/>
            <v:stroke on="f" joinstyle="miter"/>
            <v:imagedata r:id="rId96" o:title=""/>
            <o:lock v:ext="edit" aspectratio="t"/>
            <w10:wrap type="none"/>
            <w10:anchorlock/>
          </v:shape>
          <o:OLEObject Type="Embed" ProgID="Equation.3" ShapeID="_x0000_i1038" DrawAspect="Content" ObjectID="_1468075738" r:id="rId95">
            <o:LockedField>false</o:LockedField>
          </o:OLEObject>
        </w:object>
      </w:r>
    </w:p>
    <w:p>
      <w:pPr>
        <w:pStyle w:val="40"/>
        <w:ind w:firstLine="480"/>
        <w:rPr>
          <w:rFonts w:cs="Times New Roman"/>
        </w:rPr>
      </w:pPr>
      <w:r>
        <w:rPr>
          <w:rFonts w:cs="Times New Roman"/>
        </w:rPr>
        <w:t>式中：</w:t>
      </w:r>
    </w:p>
    <w:p>
      <w:pPr>
        <w:pStyle w:val="40"/>
        <w:ind w:firstLine="480"/>
        <w:rPr>
          <w:rFonts w:cs="Times New Roman"/>
        </w:rPr>
      </w:pPr>
      <w:r>
        <w:rPr>
          <w:rFonts w:cs="Times New Roman"/>
        </w:rPr>
        <w:t>TL——窗户平均隔声量，dB(A)。</w:t>
      </w:r>
    </w:p>
    <w:p>
      <w:pPr>
        <w:pStyle w:val="40"/>
        <w:ind w:firstLine="480"/>
        <w:rPr>
          <w:rFonts w:cs="Times New Roman"/>
        </w:rPr>
      </w:pPr>
      <w:r>
        <w:rPr>
          <w:rFonts w:cs="Times New Roman"/>
        </w:rPr>
        <w:t>d.将室外声级L</w:t>
      </w:r>
      <w:r>
        <w:rPr>
          <w:rFonts w:cs="Times New Roman"/>
          <w:vertAlign w:val="subscript"/>
        </w:rPr>
        <w:t>2</w:t>
      </w:r>
      <w:r>
        <w:rPr>
          <w:rFonts w:cs="Times New Roman"/>
        </w:rPr>
        <w:t>(T)和透声面积换算成等效的室外声源，计算出等效声源的声功率级Lw：</w:t>
      </w:r>
    </w:p>
    <w:p>
      <w:pPr>
        <w:pStyle w:val="40"/>
        <w:ind w:firstLine="480"/>
        <w:jc w:val="center"/>
        <w:rPr>
          <w:rFonts w:cs="Times New Roman"/>
        </w:rPr>
      </w:pPr>
      <w:r>
        <w:rPr>
          <w:rFonts w:cs="Times New Roman"/>
        </w:rPr>
        <w:object>
          <v:shape id="_x0000_i1039" o:spt="75" type="#_x0000_t75" style="height:22.1pt;width:107.65pt;" o:ole="t" filled="f" o:preferrelative="t" stroked="f" coordsize="21600,21600">
            <v:path/>
            <v:fill on="f" focussize="0,0"/>
            <v:stroke on="f" joinstyle="miter"/>
            <v:imagedata r:id="rId98" o:title=""/>
            <o:lock v:ext="edit" aspectratio="t"/>
            <w10:wrap type="none"/>
            <w10:anchorlock/>
          </v:shape>
          <o:OLEObject Type="Embed" ProgID="Equation.3" ShapeID="_x0000_i1039" DrawAspect="Content" ObjectID="_1468075739" r:id="rId97">
            <o:LockedField>false</o:LockedField>
          </o:OLEObject>
        </w:object>
      </w:r>
    </w:p>
    <w:p>
      <w:pPr>
        <w:pStyle w:val="40"/>
        <w:ind w:firstLine="480"/>
        <w:rPr>
          <w:rFonts w:cs="Times New Roman"/>
        </w:rPr>
      </w:pPr>
      <w:r>
        <w:rPr>
          <w:rFonts w:cs="Times New Roman"/>
        </w:rPr>
        <w:t>式中：</w:t>
      </w:r>
    </w:p>
    <w:p>
      <w:pPr>
        <w:pStyle w:val="40"/>
        <w:ind w:firstLine="480"/>
        <w:rPr>
          <w:rFonts w:cs="Times New Roman"/>
        </w:rPr>
      </w:pPr>
      <w:r>
        <w:rPr>
          <w:rFonts w:cs="Times New Roman"/>
        </w:rPr>
        <w:t>S——透声面积，m</w:t>
      </w:r>
      <w:r>
        <w:rPr>
          <w:rFonts w:cs="Times New Roman"/>
          <w:vertAlign w:val="superscript"/>
        </w:rPr>
        <w:t>2</w:t>
      </w:r>
      <w:r>
        <w:rPr>
          <w:rFonts w:cs="Times New Roman"/>
        </w:rPr>
        <w:t>（取S =10 m</w:t>
      </w:r>
      <w:r>
        <w:rPr>
          <w:rFonts w:cs="Times New Roman"/>
          <w:vertAlign w:val="superscript"/>
        </w:rPr>
        <w:t>2</w:t>
      </w:r>
      <w:r>
        <w:rPr>
          <w:rFonts w:cs="Times New Roman"/>
        </w:rPr>
        <w:t>）。</w:t>
      </w:r>
    </w:p>
    <w:p>
      <w:pPr>
        <w:pStyle w:val="40"/>
        <w:ind w:firstLine="480"/>
        <w:rPr>
          <w:rFonts w:cs="Times New Roman"/>
        </w:rPr>
      </w:pPr>
      <w:r>
        <w:rPr>
          <w:rFonts w:cs="Times New Roman"/>
        </w:rPr>
        <w:t>e.等效室外声源的位置为围护结构的位置，其声功率级为Lw，由此计算等效声源在预测点产生的声级。</w:t>
      </w:r>
    </w:p>
    <w:p>
      <w:pPr>
        <w:pStyle w:val="40"/>
        <w:ind w:firstLine="480"/>
        <w:rPr>
          <w:rFonts w:cs="Times New Roman"/>
        </w:rPr>
      </w:pPr>
      <w:r>
        <w:rPr>
          <w:rFonts w:cs="Times New Roman"/>
        </w:rPr>
        <w:t>（3）总声级的计算</w:t>
      </w:r>
    </w:p>
    <w:p>
      <w:pPr>
        <w:pStyle w:val="40"/>
        <w:ind w:firstLine="480"/>
        <w:rPr>
          <w:rFonts w:cs="Times New Roman"/>
        </w:rPr>
      </w:pPr>
      <w:r>
        <w:rPr>
          <w:rFonts w:cs="Times New Roman"/>
        </w:rPr>
        <w:t>设第i个室外声源在预测点产生的A声级为LA</w:t>
      </w:r>
      <w:r>
        <w:rPr>
          <w:rFonts w:cs="Times New Roman"/>
          <w:vertAlign w:val="subscript"/>
        </w:rPr>
        <w:t>in,i</w:t>
      </w:r>
      <w:r>
        <w:rPr>
          <w:rFonts w:cs="Times New Roman"/>
        </w:rPr>
        <w:t>，在T时间内该声源工作时间为t</w:t>
      </w:r>
      <w:r>
        <w:rPr>
          <w:rFonts w:cs="Times New Roman"/>
          <w:vertAlign w:val="subscript"/>
        </w:rPr>
        <w:t>in,i</w:t>
      </w:r>
      <w:r>
        <w:rPr>
          <w:rFonts w:cs="Times New Roman"/>
        </w:rPr>
        <w:t>；设第j个等效室外声源在预测点产生的A声级为LA</w:t>
      </w:r>
      <w:r>
        <w:rPr>
          <w:rFonts w:cs="Times New Roman"/>
          <w:vertAlign w:val="subscript"/>
        </w:rPr>
        <w:t>jout,j</w:t>
      </w:r>
      <w:r>
        <w:rPr>
          <w:rFonts w:cs="Times New Roman"/>
        </w:rPr>
        <w:t>，在T时间内该声源工作时间为t</w:t>
      </w:r>
      <w:r>
        <w:rPr>
          <w:rFonts w:cs="Times New Roman"/>
          <w:vertAlign w:val="subscript"/>
        </w:rPr>
        <w:t>in,j</w:t>
      </w:r>
      <w:r>
        <w:rPr>
          <w:rFonts w:cs="Times New Roman"/>
        </w:rPr>
        <w:t>，则预测点的总有效声级为：</w:t>
      </w:r>
    </w:p>
    <w:p>
      <w:pPr>
        <w:pStyle w:val="40"/>
        <w:ind w:firstLine="480"/>
        <w:rPr>
          <w:rFonts w:cs="Times New Roman"/>
        </w:rPr>
      </w:pPr>
      <w:r>
        <w:rPr>
          <w:rFonts w:cs="Times New Roman"/>
        </w:rPr>
        <w:object>
          <v:shape id="_x0000_i1040" o:spt="75" type="#_x0000_t75" style="height:36.35pt;width:266.6pt;" o:ole="t" filled="f" o:preferrelative="t" stroked="f" coordsize="21600,21600">
            <v:path/>
            <v:fill on="f" focussize="0,0"/>
            <v:stroke on="f" joinstyle="miter"/>
            <v:imagedata r:id="rId100" o:title=""/>
            <o:lock v:ext="edit" aspectratio="t"/>
            <w10:wrap type="none"/>
            <w10:anchorlock/>
          </v:shape>
          <o:OLEObject Type="Embed" ProgID="Equation.3" ShapeID="_x0000_i1040" DrawAspect="Content" ObjectID="_1468075740" r:id="rId99">
            <o:LockedField>false</o:LockedField>
          </o:OLEObject>
        </w:object>
      </w:r>
    </w:p>
    <w:p>
      <w:pPr>
        <w:pStyle w:val="40"/>
        <w:ind w:firstLine="480"/>
        <w:rPr>
          <w:rFonts w:cs="Times New Roman"/>
        </w:rPr>
      </w:pPr>
      <w:r>
        <w:rPr>
          <w:rFonts w:cs="Times New Roman"/>
        </w:rPr>
        <w:t>式中：</w:t>
      </w:r>
    </w:p>
    <w:p>
      <w:pPr>
        <w:pStyle w:val="40"/>
        <w:ind w:firstLine="480"/>
        <w:rPr>
          <w:rFonts w:cs="Times New Roman"/>
        </w:rPr>
      </w:pPr>
      <w:r>
        <w:rPr>
          <w:rFonts w:cs="Times New Roman"/>
        </w:rPr>
        <w:t>T——计算等效声级的时间；</w:t>
      </w:r>
    </w:p>
    <w:p>
      <w:pPr>
        <w:pStyle w:val="40"/>
        <w:ind w:firstLine="480"/>
        <w:rPr>
          <w:rFonts w:cs="Times New Roman"/>
        </w:rPr>
      </w:pPr>
      <w:r>
        <w:rPr>
          <w:rFonts w:cs="Times New Roman"/>
        </w:rPr>
        <w:t>N——室外声源的个数；</w:t>
      </w:r>
    </w:p>
    <w:p>
      <w:pPr>
        <w:pStyle w:val="40"/>
        <w:ind w:firstLine="480"/>
        <w:rPr>
          <w:rFonts w:cs="Times New Roman"/>
        </w:rPr>
      </w:pPr>
      <w:r>
        <w:rPr>
          <w:rFonts w:cs="Times New Roman"/>
        </w:rPr>
        <w:t>M——等效室外声源的个数。</w:t>
      </w:r>
    </w:p>
    <w:p>
      <w:pPr>
        <w:pStyle w:val="40"/>
        <w:ind w:firstLine="480"/>
        <w:rPr>
          <w:rFonts w:cs="Times New Roman"/>
        </w:rPr>
      </w:pPr>
      <w:r>
        <w:rPr>
          <w:rFonts w:cs="Times New Roman"/>
        </w:rPr>
        <w:t>（4）预测参数的确定：</w:t>
      </w:r>
    </w:p>
    <w:p>
      <w:pPr>
        <w:pStyle w:val="40"/>
        <w:ind w:firstLine="480"/>
        <w:rPr>
          <w:rFonts w:cs="Times New Roman"/>
        </w:rPr>
      </w:pPr>
      <w:r>
        <w:rPr>
          <w:rFonts w:cs="Times New Roman"/>
        </w:rPr>
        <w:t>a.窗户的平均隔声量TL取经验值，15dB(A)。</w:t>
      </w:r>
    </w:p>
    <w:p>
      <w:pPr>
        <w:pStyle w:val="40"/>
        <w:ind w:firstLine="480"/>
        <w:rPr>
          <w:rFonts w:cs="Times New Roman"/>
        </w:rPr>
      </w:pPr>
      <w:r>
        <w:rPr>
          <w:rFonts w:cs="Times New Roman"/>
        </w:rPr>
        <w:t>b.声波几何发散引起的A声级衰减量：</w:t>
      </w:r>
    </w:p>
    <w:p>
      <w:pPr>
        <w:pStyle w:val="40"/>
        <w:ind w:firstLine="480"/>
        <w:jc w:val="center"/>
        <w:rPr>
          <w:rFonts w:cs="Times New Roman"/>
        </w:rPr>
      </w:pPr>
      <w:r>
        <w:rPr>
          <w:rFonts w:cs="Times New Roman"/>
          <w:position w:val="-30"/>
        </w:rPr>
        <w:object>
          <v:shape id="_x0000_i1041" o:spt="75" type="#_x0000_t75" style="height:36.35pt;width:72pt;" o:ole="t" filled="f" o:preferrelative="t" stroked="f" coordsize="21600,21600">
            <v:path/>
            <v:fill on="f" focussize="0,0"/>
            <v:stroke on="f" joinstyle="miter"/>
            <v:imagedata r:id="rId102" o:title=""/>
            <o:lock v:ext="edit" aspectratio="t"/>
            <w10:wrap type="none"/>
            <w10:anchorlock/>
          </v:shape>
          <o:OLEObject Type="Embed" ProgID="Equation.DSMT4" ShapeID="_x0000_i1041" DrawAspect="Content" ObjectID="_1468075741" r:id="rId101">
            <o:LockedField>false</o:LockedField>
          </o:OLEObject>
        </w:object>
      </w:r>
    </w:p>
    <w:p>
      <w:pPr>
        <w:pStyle w:val="40"/>
        <w:ind w:firstLine="480"/>
        <w:rPr>
          <w:rFonts w:cs="Times New Roman"/>
        </w:rPr>
      </w:pPr>
      <w:r>
        <w:rPr>
          <w:rFonts w:cs="Times New Roman"/>
        </w:rPr>
        <w:t>c.空气吸收衰减量Aatm：</w:t>
      </w:r>
    </w:p>
    <w:p>
      <w:pPr>
        <w:pStyle w:val="40"/>
        <w:ind w:firstLine="480"/>
        <w:jc w:val="center"/>
        <w:rPr>
          <w:rFonts w:cs="Times New Roman"/>
        </w:rPr>
      </w:pPr>
      <w:r>
        <w:rPr>
          <w:rFonts w:cs="Times New Roman"/>
        </w:rPr>
        <w:object>
          <v:shape id="_x0000_i1042" o:spt="75" type="#_x0000_t75" style="height:44.2pt;width:94.1pt;" o:ole="t" filled="f" o:preferrelative="t" stroked="f" coordsize="21600,21600">
            <v:path/>
            <v:fill on="f" focussize="0,0"/>
            <v:stroke on="f" joinstyle="miter"/>
            <v:imagedata r:id="rId104" o:title=""/>
            <o:lock v:ext="edit" aspectratio="t"/>
            <w10:wrap type="none"/>
            <w10:anchorlock/>
          </v:shape>
          <o:OLEObject Type="Embed" ProgID="Equation.3" ShapeID="_x0000_i1042" DrawAspect="Content" ObjectID="_1468075742" r:id="rId103">
            <o:LockedField>false</o:LockedField>
          </o:OLEObject>
        </w:object>
      </w:r>
    </w:p>
    <w:p>
      <w:pPr>
        <w:pStyle w:val="40"/>
        <w:ind w:firstLine="480"/>
      </w:pPr>
      <w:r>
        <w:t>式中：</w:t>
      </w:r>
    </w:p>
    <w:p>
      <w:pPr>
        <w:pStyle w:val="40"/>
        <w:ind w:firstLine="480"/>
      </w:pPr>
      <w:r>
        <w:t>r——预测点到声源的距离，m；</w:t>
      </w:r>
    </w:p>
    <w:p>
      <w:pPr>
        <w:pStyle w:val="40"/>
        <w:ind w:firstLine="480"/>
      </w:pPr>
      <w:r>
        <w:t>r</w:t>
      </w:r>
      <w:r>
        <w:rPr>
          <w:vertAlign w:val="subscript"/>
        </w:rPr>
        <w:t>0</w:t>
      </w:r>
      <w:r>
        <w:t>——参考点到声源的距离，m；</w:t>
      </w:r>
    </w:p>
    <w:p>
      <w:pPr>
        <w:pStyle w:val="40"/>
        <w:ind w:firstLine="480"/>
      </w:pPr>
      <w:r>
        <w:t>a——空气吸收系数，它随频率和距离的增大而增大，本次预测空气吸收性衰减很小，预测时可忽略不计。</w:t>
      </w:r>
    </w:p>
    <w:p>
      <w:pPr>
        <w:pStyle w:val="40"/>
        <w:ind w:firstLine="480"/>
      </w:pPr>
      <w:r>
        <w:t>d.地面效应衰减Agr</w:t>
      </w:r>
    </w:p>
    <w:p>
      <w:pPr>
        <w:pStyle w:val="40"/>
        <w:ind w:firstLine="480"/>
      </w:pPr>
      <w:r>
        <w:t>一般地面类型可分为坚实地面（包括铺筑过的路面、水面、冰面以及夯实地面）、疏松地面（包括被草或其他植物覆盖的地面，以及农田等适合于植物生长的地面）和混合地面（由坚实地面和疏松地面组成）。声波越过疏松地面传播时，或大部分为疏松地面的混合地面，在预测点仅计算A声级前提下，地面效应引起的倍频带衰减可用下式进行计算：</w:t>
      </w:r>
    </w:p>
    <w:p>
      <w:pPr>
        <w:adjustRightInd w:val="0"/>
        <w:snapToGrid w:val="0"/>
        <w:ind w:firstLine="420" w:firstLineChars="200"/>
        <w:jc w:val="center"/>
        <w:rPr>
          <w:rFonts w:cs="Times New Roman"/>
        </w:rPr>
      </w:pPr>
      <w:r>
        <w:rPr>
          <w:rFonts w:cs="Times New Roman"/>
        </w:rPr>
        <w:object>
          <v:shape id="_x0000_i1043" o:spt="75" type="#_x0000_t75" style="height:49.9pt;width:188.2pt;" o:ole="t" filled="f" o:preferrelative="t" stroked="f" coordsize="21600,21600">
            <v:path/>
            <v:fill on="f" focussize="0,0"/>
            <v:stroke on="f" joinstyle="miter"/>
            <v:imagedata r:id="rId106" o:title=""/>
            <o:lock v:ext="edit" aspectratio="t"/>
            <w10:wrap type="none"/>
            <w10:anchorlock/>
          </v:shape>
          <o:OLEObject Type="Embed" ProgID="Equation.3" ShapeID="_x0000_i1043" DrawAspect="Content" ObjectID="_1468075743" r:id="rId105">
            <o:LockedField>false</o:LockedField>
          </o:OLEObject>
        </w:object>
      </w:r>
    </w:p>
    <w:p>
      <w:pPr>
        <w:pStyle w:val="40"/>
        <w:ind w:firstLine="480"/>
      </w:pPr>
      <w:r>
        <w:t>式中：</w:t>
      </w:r>
    </w:p>
    <w:p>
      <w:pPr>
        <w:pStyle w:val="40"/>
        <w:ind w:firstLine="480"/>
      </w:pPr>
      <w:r>
        <w:t>r —声源到预测点的距离，m；</w:t>
      </w:r>
    </w:p>
    <w:p>
      <w:pPr>
        <w:pStyle w:val="40"/>
        <w:ind w:firstLine="480"/>
      </w:pPr>
      <w:r>
        <w:t>h</w:t>
      </w:r>
      <w:r>
        <w:rPr>
          <w:vertAlign w:val="subscript"/>
        </w:rPr>
        <w:t>m</w:t>
      </w:r>
      <w:r>
        <w:t>—传播路径的平均离地高度，m。</w:t>
      </w:r>
    </w:p>
    <w:p>
      <w:pPr>
        <w:pStyle w:val="40"/>
        <w:ind w:firstLine="480"/>
      </w:pPr>
      <w:r>
        <w:t>e.屏障引起的衰减量Abar</w:t>
      </w:r>
    </w:p>
    <w:p>
      <w:pPr>
        <w:pStyle w:val="40"/>
        <w:ind w:firstLine="480"/>
      </w:pPr>
      <w:r>
        <w:t>噪声在向外传播过程中将受到厂房或其它车间的阻挡影响，从而引起声能量的衰减，具体衰减根据不同声级的传播途径而定，一般取8dB(A)。</w:t>
      </w:r>
    </w:p>
    <w:p>
      <w:pPr>
        <w:pStyle w:val="40"/>
        <w:ind w:firstLine="480"/>
      </w:pPr>
      <w:r>
        <w:t>f.其它多方面原因引起的衰减量Amisc</w:t>
      </w:r>
    </w:p>
    <w:p>
      <w:pPr>
        <w:pStyle w:val="40"/>
        <w:ind w:firstLine="480"/>
      </w:pPr>
      <w:r>
        <w:t>主要包括通过工业场所的衰减和通过房屋群的衰减等，在声环境影响评价中，一般情况下，不考虑自然条件（如风、温度梯度、雾等）变化引起的附加修正。根据项目厂区布置和噪声源强及外环境状况，可以忽略本项附加衰减量。</w:t>
      </w:r>
    </w:p>
    <w:p>
      <w:pPr>
        <w:pStyle w:val="40"/>
        <w:ind w:firstLine="480"/>
      </w:pPr>
      <w:r>
        <w:t>（5）拟采取的噪声控制措施</w:t>
      </w:r>
    </w:p>
    <w:p>
      <w:pPr>
        <w:pStyle w:val="40"/>
        <w:ind w:firstLine="480"/>
      </w:pPr>
      <w:r>
        <w:t>为减轻噪声对周围环境影响，要求车间严格按规范设计，选用低噪声设备，风机安装减振垫、风管与设备采用软连接，排风口安装消声器，可降噪20dB（A）以上。</w:t>
      </w:r>
    </w:p>
    <w:p>
      <w:pPr>
        <w:pStyle w:val="40"/>
        <w:ind w:firstLine="480"/>
        <w:rPr>
          <w:rFonts w:cs="Times New Roman"/>
        </w:rPr>
      </w:pPr>
      <w:r>
        <w:rPr>
          <w:rFonts w:cs="Times New Roman"/>
        </w:rPr>
        <w:t>（6）预测结果</w:t>
      </w:r>
    </w:p>
    <w:p>
      <w:pPr>
        <w:pStyle w:val="40"/>
        <w:ind w:firstLine="480"/>
      </w:pPr>
      <w:r>
        <w:rPr>
          <w:rFonts w:cs="Times New Roman"/>
        </w:rPr>
        <w:t>项目夜间不</w:t>
      </w:r>
      <w:r>
        <w:rPr>
          <w:rFonts w:hint="eastAsia" w:cs="Times New Roman"/>
        </w:rPr>
        <w:t>工作</w:t>
      </w:r>
      <w:r>
        <w:rPr>
          <w:rFonts w:cs="Times New Roman"/>
        </w:rPr>
        <w:t>，根据项目主要设备的噪声源情况，利用上述预测模式和参数计算得各厂界</w:t>
      </w:r>
      <w:r>
        <w:rPr>
          <w:rFonts w:hint="eastAsia" w:cs="Times New Roman"/>
        </w:rPr>
        <w:t>及</w:t>
      </w:r>
      <w:r>
        <w:rPr>
          <w:rFonts w:cs="Times New Roman"/>
        </w:rPr>
        <w:t>敏感点噪声预测值，昼间噪声影响和预测结果见</w:t>
      </w:r>
      <w:r>
        <w:rPr>
          <w:rFonts w:hint="eastAsia" w:cs="Times New Roman"/>
        </w:rPr>
        <w:t>表6</w:t>
      </w:r>
      <w:r>
        <w:rPr>
          <w:rFonts w:cs="Times New Roman"/>
        </w:rPr>
        <w:t>.2-15</w:t>
      </w:r>
      <w:r>
        <w:rPr>
          <w:rFonts w:hint="eastAsia" w:cs="Times New Roman"/>
        </w:rPr>
        <w:t>。</w:t>
      </w:r>
    </w:p>
    <w:p>
      <w:pPr>
        <w:pStyle w:val="22"/>
        <w:rPr>
          <w:sz w:val="20"/>
          <w:szCs w:val="20"/>
        </w:rPr>
      </w:pPr>
      <w:bookmarkStart w:id="66" w:name="_Ref26802207"/>
      <w:r>
        <w:br w:type="column"/>
      </w:r>
      <w:r>
        <w:t>表</w:t>
      </w:r>
      <w:r>
        <w:fldChar w:fldCharType="begin"/>
      </w:r>
      <w:r>
        <w:instrText xml:space="preserve"> STYLEREF 2 \s </w:instrText>
      </w:r>
      <w:r>
        <w:fldChar w:fldCharType="separate"/>
      </w:r>
      <w:r>
        <w:t>6.2</w:t>
      </w:r>
      <w:r>
        <w:fldChar w:fldCharType="end"/>
      </w:r>
      <w:r>
        <w:noBreakHyphen/>
      </w:r>
      <w:bookmarkEnd w:id="66"/>
      <w:r>
        <w:t>15</w:t>
      </w:r>
      <w:r>
        <w:rPr>
          <w:szCs w:val="21"/>
        </w:rPr>
        <w:t xml:space="preserve">  噪声预测结果  单位：dB(A)</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41"/>
        <w:gridCol w:w="1211"/>
        <w:gridCol w:w="1888"/>
        <w:gridCol w:w="1279"/>
        <w:gridCol w:w="940"/>
        <w:gridCol w:w="937"/>
        <w:gridCol w:w="937"/>
        <w:gridCol w:w="9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blHeader/>
          <w:jc w:val="center"/>
        </w:trPr>
        <w:tc>
          <w:tcPr>
            <w:tcW w:w="1952" w:type="dxa"/>
            <w:gridSpan w:val="2"/>
            <w:vMerge w:val="restart"/>
            <w:vAlign w:val="center"/>
          </w:tcPr>
          <w:p>
            <w:pPr>
              <w:pStyle w:val="47"/>
            </w:pPr>
            <w:r>
              <w:t>预测点</w:t>
            </w:r>
          </w:p>
        </w:tc>
        <w:tc>
          <w:tcPr>
            <w:tcW w:w="3167" w:type="dxa"/>
            <w:gridSpan w:val="2"/>
            <w:vAlign w:val="center"/>
          </w:tcPr>
          <w:p>
            <w:pPr>
              <w:pStyle w:val="47"/>
            </w:pPr>
            <w:r>
              <w:t>贡献值</w:t>
            </w:r>
          </w:p>
        </w:tc>
        <w:tc>
          <w:tcPr>
            <w:tcW w:w="1877" w:type="dxa"/>
            <w:gridSpan w:val="2"/>
            <w:vAlign w:val="center"/>
          </w:tcPr>
          <w:p>
            <w:pPr>
              <w:pStyle w:val="47"/>
            </w:pPr>
            <w:r>
              <w:t>背景值</w:t>
            </w:r>
          </w:p>
        </w:tc>
        <w:tc>
          <w:tcPr>
            <w:tcW w:w="1874" w:type="dxa"/>
            <w:gridSpan w:val="2"/>
            <w:vAlign w:val="center"/>
          </w:tcPr>
          <w:p>
            <w:pPr>
              <w:pStyle w:val="47"/>
            </w:pPr>
            <w:r>
              <w:t>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tblHeader/>
          <w:jc w:val="center"/>
        </w:trPr>
        <w:tc>
          <w:tcPr>
            <w:tcW w:w="1952" w:type="dxa"/>
            <w:gridSpan w:val="2"/>
            <w:vMerge w:val="continue"/>
            <w:vAlign w:val="center"/>
          </w:tcPr>
          <w:p>
            <w:pPr>
              <w:pStyle w:val="47"/>
            </w:pPr>
          </w:p>
        </w:tc>
        <w:tc>
          <w:tcPr>
            <w:tcW w:w="1888" w:type="dxa"/>
            <w:vAlign w:val="center"/>
          </w:tcPr>
          <w:p>
            <w:pPr>
              <w:pStyle w:val="47"/>
            </w:pPr>
            <w:r>
              <w:t>昼间</w:t>
            </w:r>
          </w:p>
        </w:tc>
        <w:tc>
          <w:tcPr>
            <w:tcW w:w="1279" w:type="dxa"/>
          </w:tcPr>
          <w:p>
            <w:pPr>
              <w:pStyle w:val="47"/>
            </w:pPr>
            <w:r>
              <w:rPr>
                <w:rFonts w:hint="eastAsia"/>
              </w:rPr>
              <w:t>夜间</w:t>
            </w:r>
          </w:p>
        </w:tc>
        <w:tc>
          <w:tcPr>
            <w:tcW w:w="940" w:type="dxa"/>
            <w:vAlign w:val="center"/>
          </w:tcPr>
          <w:p>
            <w:pPr>
              <w:pStyle w:val="47"/>
            </w:pPr>
            <w:r>
              <w:t>昼间</w:t>
            </w:r>
          </w:p>
        </w:tc>
        <w:tc>
          <w:tcPr>
            <w:tcW w:w="937" w:type="dxa"/>
          </w:tcPr>
          <w:p>
            <w:pPr>
              <w:pStyle w:val="47"/>
            </w:pPr>
            <w:r>
              <w:rPr>
                <w:rFonts w:hint="eastAsia"/>
              </w:rPr>
              <w:t>夜间</w:t>
            </w:r>
          </w:p>
        </w:tc>
        <w:tc>
          <w:tcPr>
            <w:tcW w:w="937" w:type="dxa"/>
            <w:vAlign w:val="center"/>
          </w:tcPr>
          <w:p>
            <w:pPr>
              <w:pStyle w:val="47"/>
            </w:pPr>
            <w:r>
              <w:t>昼间</w:t>
            </w:r>
          </w:p>
        </w:tc>
        <w:tc>
          <w:tcPr>
            <w:tcW w:w="937" w:type="dxa"/>
          </w:tcPr>
          <w:p>
            <w:pPr>
              <w:pStyle w:val="47"/>
            </w:pPr>
            <w:r>
              <w:rPr>
                <w:rFonts w:hint="eastAsia"/>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restart"/>
            <w:vAlign w:val="center"/>
          </w:tcPr>
          <w:p>
            <w:pPr>
              <w:pStyle w:val="47"/>
            </w:pPr>
            <w:r>
              <w:t>厂界</w:t>
            </w:r>
          </w:p>
        </w:tc>
        <w:tc>
          <w:tcPr>
            <w:tcW w:w="1211" w:type="dxa"/>
            <w:vAlign w:val="center"/>
          </w:tcPr>
          <w:p>
            <w:pPr>
              <w:pStyle w:val="47"/>
            </w:pPr>
            <w:r>
              <w:t>东厂界</w:t>
            </w:r>
          </w:p>
        </w:tc>
        <w:tc>
          <w:tcPr>
            <w:tcW w:w="1888" w:type="dxa"/>
            <w:vAlign w:val="center"/>
          </w:tcPr>
          <w:p>
            <w:pPr>
              <w:pStyle w:val="47"/>
            </w:pPr>
            <w:r>
              <w:rPr>
                <w:rFonts w:hint="eastAsia"/>
              </w:rPr>
              <w:t>31.1</w:t>
            </w:r>
          </w:p>
        </w:tc>
        <w:tc>
          <w:tcPr>
            <w:tcW w:w="1279" w:type="dxa"/>
            <w:vAlign w:val="center"/>
          </w:tcPr>
          <w:p>
            <w:pPr>
              <w:pStyle w:val="47"/>
            </w:pPr>
            <w:r>
              <w:rPr>
                <w:rFonts w:hint="eastAsia"/>
              </w:rPr>
              <w:t>31.1</w:t>
            </w:r>
          </w:p>
        </w:tc>
        <w:tc>
          <w:tcPr>
            <w:tcW w:w="940" w:type="dxa"/>
            <w:vAlign w:val="center"/>
          </w:tcPr>
          <w:p>
            <w:pPr>
              <w:pStyle w:val="47"/>
            </w:pPr>
            <w:r>
              <w:rPr>
                <w:rFonts w:hint="eastAsia"/>
              </w:rPr>
              <w:t>/</w:t>
            </w:r>
          </w:p>
        </w:tc>
        <w:tc>
          <w:tcPr>
            <w:tcW w:w="937" w:type="dxa"/>
          </w:tcPr>
          <w:p>
            <w:pPr>
              <w:pStyle w:val="47"/>
            </w:pPr>
            <w:r>
              <w:rPr>
                <w:rFonts w:hint="eastAsia"/>
              </w:rPr>
              <w:t>/</w:t>
            </w:r>
          </w:p>
        </w:tc>
        <w:tc>
          <w:tcPr>
            <w:tcW w:w="937" w:type="dxa"/>
            <w:vAlign w:val="center"/>
          </w:tcPr>
          <w:p>
            <w:pPr>
              <w:pStyle w:val="47"/>
            </w:pPr>
            <w:r>
              <w:rPr>
                <w:rFonts w:hint="eastAsia"/>
              </w:rPr>
              <w:t>31.1</w:t>
            </w:r>
          </w:p>
        </w:tc>
        <w:tc>
          <w:tcPr>
            <w:tcW w:w="937" w:type="dxa"/>
            <w:vAlign w:val="center"/>
          </w:tcPr>
          <w:p>
            <w:pPr>
              <w:pStyle w:val="47"/>
            </w:pPr>
            <w:r>
              <w:rPr>
                <w:rFonts w:hint="eastAsia"/>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continue"/>
            <w:vAlign w:val="center"/>
          </w:tcPr>
          <w:p>
            <w:pPr>
              <w:pStyle w:val="47"/>
            </w:pPr>
          </w:p>
        </w:tc>
        <w:tc>
          <w:tcPr>
            <w:tcW w:w="1211" w:type="dxa"/>
            <w:vAlign w:val="center"/>
          </w:tcPr>
          <w:p>
            <w:pPr>
              <w:pStyle w:val="47"/>
            </w:pPr>
            <w:r>
              <w:t>南厂界</w:t>
            </w:r>
          </w:p>
        </w:tc>
        <w:tc>
          <w:tcPr>
            <w:tcW w:w="1888" w:type="dxa"/>
            <w:vAlign w:val="center"/>
          </w:tcPr>
          <w:p>
            <w:pPr>
              <w:pStyle w:val="47"/>
            </w:pPr>
            <w:r>
              <w:rPr>
                <w:rFonts w:hint="eastAsia"/>
              </w:rPr>
              <w:t>42.1</w:t>
            </w:r>
          </w:p>
        </w:tc>
        <w:tc>
          <w:tcPr>
            <w:tcW w:w="1279" w:type="dxa"/>
            <w:vAlign w:val="center"/>
          </w:tcPr>
          <w:p>
            <w:pPr>
              <w:pStyle w:val="47"/>
            </w:pPr>
            <w:r>
              <w:rPr>
                <w:rFonts w:hint="eastAsia"/>
              </w:rPr>
              <w:t>42.1</w:t>
            </w:r>
          </w:p>
        </w:tc>
        <w:tc>
          <w:tcPr>
            <w:tcW w:w="940" w:type="dxa"/>
            <w:vAlign w:val="center"/>
          </w:tcPr>
          <w:p>
            <w:pPr>
              <w:pStyle w:val="47"/>
            </w:pPr>
            <w:r>
              <w:rPr>
                <w:rFonts w:hint="eastAsia"/>
              </w:rPr>
              <w:t>/</w:t>
            </w:r>
          </w:p>
        </w:tc>
        <w:tc>
          <w:tcPr>
            <w:tcW w:w="937" w:type="dxa"/>
          </w:tcPr>
          <w:p>
            <w:pPr>
              <w:pStyle w:val="47"/>
            </w:pPr>
            <w:r>
              <w:rPr>
                <w:rFonts w:hint="eastAsia"/>
              </w:rPr>
              <w:t>/</w:t>
            </w:r>
          </w:p>
        </w:tc>
        <w:tc>
          <w:tcPr>
            <w:tcW w:w="937" w:type="dxa"/>
            <w:vAlign w:val="center"/>
          </w:tcPr>
          <w:p>
            <w:pPr>
              <w:pStyle w:val="47"/>
            </w:pPr>
            <w:r>
              <w:rPr>
                <w:rFonts w:hint="eastAsia"/>
              </w:rPr>
              <w:t>42.1</w:t>
            </w:r>
          </w:p>
        </w:tc>
        <w:tc>
          <w:tcPr>
            <w:tcW w:w="937" w:type="dxa"/>
            <w:vAlign w:val="center"/>
          </w:tcPr>
          <w:p>
            <w:pPr>
              <w:pStyle w:val="47"/>
            </w:pPr>
            <w:r>
              <w:rPr>
                <w:rFonts w:hint="eastAsia"/>
              </w:rPr>
              <w:t>42.1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continue"/>
            <w:vAlign w:val="center"/>
          </w:tcPr>
          <w:p>
            <w:pPr>
              <w:pStyle w:val="47"/>
            </w:pPr>
          </w:p>
        </w:tc>
        <w:tc>
          <w:tcPr>
            <w:tcW w:w="1211" w:type="dxa"/>
            <w:vAlign w:val="center"/>
          </w:tcPr>
          <w:p>
            <w:pPr>
              <w:pStyle w:val="47"/>
            </w:pPr>
            <w:r>
              <w:t>西厂界</w:t>
            </w:r>
          </w:p>
        </w:tc>
        <w:tc>
          <w:tcPr>
            <w:tcW w:w="1888" w:type="dxa"/>
            <w:vAlign w:val="center"/>
          </w:tcPr>
          <w:p>
            <w:pPr>
              <w:pStyle w:val="47"/>
            </w:pPr>
            <w:r>
              <w:rPr>
                <w:rFonts w:hint="eastAsia"/>
              </w:rPr>
              <w:t>37.9</w:t>
            </w:r>
          </w:p>
        </w:tc>
        <w:tc>
          <w:tcPr>
            <w:tcW w:w="1279" w:type="dxa"/>
            <w:vAlign w:val="center"/>
          </w:tcPr>
          <w:p>
            <w:pPr>
              <w:pStyle w:val="47"/>
            </w:pPr>
            <w:r>
              <w:rPr>
                <w:rFonts w:hint="eastAsia"/>
              </w:rPr>
              <w:t>37.9</w:t>
            </w:r>
          </w:p>
        </w:tc>
        <w:tc>
          <w:tcPr>
            <w:tcW w:w="940" w:type="dxa"/>
            <w:vAlign w:val="center"/>
          </w:tcPr>
          <w:p>
            <w:pPr>
              <w:pStyle w:val="47"/>
            </w:pPr>
            <w:r>
              <w:rPr>
                <w:rFonts w:hint="eastAsia"/>
              </w:rPr>
              <w:t>/</w:t>
            </w:r>
          </w:p>
        </w:tc>
        <w:tc>
          <w:tcPr>
            <w:tcW w:w="937" w:type="dxa"/>
          </w:tcPr>
          <w:p>
            <w:pPr>
              <w:pStyle w:val="47"/>
            </w:pPr>
            <w:r>
              <w:rPr>
                <w:rFonts w:hint="eastAsia"/>
              </w:rPr>
              <w:t>/</w:t>
            </w:r>
          </w:p>
        </w:tc>
        <w:tc>
          <w:tcPr>
            <w:tcW w:w="937" w:type="dxa"/>
            <w:vAlign w:val="center"/>
          </w:tcPr>
          <w:p>
            <w:pPr>
              <w:pStyle w:val="47"/>
            </w:pPr>
            <w:r>
              <w:rPr>
                <w:rFonts w:hint="eastAsia"/>
              </w:rPr>
              <w:t>37.9</w:t>
            </w:r>
          </w:p>
        </w:tc>
        <w:tc>
          <w:tcPr>
            <w:tcW w:w="937" w:type="dxa"/>
            <w:vAlign w:val="center"/>
          </w:tcPr>
          <w:p>
            <w:pPr>
              <w:pStyle w:val="47"/>
            </w:pPr>
            <w:r>
              <w:rPr>
                <w:rFonts w:hint="eastAsia"/>
              </w:rPr>
              <w:t>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continue"/>
            <w:vAlign w:val="center"/>
          </w:tcPr>
          <w:p>
            <w:pPr>
              <w:pStyle w:val="47"/>
              <w:rPr>
                <w:highlight w:val="yellow"/>
              </w:rPr>
            </w:pPr>
          </w:p>
        </w:tc>
        <w:tc>
          <w:tcPr>
            <w:tcW w:w="1211" w:type="dxa"/>
            <w:vAlign w:val="center"/>
          </w:tcPr>
          <w:p>
            <w:pPr>
              <w:pStyle w:val="47"/>
            </w:pPr>
            <w:r>
              <w:t>北厂界</w:t>
            </w:r>
          </w:p>
        </w:tc>
        <w:tc>
          <w:tcPr>
            <w:tcW w:w="1888" w:type="dxa"/>
            <w:vAlign w:val="center"/>
          </w:tcPr>
          <w:p>
            <w:pPr>
              <w:pStyle w:val="47"/>
            </w:pPr>
            <w:r>
              <w:rPr>
                <w:rFonts w:hint="eastAsia"/>
              </w:rPr>
              <w:t>31.7</w:t>
            </w:r>
          </w:p>
        </w:tc>
        <w:tc>
          <w:tcPr>
            <w:tcW w:w="1279" w:type="dxa"/>
            <w:vAlign w:val="center"/>
          </w:tcPr>
          <w:p>
            <w:pPr>
              <w:pStyle w:val="47"/>
            </w:pPr>
            <w:r>
              <w:t>31.7</w:t>
            </w:r>
          </w:p>
        </w:tc>
        <w:tc>
          <w:tcPr>
            <w:tcW w:w="940" w:type="dxa"/>
            <w:vAlign w:val="center"/>
          </w:tcPr>
          <w:p>
            <w:pPr>
              <w:pStyle w:val="47"/>
            </w:pPr>
            <w:r>
              <w:t>/</w:t>
            </w:r>
          </w:p>
        </w:tc>
        <w:tc>
          <w:tcPr>
            <w:tcW w:w="937" w:type="dxa"/>
          </w:tcPr>
          <w:p>
            <w:pPr>
              <w:pStyle w:val="47"/>
            </w:pPr>
            <w:r>
              <w:t>/</w:t>
            </w:r>
          </w:p>
        </w:tc>
        <w:tc>
          <w:tcPr>
            <w:tcW w:w="937" w:type="dxa"/>
            <w:vAlign w:val="center"/>
          </w:tcPr>
          <w:p>
            <w:pPr>
              <w:pStyle w:val="47"/>
            </w:pPr>
            <w:r>
              <w:rPr>
                <w:rFonts w:hint="eastAsia"/>
              </w:rPr>
              <w:t>31.7</w:t>
            </w:r>
          </w:p>
        </w:tc>
        <w:tc>
          <w:tcPr>
            <w:tcW w:w="937" w:type="dxa"/>
            <w:vAlign w:val="center"/>
          </w:tcPr>
          <w:p>
            <w:pPr>
              <w:pStyle w:val="47"/>
            </w:pPr>
            <w:r>
              <w:rPr>
                <w:rFonts w:hint="eastAsia"/>
              </w:rPr>
              <w:t>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restart"/>
            <w:vAlign w:val="center"/>
          </w:tcPr>
          <w:p>
            <w:pPr>
              <w:pStyle w:val="47"/>
            </w:pPr>
            <w:r>
              <w:t>敏感点</w:t>
            </w:r>
          </w:p>
        </w:tc>
        <w:tc>
          <w:tcPr>
            <w:tcW w:w="1211" w:type="dxa"/>
            <w:vAlign w:val="center"/>
          </w:tcPr>
          <w:p>
            <w:pPr>
              <w:pStyle w:val="47"/>
            </w:pPr>
            <w:r>
              <w:rPr>
                <w:rFonts w:hint="eastAsia"/>
              </w:rPr>
              <w:t>越南村</w:t>
            </w:r>
          </w:p>
        </w:tc>
        <w:tc>
          <w:tcPr>
            <w:tcW w:w="1888" w:type="dxa"/>
            <w:vAlign w:val="center"/>
          </w:tcPr>
          <w:p>
            <w:pPr>
              <w:pStyle w:val="47"/>
            </w:pPr>
            <w:r>
              <w:rPr>
                <w:rFonts w:hint="eastAsia"/>
              </w:rPr>
              <w:t>4</w:t>
            </w:r>
            <w:r>
              <w:t>0</w:t>
            </w:r>
            <w:r>
              <w:rPr>
                <w:rFonts w:hint="eastAsia"/>
              </w:rPr>
              <w:t>.1</w:t>
            </w:r>
          </w:p>
        </w:tc>
        <w:tc>
          <w:tcPr>
            <w:tcW w:w="1279" w:type="dxa"/>
            <w:vAlign w:val="center"/>
          </w:tcPr>
          <w:p>
            <w:pPr>
              <w:pStyle w:val="47"/>
            </w:pPr>
            <w:r>
              <w:rPr>
                <w:rFonts w:hint="eastAsia"/>
              </w:rPr>
              <w:t>40.1</w:t>
            </w:r>
          </w:p>
        </w:tc>
        <w:tc>
          <w:tcPr>
            <w:tcW w:w="940" w:type="dxa"/>
            <w:vAlign w:val="center"/>
          </w:tcPr>
          <w:p>
            <w:pPr>
              <w:pStyle w:val="47"/>
            </w:pPr>
            <w:r>
              <w:t>53</w:t>
            </w:r>
          </w:p>
        </w:tc>
        <w:tc>
          <w:tcPr>
            <w:tcW w:w="937" w:type="dxa"/>
            <w:vAlign w:val="center"/>
          </w:tcPr>
          <w:p>
            <w:pPr>
              <w:pStyle w:val="47"/>
            </w:pPr>
            <w:r>
              <w:rPr>
                <w:rFonts w:hint="eastAsia"/>
              </w:rPr>
              <w:t>42</w:t>
            </w:r>
          </w:p>
        </w:tc>
        <w:tc>
          <w:tcPr>
            <w:tcW w:w="937" w:type="dxa"/>
            <w:vAlign w:val="center"/>
          </w:tcPr>
          <w:p>
            <w:pPr>
              <w:pStyle w:val="47"/>
            </w:pPr>
            <w:r>
              <w:rPr>
                <w:rFonts w:hint="eastAsia"/>
              </w:rPr>
              <w:t>53</w:t>
            </w:r>
          </w:p>
        </w:tc>
        <w:tc>
          <w:tcPr>
            <w:tcW w:w="937" w:type="dxa"/>
            <w:vAlign w:val="center"/>
          </w:tcPr>
          <w:p>
            <w:pPr>
              <w:pStyle w:val="47"/>
            </w:pPr>
            <w:r>
              <w:rPr>
                <w:rFonts w:hint="eastAsia"/>
              </w:rPr>
              <w:t>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741" w:type="dxa"/>
            <w:vMerge w:val="continue"/>
            <w:vAlign w:val="center"/>
          </w:tcPr>
          <w:p>
            <w:pPr>
              <w:pStyle w:val="47"/>
            </w:pPr>
          </w:p>
        </w:tc>
        <w:tc>
          <w:tcPr>
            <w:tcW w:w="1211" w:type="dxa"/>
            <w:vAlign w:val="center"/>
          </w:tcPr>
          <w:p>
            <w:pPr>
              <w:pStyle w:val="47"/>
            </w:pPr>
            <w:r>
              <w:rPr>
                <w:rFonts w:hint="eastAsia" w:hAnsi="Times New Roman"/>
                <w:szCs w:val="21"/>
              </w:rPr>
              <w:t>越南村</w:t>
            </w:r>
            <w:r>
              <w:rPr>
                <w:rFonts w:hAnsi="Times New Roman"/>
                <w:szCs w:val="21"/>
              </w:rPr>
              <w:t>刘星耀小学</w:t>
            </w:r>
          </w:p>
        </w:tc>
        <w:tc>
          <w:tcPr>
            <w:tcW w:w="1888" w:type="dxa"/>
            <w:vAlign w:val="center"/>
          </w:tcPr>
          <w:p>
            <w:pPr>
              <w:pStyle w:val="47"/>
            </w:pPr>
            <w:r>
              <w:rPr>
                <w:rFonts w:hint="eastAsia"/>
              </w:rPr>
              <w:t>41.2</w:t>
            </w:r>
          </w:p>
        </w:tc>
        <w:tc>
          <w:tcPr>
            <w:tcW w:w="1279" w:type="dxa"/>
            <w:vAlign w:val="center"/>
          </w:tcPr>
          <w:p>
            <w:pPr>
              <w:pStyle w:val="47"/>
            </w:pPr>
            <w:r>
              <w:rPr>
                <w:rFonts w:hint="eastAsia"/>
              </w:rPr>
              <w:t>41.2</w:t>
            </w:r>
          </w:p>
        </w:tc>
        <w:tc>
          <w:tcPr>
            <w:tcW w:w="940" w:type="dxa"/>
            <w:vAlign w:val="center"/>
          </w:tcPr>
          <w:p>
            <w:pPr>
              <w:pStyle w:val="47"/>
            </w:pPr>
            <w:r>
              <w:rPr>
                <w:rFonts w:hint="eastAsia"/>
              </w:rPr>
              <w:t>53</w:t>
            </w:r>
          </w:p>
        </w:tc>
        <w:tc>
          <w:tcPr>
            <w:tcW w:w="937" w:type="dxa"/>
            <w:vAlign w:val="center"/>
          </w:tcPr>
          <w:p>
            <w:pPr>
              <w:pStyle w:val="47"/>
            </w:pPr>
            <w:r>
              <w:rPr>
                <w:rFonts w:hint="eastAsia"/>
              </w:rPr>
              <w:t>42</w:t>
            </w:r>
          </w:p>
        </w:tc>
        <w:tc>
          <w:tcPr>
            <w:tcW w:w="937" w:type="dxa"/>
            <w:vAlign w:val="center"/>
          </w:tcPr>
          <w:p>
            <w:pPr>
              <w:pStyle w:val="47"/>
            </w:pPr>
            <w:r>
              <w:rPr>
                <w:rFonts w:hint="eastAsia"/>
              </w:rPr>
              <w:t>53</w:t>
            </w:r>
          </w:p>
        </w:tc>
        <w:tc>
          <w:tcPr>
            <w:tcW w:w="937" w:type="dxa"/>
            <w:vAlign w:val="center"/>
          </w:tcPr>
          <w:p>
            <w:pPr>
              <w:pStyle w:val="47"/>
            </w:pPr>
            <w:r>
              <w:rPr>
                <w:rFonts w:hint="eastAsia"/>
              </w:rPr>
              <w:t>44.6</w:t>
            </w:r>
          </w:p>
        </w:tc>
      </w:tr>
    </w:tbl>
    <w:p>
      <w:pPr>
        <w:pStyle w:val="5"/>
      </w:pPr>
      <w:r>
        <w:rPr>
          <w:rFonts w:hint="eastAsia"/>
        </w:rPr>
        <w:t>噪声</w:t>
      </w:r>
      <w:r>
        <w:t>环境影响评价</w:t>
      </w:r>
    </w:p>
    <w:p>
      <w:pPr>
        <w:pStyle w:val="40"/>
        <w:ind w:firstLine="480"/>
      </w:pPr>
      <w:r>
        <w:rPr>
          <w:rFonts w:hint="eastAsia"/>
        </w:rPr>
        <w:t>由预测结果可知，在采取相应的噪声污染防治措施后，项目营运期噪声对各厂界的噪声贡献值较小，最大贡献值为南厂界的</w:t>
      </w:r>
      <w:r>
        <w:t>42.1</w:t>
      </w:r>
      <w:r>
        <w:rPr>
          <w:rFonts w:hint="eastAsia"/>
        </w:rPr>
        <w:t>dB(A)，各厂界昼间噪声贡献值均满足《工业企业厂界环境噪声排放标准》（GB12348-2008）2类标准要求，距离项目敏感点为项目南侧的越南</w:t>
      </w:r>
      <w:r>
        <w:t>村及刘星耀小学</w:t>
      </w:r>
      <w:r>
        <w:rPr>
          <w:rFonts w:hint="eastAsia"/>
        </w:rPr>
        <w:t>，敏感点叠加背景值后预测值满足《声环境质量标准》（GB3096-2008）2类标准要求，项目产生噪声对敏感点影响较小。</w:t>
      </w:r>
    </w:p>
    <w:p>
      <w:pPr>
        <w:pStyle w:val="4"/>
      </w:pPr>
      <w:r>
        <w:rPr>
          <w:rFonts w:hint="eastAsia"/>
        </w:rPr>
        <w:t>固体</w:t>
      </w:r>
      <w:r>
        <w:t>废物环境影响分析</w:t>
      </w:r>
    </w:p>
    <w:p>
      <w:pPr>
        <w:pStyle w:val="40"/>
        <w:ind w:firstLine="480"/>
      </w:pPr>
      <w:r>
        <w:rPr>
          <w:rFonts w:hint="eastAsia"/>
        </w:rPr>
        <w:t>项目</w:t>
      </w:r>
      <w:r>
        <w:t>运营期产生的固体废物主要为</w:t>
      </w:r>
      <w:r>
        <w:rPr>
          <w:rFonts w:hint="eastAsia"/>
        </w:rPr>
        <w:t>生活垃圾、医疗废物、食堂餐厨垃圾及隔油池废油脂、污水处理站污泥及栅渣、废包装物、</w:t>
      </w:r>
      <w:r>
        <w:t>中药渣</w:t>
      </w:r>
      <w:r>
        <w:rPr>
          <w:rFonts w:hint="eastAsia"/>
        </w:rPr>
        <w:t>、</w:t>
      </w:r>
      <w:r>
        <w:t>废离子交换树脂</w:t>
      </w:r>
      <w:r>
        <w:rPr>
          <w:rFonts w:hint="eastAsia"/>
        </w:rPr>
        <w:t>等。</w:t>
      </w:r>
    </w:p>
    <w:p>
      <w:pPr>
        <w:pStyle w:val="40"/>
        <w:ind w:firstLine="480"/>
      </w:pPr>
      <w:r>
        <w:rPr>
          <w:rFonts w:hint="eastAsia"/>
        </w:rPr>
        <w:t>项目</w:t>
      </w:r>
      <w:r>
        <w:t>固体废物具体</w:t>
      </w:r>
      <w:r>
        <w:rPr>
          <w:rFonts w:hint="eastAsia"/>
        </w:rPr>
        <w:t>处理</w:t>
      </w:r>
      <w:r>
        <w:t>处置方法及去向见表</w:t>
      </w:r>
      <w:r>
        <w:rPr>
          <w:rFonts w:hint="eastAsia"/>
        </w:rPr>
        <w:t>6.2-1</w:t>
      </w:r>
      <w:r>
        <w:t>6</w:t>
      </w:r>
      <w:r>
        <w:rPr>
          <w:rFonts w:hint="eastAsia"/>
        </w:rPr>
        <w:t>。</w:t>
      </w:r>
    </w:p>
    <w:p>
      <w:pPr>
        <w:snapToGrid w:val="0"/>
        <w:spacing w:before="156" w:beforeLines="50"/>
        <w:jc w:val="center"/>
        <w:rPr>
          <w:rFonts w:ascii="Times New Roman" w:hAnsi="Times New Roman" w:eastAsia="宋体" w:cs="Times New Roman"/>
          <w:b/>
          <w:color w:val="000000"/>
          <w:spacing w:val="-6"/>
          <w:sz w:val="24"/>
          <w:szCs w:val="24"/>
          <w:lang w:bidi="ar"/>
        </w:rPr>
      </w:pPr>
      <w:r>
        <w:rPr>
          <w:rFonts w:ascii="Times New Roman" w:hAnsi="Times New Roman" w:eastAsia="宋体" w:cs="Times New Roman"/>
          <w:b/>
          <w:color w:val="000000"/>
          <w:spacing w:val="-6"/>
          <w:sz w:val="24"/>
          <w:szCs w:val="24"/>
          <w:lang w:bidi="ar"/>
        </w:rPr>
        <w:t>表</w:t>
      </w:r>
      <w:r>
        <w:rPr>
          <w:rFonts w:hint="eastAsia" w:ascii="Times New Roman" w:hAnsi="Times New Roman" w:eastAsia="宋体" w:cs="Times New Roman"/>
          <w:b/>
          <w:color w:val="000000"/>
          <w:spacing w:val="-6"/>
          <w:sz w:val="24"/>
          <w:szCs w:val="24"/>
          <w:lang w:bidi="ar"/>
        </w:rPr>
        <w:t>6</w:t>
      </w:r>
      <w:r>
        <w:rPr>
          <w:rFonts w:ascii="Times New Roman" w:hAnsi="Times New Roman" w:eastAsia="宋体" w:cs="Times New Roman"/>
          <w:b/>
          <w:color w:val="000000"/>
          <w:spacing w:val="-6"/>
          <w:sz w:val="24"/>
          <w:szCs w:val="24"/>
          <w:lang w:bidi="ar"/>
        </w:rPr>
        <w:t>.2-16    项目固体废物处置情况统计</w:t>
      </w:r>
    </w:p>
    <w:tbl>
      <w:tblPr>
        <w:tblStyle w:val="25"/>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417"/>
        <w:gridCol w:w="1091"/>
        <w:gridCol w:w="1110"/>
        <w:gridCol w:w="1485"/>
        <w:gridCol w:w="1020"/>
        <w:gridCol w:w="1005"/>
        <w:gridCol w:w="1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439" w:type="dxa"/>
            <w:tcBorders>
              <w:tl2br w:val="nil"/>
              <w:tr2bl w:val="nil"/>
            </w:tcBorders>
            <w:vAlign w:val="center"/>
          </w:tcPr>
          <w:p>
            <w:pPr>
              <w:pStyle w:val="43"/>
            </w:pPr>
            <w:r>
              <w:t>编号</w:t>
            </w:r>
          </w:p>
        </w:tc>
        <w:tc>
          <w:tcPr>
            <w:tcW w:w="1417" w:type="dxa"/>
            <w:tcBorders>
              <w:tl2br w:val="nil"/>
              <w:tr2bl w:val="nil"/>
            </w:tcBorders>
            <w:vAlign w:val="center"/>
          </w:tcPr>
          <w:p>
            <w:pPr>
              <w:pStyle w:val="43"/>
            </w:pPr>
            <w:r>
              <w:t>固废名称</w:t>
            </w:r>
          </w:p>
        </w:tc>
        <w:tc>
          <w:tcPr>
            <w:tcW w:w="1091" w:type="dxa"/>
            <w:tcBorders>
              <w:tl2br w:val="nil"/>
              <w:tr2bl w:val="nil"/>
            </w:tcBorders>
            <w:vAlign w:val="center"/>
          </w:tcPr>
          <w:p>
            <w:pPr>
              <w:pStyle w:val="43"/>
            </w:pPr>
            <w:r>
              <w:t>来源</w:t>
            </w:r>
          </w:p>
        </w:tc>
        <w:tc>
          <w:tcPr>
            <w:tcW w:w="1110" w:type="dxa"/>
            <w:tcBorders>
              <w:tl2br w:val="nil"/>
              <w:tr2bl w:val="nil"/>
            </w:tcBorders>
            <w:vAlign w:val="center"/>
          </w:tcPr>
          <w:p>
            <w:pPr>
              <w:pStyle w:val="43"/>
            </w:pPr>
            <w:r>
              <w:t>废物类别</w:t>
            </w:r>
          </w:p>
        </w:tc>
        <w:tc>
          <w:tcPr>
            <w:tcW w:w="1485" w:type="dxa"/>
            <w:tcBorders>
              <w:tl2br w:val="nil"/>
              <w:tr2bl w:val="nil"/>
            </w:tcBorders>
            <w:vAlign w:val="center"/>
          </w:tcPr>
          <w:p>
            <w:pPr>
              <w:pStyle w:val="43"/>
            </w:pPr>
            <w:r>
              <w:t>主要成分</w:t>
            </w:r>
          </w:p>
        </w:tc>
        <w:tc>
          <w:tcPr>
            <w:tcW w:w="1020" w:type="dxa"/>
            <w:tcBorders>
              <w:tl2br w:val="nil"/>
              <w:tr2bl w:val="nil"/>
            </w:tcBorders>
            <w:vAlign w:val="center"/>
          </w:tcPr>
          <w:p>
            <w:pPr>
              <w:pStyle w:val="43"/>
            </w:pPr>
            <w:r>
              <w:t>废物代码</w:t>
            </w:r>
          </w:p>
        </w:tc>
        <w:tc>
          <w:tcPr>
            <w:tcW w:w="1005" w:type="dxa"/>
            <w:tcBorders>
              <w:tl2br w:val="nil"/>
              <w:tr2bl w:val="nil"/>
            </w:tcBorders>
            <w:vAlign w:val="center"/>
          </w:tcPr>
          <w:p>
            <w:pPr>
              <w:pStyle w:val="43"/>
            </w:pPr>
            <w:r>
              <w:t>产生量</w:t>
            </w:r>
          </w:p>
          <w:p>
            <w:pPr>
              <w:pStyle w:val="43"/>
            </w:pPr>
            <w:r>
              <w:t>（t/a）</w:t>
            </w:r>
          </w:p>
        </w:tc>
        <w:tc>
          <w:tcPr>
            <w:tcW w:w="1720" w:type="dxa"/>
            <w:tcBorders>
              <w:tl2br w:val="nil"/>
              <w:tr2bl w:val="nil"/>
            </w:tcBorders>
            <w:vAlign w:val="center"/>
          </w:tcPr>
          <w:p>
            <w:pPr>
              <w:pStyle w:val="43"/>
            </w:pPr>
            <w: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t>1</w:t>
            </w:r>
          </w:p>
        </w:tc>
        <w:tc>
          <w:tcPr>
            <w:tcW w:w="1417" w:type="dxa"/>
            <w:tcBorders>
              <w:tl2br w:val="nil"/>
              <w:tr2bl w:val="nil"/>
            </w:tcBorders>
            <w:vAlign w:val="center"/>
          </w:tcPr>
          <w:p>
            <w:pPr>
              <w:pStyle w:val="43"/>
            </w:pPr>
            <w:r>
              <w:rPr>
                <w:rFonts w:hint="eastAsia"/>
              </w:rPr>
              <w:t>生活垃圾</w:t>
            </w:r>
          </w:p>
        </w:tc>
        <w:tc>
          <w:tcPr>
            <w:tcW w:w="1091" w:type="dxa"/>
            <w:tcBorders>
              <w:tl2br w:val="nil"/>
              <w:tr2bl w:val="nil"/>
            </w:tcBorders>
            <w:vAlign w:val="center"/>
          </w:tcPr>
          <w:p>
            <w:pPr>
              <w:pStyle w:val="43"/>
            </w:pPr>
            <w:r>
              <w:rPr>
                <w:rFonts w:hint="eastAsia"/>
              </w:rPr>
              <w:t>住院、就诊人员、医务办公人员</w:t>
            </w:r>
          </w:p>
        </w:tc>
        <w:tc>
          <w:tcPr>
            <w:tcW w:w="1110" w:type="dxa"/>
            <w:tcBorders>
              <w:tl2br w:val="nil"/>
              <w:tr2bl w:val="nil"/>
            </w:tcBorders>
            <w:vAlign w:val="center"/>
          </w:tcPr>
          <w:p>
            <w:pPr>
              <w:pStyle w:val="43"/>
            </w:pPr>
            <w:r>
              <w:t>一般固废</w:t>
            </w:r>
          </w:p>
        </w:tc>
        <w:tc>
          <w:tcPr>
            <w:tcW w:w="1485" w:type="dxa"/>
            <w:tcBorders>
              <w:tl2br w:val="nil"/>
              <w:tr2bl w:val="nil"/>
            </w:tcBorders>
            <w:vAlign w:val="center"/>
          </w:tcPr>
          <w:p>
            <w:pPr>
              <w:pStyle w:val="43"/>
            </w:pPr>
            <w:r>
              <w:t>纸张、果皮等</w:t>
            </w:r>
          </w:p>
        </w:tc>
        <w:tc>
          <w:tcPr>
            <w:tcW w:w="1020" w:type="dxa"/>
            <w:tcBorders>
              <w:tl2br w:val="nil"/>
              <w:tr2bl w:val="nil"/>
            </w:tcBorders>
            <w:vAlign w:val="center"/>
          </w:tcPr>
          <w:p>
            <w:pPr>
              <w:pStyle w:val="43"/>
            </w:pPr>
            <w:r>
              <w:t>/</w:t>
            </w:r>
          </w:p>
        </w:tc>
        <w:tc>
          <w:tcPr>
            <w:tcW w:w="1005" w:type="dxa"/>
            <w:tcBorders>
              <w:tl2br w:val="nil"/>
              <w:tr2bl w:val="nil"/>
            </w:tcBorders>
            <w:vAlign w:val="center"/>
          </w:tcPr>
          <w:p>
            <w:pPr>
              <w:pStyle w:val="43"/>
            </w:pPr>
            <w:r>
              <w:t>441.65</w:t>
            </w:r>
          </w:p>
        </w:tc>
        <w:tc>
          <w:tcPr>
            <w:tcW w:w="1720" w:type="dxa"/>
            <w:tcBorders>
              <w:tl2br w:val="nil"/>
              <w:tr2bl w:val="nil"/>
            </w:tcBorders>
            <w:vAlign w:val="center"/>
          </w:tcPr>
          <w:p>
            <w:pPr>
              <w:pStyle w:val="43"/>
            </w:pPr>
            <w:r>
              <w:t>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2</w:t>
            </w:r>
          </w:p>
        </w:tc>
        <w:tc>
          <w:tcPr>
            <w:tcW w:w="1417" w:type="dxa"/>
            <w:tcBorders>
              <w:tl2br w:val="nil"/>
              <w:tr2bl w:val="nil"/>
            </w:tcBorders>
            <w:vAlign w:val="center"/>
          </w:tcPr>
          <w:p>
            <w:pPr>
              <w:pStyle w:val="43"/>
            </w:pPr>
            <w:r>
              <w:rPr>
                <w:rFonts w:hint="eastAsia"/>
              </w:rPr>
              <w:t>餐厨</w:t>
            </w:r>
            <w:r>
              <w:t>垃圾</w:t>
            </w:r>
          </w:p>
        </w:tc>
        <w:tc>
          <w:tcPr>
            <w:tcW w:w="1091" w:type="dxa"/>
            <w:vMerge w:val="restart"/>
            <w:tcBorders>
              <w:tl2br w:val="nil"/>
              <w:tr2bl w:val="nil"/>
            </w:tcBorders>
            <w:vAlign w:val="center"/>
          </w:tcPr>
          <w:p>
            <w:pPr>
              <w:pStyle w:val="43"/>
            </w:pPr>
            <w:r>
              <w:rPr>
                <w:rFonts w:hint="eastAsia"/>
              </w:rPr>
              <w:t>就诊人员、医务办公人员就餐</w:t>
            </w:r>
          </w:p>
        </w:tc>
        <w:tc>
          <w:tcPr>
            <w:tcW w:w="1110" w:type="dxa"/>
            <w:tcBorders>
              <w:tl2br w:val="nil"/>
              <w:tr2bl w:val="nil"/>
            </w:tcBorders>
            <w:vAlign w:val="center"/>
          </w:tcPr>
          <w:p>
            <w:pPr>
              <w:pStyle w:val="43"/>
            </w:pPr>
            <w:r>
              <w:rPr>
                <w:rFonts w:hint="eastAsia"/>
              </w:rPr>
              <w:t>一般</w:t>
            </w:r>
            <w:r>
              <w:t>固废</w:t>
            </w:r>
          </w:p>
        </w:tc>
        <w:tc>
          <w:tcPr>
            <w:tcW w:w="1485" w:type="dxa"/>
            <w:tcBorders>
              <w:tl2br w:val="nil"/>
              <w:tr2bl w:val="nil"/>
            </w:tcBorders>
            <w:vAlign w:val="center"/>
          </w:tcPr>
          <w:p>
            <w:pPr>
              <w:pStyle w:val="43"/>
            </w:pPr>
            <w:r>
              <w:rPr>
                <w:rFonts w:hint="eastAsia"/>
              </w:rPr>
              <w:t>食物残渣</w:t>
            </w:r>
            <w:r>
              <w:t>、输惨、动植物油、肉骨等</w:t>
            </w:r>
          </w:p>
        </w:tc>
        <w:tc>
          <w:tcPr>
            <w:tcW w:w="1020" w:type="dxa"/>
            <w:tcBorders>
              <w:tl2br w:val="nil"/>
              <w:tr2bl w:val="nil"/>
            </w:tcBorders>
            <w:vAlign w:val="center"/>
          </w:tcPr>
          <w:p>
            <w:pPr>
              <w:pStyle w:val="43"/>
            </w:pPr>
            <w:r>
              <w:rPr>
                <w:rFonts w:hint="eastAsia"/>
              </w:rPr>
              <w:t>/</w:t>
            </w:r>
          </w:p>
        </w:tc>
        <w:tc>
          <w:tcPr>
            <w:tcW w:w="1005" w:type="dxa"/>
            <w:tcBorders>
              <w:tl2br w:val="nil"/>
              <w:tr2bl w:val="nil"/>
            </w:tcBorders>
            <w:vAlign w:val="center"/>
          </w:tcPr>
          <w:p>
            <w:pPr>
              <w:pStyle w:val="43"/>
            </w:pPr>
            <w:r>
              <w:t>90.23</w:t>
            </w:r>
          </w:p>
        </w:tc>
        <w:tc>
          <w:tcPr>
            <w:tcW w:w="1720" w:type="dxa"/>
            <w:vMerge w:val="restart"/>
            <w:tcBorders>
              <w:tl2br w:val="nil"/>
              <w:tr2bl w:val="nil"/>
            </w:tcBorders>
            <w:vAlign w:val="center"/>
          </w:tcPr>
          <w:p>
            <w:pPr>
              <w:pStyle w:val="43"/>
            </w:pPr>
            <w:r>
              <w:t>经专用容器收集后，定期交由回收单位处置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3</w:t>
            </w:r>
          </w:p>
        </w:tc>
        <w:tc>
          <w:tcPr>
            <w:tcW w:w="1417" w:type="dxa"/>
            <w:tcBorders>
              <w:tl2br w:val="nil"/>
              <w:tr2bl w:val="nil"/>
            </w:tcBorders>
            <w:vAlign w:val="center"/>
          </w:tcPr>
          <w:p>
            <w:pPr>
              <w:pStyle w:val="43"/>
            </w:pPr>
            <w:r>
              <w:rPr>
                <w:rFonts w:hint="eastAsia"/>
              </w:rPr>
              <w:t>废油脂</w:t>
            </w:r>
          </w:p>
        </w:tc>
        <w:tc>
          <w:tcPr>
            <w:tcW w:w="1091" w:type="dxa"/>
            <w:vMerge w:val="continue"/>
            <w:tcBorders>
              <w:tl2br w:val="nil"/>
              <w:tr2bl w:val="nil"/>
            </w:tcBorders>
            <w:vAlign w:val="center"/>
          </w:tcPr>
          <w:p>
            <w:pPr>
              <w:pStyle w:val="43"/>
            </w:pPr>
          </w:p>
        </w:tc>
        <w:tc>
          <w:tcPr>
            <w:tcW w:w="1110" w:type="dxa"/>
            <w:tcBorders>
              <w:tl2br w:val="nil"/>
              <w:tr2bl w:val="nil"/>
            </w:tcBorders>
            <w:vAlign w:val="center"/>
          </w:tcPr>
          <w:p>
            <w:pPr>
              <w:pStyle w:val="43"/>
            </w:pPr>
            <w:r>
              <w:t>一般固废</w:t>
            </w:r>
          </w:p>
        </w:tc>
        <w:tc>
          <w:tcPr>
            <w:tcW w:w="1485" w:type="dxa"/>
            <w:tcBorders>
              <w:tl2br w:val="nil"/>
              <w:tr2bl w:val="nil"/>
            </w:tcBorders>
            <w:vAlign w:val="center"/>
          </w:tcPr>
          <w:p>
            <w:pPr>
              <w:pStyle w:val="43"/>
            </w:pPr>
            <w:r>
              <w:rPr>
                <w:rFonts w:hint="eastAsia"/>
              </w:rPr>
              <w:t>油脂</w:t>
            </w:r>
          </w:p>
        </w:tc>
        <w:tc>
          <w:tcPr>
            <w:tcW w:w="1020" w:type="dxa"/>
            <w:tcBorders>
              <w:tl2br w:val="nil"/>
              <w:tr2bl w:val="nil"/>
            </w:tcBorders>
            <w:vAlign w:val="center"/>
          </w:tcPr>
          <w:p>
            <w:pPr>
              <w:pStyle w:val="43"/>
            </w:pPr>
            <w:r>
              <w:rPr>
                <w:rFonts w:hint="eastAsia"/>
              </w:rPr>
              <w:t>/</w:t>
            </w:r>
          </w:p>
        </w:tc>
        <w:tc>
          <w:tcPr>
            <w:tcW w:w="1005" w:type="dxa"/>
            <w:tcBorders>
              <w:tl2br w:val="nil"/>
              <w:tr2bl w:val="nil"/>
            </w:tcBorders>
            <w:vAlign w:val="center"/>
          </w:tcPr>
          <w:p>
            <w:pPr>
              <w:pStyle w:val="43"/>
            </w:pPr>
            <w:r>
              <w:t>0.71</w:t>
            </w:r>
          </w:p>
        </w:tc>
        <w:tc>
          <w:tcPr>
            <w:tcW w:w="1720" w:type="dxa"/>
            <w:vMerge w:val="continue"/>
            <w:tcBorders>
              <w:tl2br w:val="nil"/>
              <w:tr2bl w:val="nil"/>
            </w:tcBorders>
            <w:vAlign w:val="center"/>
          </w:tcPr>
          <w:p>
            <w:pPr>
              <w:pStyle w:val="43"/>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4</w:t>
            </w:r>
          </w:p>
        </w:tc>
        <w:tc>
          <w:tcPr>
            <w:tcW w:w="1417" w:type="dxa"/>
            <w:tcBorders>
              <w:tl2br w:val="nil"/>
              <w:tr2bl w:val="nil"/>
            </w:tcBorders>
            <w:vAlign w:val="center"/>
          </w:tcPr>
          <w:p>
            <w:pPr>
              <w:pStyle w:val="43"/>
            </w:pPr>
            <w:r>
              <w:rPr>
                <w:rFonts w:hint="eastAsia"/>
              </w:rPr>
              <w:t>医疗废物</w:t>
            </w:r>
          </w:p>
        </w:tc>
        <w:tc>
          <w:tcPr>
            <w:tcW w:w="1091" w:type="dxa"/>
            <w:tcBorders>
              <w:tl2br w:val="nil"/>
              <w:tr2bl w:val="nil"/>
            </w:tcBorders>
            <w:vAlign w:val="center"/>
          </w:tcPr>
          <w:p>
            <w:pPr>
              <w:pStyle w:val="43"/>
            </w:pPr>
            <w:r>
              <w:rPr>
                <w:rFonts w:hint="eastAsia"/>
              </w:rPr>
              <w:t>住院、就诊</w:t>
            </w:r>
          </w:p>
        </w:tc>
        <w:tc>
          <w:tcPr>
            <w:tcW w:w="1110" w:type="dxa"/>
            <w:tcBorders>
              <w:tl2br w:val="nil"/>
              <w:tr2bl w:val="nil"/>
            </w:tcBorders>
            <w:vAlign w:val="center"/>
          </w:tcPr>
          <w:p>
            <w:pPr>
              <w:pStyle w:val="43"/>
            </w:pPr>
            <w:r>
              <w:t>危险废物</w:t>
            </w:r>
          </w:p>
        </w:tc>
        <w:tc>
          <w:tcPr>
            <w:tcW w:w="1485" w:type="dxa"/>
            <w:tcBorders>
              <w:tl2br w:val="nil"/>
              <w:tr2bl w:val="nil"/>
            </w:tcBorders>
            <w:vAlign w:val="center"/>
          </w:tcPr>
          <w:p>
            <w:pPr>
              <w:pStyle w:val="43"/>
            </w:pPr>
            <w:r>
              <w:rPr>
                <w:rFonts w:hint="eastAsia"/>
              </w:rPr>
              <w:t>废弃医疗用品、医疗器械、废药品等</w:t>
            </w:r>
          </w:p>
        </w:tc>
        <w:tc>
          <w:tcPr>
            <w:tcW w:w="1020" w:type="dxa"/>
            <w:tcBorders>
              <w:tl2br w:val="nil"/>
              <w:tr2bl w:val="nil"/>
            </w:tcBorders>
            <w:vAlign w:val="center"/>
          </w:tcPr>
          <w:p>
            <w:pPr>
              <w:pStyle w:val="43"/>
            </w:pPr>
            <w:r>
              <w:rPr>
                <w:rFonts w:hint="eastAsia"/>
              </w:rPr>
              <w:t>HW01</w:t>
            </w:r>
          </w:p>
        </w:tc>
        <w:tc>
          <w:tcPr>
            <w:tcW w:w="1005" w:type="dxa"/>
            <w:tcBorders>
              <w:tl2br w:val="nil"/>
              <w:tr2bl w:val="nil"/>
            </w:tcBorders>
            <w:vAlign w:val="center"/>
          </w:tcPr>
          <w:p>
            <w:pPr>
              <w:pStyle w:val="43"/>
            </w:pPr>
            <w:r>
              <w:t>118.63</w:t>
            </w:r>
          </w:p>
        </w:tc>
        <w:tc>
          <w:tcPr>
            <w:tcW w:w="1720" w:type="dxa"/>
            <w:tcBorders>
              <w:tl2br w:val="nil"/>
              <w:tr2bl w:val="nil"/>
            </w:tcBorders>
            <w:vAlign w:val="center"/>
          </w:tcPr>
          <w:p>
            <w:pPr>
              <w:pStyle w:val="43"/>
            </w:pPr>
            <w:r>
              <w:t>交由安康市医疗废物处置中心处理</w:t>
            </w:r>
            <w:r>
              <w:rPr>
                <w:rFonts w:hint="eastAsia"/>
              </w:rPr>
              <w:t>或处置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5</w:t>
            </w:r>
          </w:p>
        </w:tc>
        <w:tc>
          <w:tcPr>
            <w:tcW w:w="1417" w:type="dxa"/>
            <w:tcBorders>
              <w:tl2br w:val="nil"/>
              <w:tr2bl w:val="nil"/>
            </w:tcBorders>
            <w:vAlign w:val="center"/>
          </w:tcPr>
          <w:p>
            <w:pPr>
              <w:pStyle w:val="43"/>
            </w:pPr>
            <w:r>
              <w:rPr>
                <w:rFonts w:hint="eastAsia"/>
              </w:rPr>
              <w:t>污泥</w:t>
            </w:r>
          </w:p>
        </w:tc>
        <w:tc>
          <w:tcPr>
            <w:tcW w:w="1091" w:type="dxa"/>
            <w:tcBorders>
              <w:tl2br w:val="nil"/>
              <w:tr2bl w:val="nil"/>
            </w:tcBorders>
            <w:vAlign w:val="center"/>
          </w:tcPr>
          <w:p>
            <w:pPr>
              <w:pStyle w:val="43"/>
            </w:pPr>
            <w:r>
              <w:rPr>
                <w:rFonts w:hint="eastAsia"/>
              </w:rPr>
              <w:t>污水处理</w:t>
            </w:r>
          </w:p>
        </w:tc>
        <w:tc>
          <w:tcPr>
            <w:tcW w:w="1110" w:type="dxa"/>
            <w:tcBorders>
              <w:tl2br w:val="nil"/>
              <w:tr2bl w:val="nil"/>
            </w:tcBorders>
            <w:vAlign w:val="center"/>
          </w:tcPr>
          <w:p>
            <w:pPr>
              <w:pStyle w:val="43"/>
            </w:pPr>
            <w:r>
              <w:t>危险废物</w:t>
            </w:r>
          </w:p>
        </w:tc>
        <w:tc>
          <w:tcPr>
            <w:tcW w:w="1485" w:type="dxa"/>
            <w:tcBorders>
              <w:tl2br w:val="nil"/>
              <w:tr2bl w:val="nil"/>
            </w:tcBorders>
            <w:vAlign w:val="center"/>
          </w:tcPr>
          <w:p>
            <w:pPr>
              <w:pStyle w:val="43"/>
            </w:pPr>
            <w:r>
              <w:rPr>
                <w:rFonts w:hint="eastAsia"/>
              </w:rPr>
              <w:t>泥沙、沉渣等</w:t>
            </w:r>
          </w:p>
        </w:tc>
        <w:tc>
          <w:tcPr>
            <w:tcW w:w="1020" w:type="dxa"/>
            <w:tcBorders>
              <w:tl2br w:val="nil"/>
              <w:tr2bl w:val="nil"/>
            </w:tcBorders>
            <w:vAlign w:val="center"/>
          </w:tcPr>
          <w:p>
            <w:pPr>
              <w:pStyle w:val="43"/>
            </w:pPr>
            <w:r>
              <w:rPr>
                <w:rFonts w:hint="eastAsia"/>
              </w:rPr>
              <w:t>HW01</w:t>
            </w:r>
          </w:p>
        </w:tc>
        <w:tc>
          <w:tcPr>
            <w:tcW w:w="1005" w:type="dxa"/>
            <w:tcBorders>
              <w:tl2br w:val="nil"/>
              <w:tr2bl w:val="nil"/>
            </w:tcBorders>
            <w:vAlign w:val="center"/>
          </w:tcPr>
          <w:p>
            <w:pPr>
              <w:pStyle w:val="43"/>
            </w:pPr>
            <w:r>
              <w:t>47.27</w:t>
            </w:r>
          </w:p>
        </w:tc>
        <w:tc>
          <w:tcPr>
            <w:tcW w:w="1720" w:type="dxa"/>
            <w:tcBorders>
              <w:tl2br w:val="nil"/>
              <w:tr2bl w:val="nil"/>
            </w:tcBorders>
            <w:vAlign w:val="center"/>
          </w:tcPr>
          <w:p>
            <w:pPr>
              <w:pStyle w:val="43"/>
            </w:pPr>
            <w:r>
              <w:rPr>
                <w:rFonts w:hint="eastAsia"/>
              </w:rPr>
              <w:t>消毒后</w:t>
            </w:r>
            <w:r>
              <w:t>交由资质单位处置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6</w:t>
            </w:r>
          </w:p>
        </w:tc>
        <w:tc>
          <w:tcPr>
            <w:tcW w:w="1417" w:type="dxa"/>
            <w:tcBorders>
              <w:tl2br w:val="nil"/>
              <w:tr2bl w:val="nil"/>
            </w:tcBorders>
            <w:vAlign w:val="center"/>
          </w:tcPr>
          <w:p>
            <w:pPr>
              <w:pStyle w:val="43"/>
            </w:pPr>
            <w:r>
              <w:rPr>
                <w:rFonts w:hint="eastAsia"/>
              </w:rPr>
              <w:t>废包装</w:t>
            </w:r>
          </w:p>
        </w:tc>
        <w:tc>
          <w:tcPr>
            <w:tcW w:w="1091" w:type="dxa"/>
            <w:tcBorders>
              <w:tl2br w:val="nil"/>
              <w:tr2bl w:val="nil"/>
            </w:tcBorders>
            <w:vAlign w:val="center"/>
          </w:tcPr>
          <w:p>
            <w:pPr>
              <w:pStyle w:val="43"/>
            </w:pPr>
            <w:r>
              <w:rPr>
                <w:rFonts w:hint="eastAsia"/>
              </w:rPr>
              <w:t>医护</w:t>
            </w:r>
            <w:r>
              <w:t>工作</w:t>
            </w:r>
          </w:p>
        </w:tc>
        <w:tc>
          <w:tcPr>
            <w:tcW w:w="1110" w:type="dxa"/>
            <w:tcBorders>
              <w:tl2br w:val="nil"/>
              <w:tr2bl w:val="nil"/>
            </w:tcBorders>
            <w:vAlign w:val="center"/>
          </w:tcPr>
          <w:p>
            <w:pPr>
              <w:pStyle w:val="43"/>
            </w:pPr>
            <w:r>
              <w:rPr>
                <w:rFonts w:hint="eastAsia"/>
              </w:rPr>
              <w:t>一般</w:t>
            </w:r>
            <w:r>
              <w:t>固废</w:t>
            </w:r>
          </w:p>
        </w:tc>
        <w:tc>
          <w:tcPr>
            <w:tcW w:w="1485" w:type="dxa"/>
            <w:tcBorders>
              <w:tl2br w:val="nil"/>
              <w:tr2bl w:val="nil"/>
            </w:tcBorders>
            <w:vAlign w:val="center"/>
          </w:tcPr>
          <w:p>
            <w:pPr>
              <w:pStyle w:val="43"/>
            </w:pPr>
            <w:r>
              <w:rPr>
                <w:rFonts w:hint="eastAsia"/>
              </w:rPr>
              <w:t>废纸箱</w:t>
            </w:r>
            <w:r>
              <w:t>等</w:t>
            </w:r>
          </w:p>
        </w:tc>
        <w:tc>
          <w:tcPr>
            <w:tcW w:w="1020" w:type="dxa"/>
            <w:tcBorders>
              <w:tl2br w:val="nil"/>
              <w:tr2bl w:val="nil"/>
            </w:tcBorders>
            <w:vAlign w:val="center"/>
          </w:tcPr>
          <w:p>
            <w:pPr>
              <w:pStyle w:val="43"/>
            </w:pPr>
            <w:r>
              <w:rPr>
                <w:rFonts w:hint="eastAsia"/>
              </w:rPr>
              <w:t>/</w:t>
            </w:r>
          </w:p>
        </w:tc>
        <w:tc>
          <w:tcPr>
            <w:tcW w:w="1005" w:type="dxa"/>
            <w:tcBorders>
              <w:tl2br w:val="nil"/>
              <w:tr2bl w:val="nil"/>
            </w:tcBorders>
            <w:vAlign w:val="center"/>
          </w:tcPr>
          <w:p>
            <w:pPr>
              <w:pStyle w:val="43"/>
            </w:pPr>
            <w:r>
              <w:rPr>
                <w:rFonts w:hint="eastAsia"/>
              </w:rPr>
              <w:t>7.3</w:t>
            </w:r>
          </w:p>
        </w:tc>
        <w:tc>
          <w:tcPr>
            <w:tcW w:w="1720" w:type="dxa"/>
            <w:tcBorders>
              <w:tl2br w:val="nil"/>
              <w:tr2bl w:val="nil"/>
            </w:tcBorders>
            <w:vAlign w:val="center"/>
          </w:tcPr>
          <w:p>
            <w:pPr>
              <w:pStyle w:val="43"/>
            </w:pPr>
            <w:r>
              <w:rPr>
                <w:rFonts w:hint="eastAsia"/>
              </w:rPr>
              <w:t>外售</w:t>
            </w:r>
            <w:r>
              <w:t>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7</w:t>
            </w:r>
          </w:p>
        </w:tc>
        <w:tc>
          <w:tcPr>
            <w:tcW w:w="1417" w:type="dxa"/>
            <w:tcBorders>
              <w:tl2br w:val="nil"/>
              <w:tr2bl w:val="nil"/>
            </w:tcBorders>
            <w:vAlign w:val="center"/>
          </w:tcPr>
          <w:p>
            <w:pPr>
              <w:pStyle w:val="43"/>
            </w:pPr>
            <w:r>
              <w:rPr>
                <w:rFonts w:hint="eastAsia"/>
              </w:rPr>
              <w:t>中药</w:t>
            </w:r>
            <w:r>
              <w:t>渣</w:t>
            </w:r>
          </w:p>
        </w:tc>
        <w:tc>
          <w:tcPr>
            <w:tcW w:w="1091" w:type="dxa"/>
            <w:tcBorders>
              <w:tl2br w:val="nil"/>
              <w:tr2bl w:val="nil"/>
            </w:tcBorders>
            <w:vAlign w:val="center"/>
          </w:tcPr>
          <w:p>
            <w:pPr>
              <w:pStyle w:val="43"/>
            </w:pPr>
            <w:r>
              <w:rPr>
                <w:rFonts w:hint="eastAsia"/>
              </w:rPr>
              <w:t>煎药</w:t>
            </w:r>
          </w:p>
        </w:tc>
        <w:tc>
          <w:tcPr>
            <w:tcW w:w="1110" w:type="dxa"/>
            <w:tcBorders>
              <w:tl2br w:val="nil"/>
              <w:tr2bl w:val="nil"/>
            </w:tcBorders>
            <w:vAlign w:val="center"/>
          </w:tcPr>
          <w:p>
            <w:pPr>
              <w:pStyle w:val="43"/>
            </w:pPr>
            <w:r>
              <w:rPr>
                <w:rFonts w:hint="eastAsia"/>
              </w:rPr>
              <w:t>一般</w:t>
            </w:r>
            <w:r>
              <w:t>固废</w:t>
            </w:r>
          </w:p>
        </w:tc>
        <w:tc>
          <w:tcPr>
            <w:tcW w:w="1485" w:type="dxa"/>
            <w:tcBorders>
              <w:tl2br w:val="nil"/>
              <w:tr2bl w:val="nil"/>
            </w:tcBorders>
            <w:vAlign w:val="center"/>
          </w:tcPr>
          <w:p>
            <w:pPr>
              <w:pStyle w:val="43"/>
            </w:pPr>
            <w:r>
              <w:rPr>
                <w:rFonts w:hint="eastAsia"/>
              </w:rPr>
              <w:t>植物</w:t>
            </w:r>
            <w:r>
              <w:t>根茎叶</w:t>
            </w:r>
          </w:p>
        </w:tc>
        <w:tc>
          <w:tcPr>
            <w:tcW w:w="1020" w:type="dxa"/>
            <w:tcBorders>
              <w:tl2br w:val="nil"/>
              <w:tr2bl w:val="nil"/>
            </w:tcBorders>
            <w:vAlign w:val="center"/>
          </w:tcPr>
          <w:p>
            <w:pPr>
              <w:pStyle w:val="43"/>
            </w:pPr>
            <w:r>
              <w:rPr>
                <w:rFonts w:hint="eastAsia"/>
              </w:rPr>
              <w:t>/</w:t>
            </w:r>
          </w:p>
        </w:tc>
        <w:tc>
          <w:tcPr>
            <w:tcW w:w="1005" w:type="dxa"/>
            <w:tcBorders>
              <w:tl2br w:val="nil"/>
              <w:tr2bl w:val="nil"/>
            </w:tcBorders>
            <w:vAlign w:val="center"/>
          </w:tcPr>
          <w:p>
            <w:pPr>
              <w:pStyle w:val="43"/>
            </w:pPr>
            <w:r>
              <w:rPr>
                <w:rFonts w:hint="eastAsia"/>
              </w:rPr>
              <w:t>1.83</w:t>
            </w:r>
          </w:p>
        </w:tc>
        <w:tc>
          <w:tcPr>
            <w:tcW w:w="1720" w:type="dxa"/>
            <w:tcBorders>
              <w:tl2br w:val="nil"/>
              <w:tr2bl w:val="nil"/>
            </w:tcBorders>
            <w:vAlign w:val="center"/>
          </w:tcPr>
          <w:p>
            <w:pPr>
              <w:pStyle w:val="43"/>
            </w:pPr>
            <w:r>
              <w:rPr>
                <w:rFonts w:hint="eastAsia"/>
              </w:rPr>
              <w:t>环卫</w:t>
            </w:r>
            <w:r>
              <w:t>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9" w:type="dxa"/>
            <w:tcBorders>
              <w:tl2br w:val="nil"/>
              <w:tr2bl w:val="nil"/>
            </w:tcBorders>
            <w:vAlign w:val="center"/>
          </w:tcPr>
          <w:p>
            <w:pPr>
              <w:pStyle w:val="43"/>
            </w:pPr>
            <w:r>
              <w:rPr>
                <w:rFonts w:hint="eastAsia"/>
              </w:rPr>
              <w:t>8</w:t>
            </w:r>
          </w:p>
        </w:tc>
        <w:tc>
          <w:tcPr>
            <w:tcW w:w="1417" w:type="dxa"/>
            <w:tcBorders>
              <w:tl2br w:val="nil"/>
              <w:tr2bl w:val="nil"/>
            </w:tcBorders>
            <w:vAlign w:val="center"/>
          </w:tcPr>
          <w:p>
            <w:pPr>
              <w:pStyle w:val="43"/>
            </w:pPr>
            <w:r>
              <w:rPr>
                <w:rFonts w:hint="eastAsia"/>
              </w:rPr>
              <w:t>废</w:t>
            </w:r>
            <w:r>
              <w:t>离子交换树脂</w:t>
            </w:r>
          </w:p>
        </w:tc>
        <w:tc>
          <w:tcPr>
            <w:tcW w:w="1091" w:type="dxa"/>
            <w:tcBorders>
              <w:tl2br w:val="nil"/>
              <w:tr2bl w:val="nil"/>
            </w:tcBorders>
            <w:vAlign w:val="center"/>
          </w:tcPr>
          <w:p>
            <w:pPr>
              <w:pStyle w:val="43"/>
            </w:pPr>
            <w:r>
              <w:rPr>
                <w:rFonts w:hint="eastAsia"/>
              </w:rPr>
              <w:t>锅炉</w:t>
            </w:r>
            <w:r>
              <w:t>软</w:t>
            </w:r>
            <w:r>
              <w:rPr>
                <w:rFonts w:hint="eastAsia"/>
              </w:rPr>
              <w:t>水制备</w:t>
            </w:r>
          </w:p>
        </w:tc>
        <w:tc>
          <w:tcPr>
            <w:tcW w:w="1110" w:type="dxa"/>
            <w:tcBorders>
              <w:tl2br w:val="nil"/>
              <w:tr2bl w:val="nil"/>
            </w:tcBorders>
            <w:vAlign w:val="center"/>
          </w:tcPr>
          <w:p>
            <w:pPr>
              <w:pStyle w:val="43"/>
            </w:pPr>
            <w:r>
              <w:rPr>
                <w:rFonts w:hint="eastAsia"/>
              </w:rPr>
              <w:t>一般</w:t>
            </w:r>
            <w:r>
              <w:t>固废</w:t>
            </w:r>
          </w:p>
        </w:tc>
        <w:tc>
          <w:tcPr>
            <w:tcW w:w="1485" w:type="dxa"/>
            <w:tcBorders>
              <w:tl2br w:val="nil"/>
              <w:tr2bl w:val="nil"/>
            </w:tcBorders>
            <w:vAlign w:val="center"/>
          </w:tcPr>
          <w:p>
            <w:pPr>
              <w:pStyle w:val="43"/>
            </w:pPr>
            <w:r>
              <w:rPr>
                <w:rFonts w:hint="eastAsia"/>
              </w:rPr>
              <w:t>离子交换树脂</w:t>
            </w:r>
          </w:p>
        </w:tc>
        <w:tc>
          <w:tcPr>
            <w:tcW w:w="1020" w:type="dxa"/>
            <w:tcBorders>
              <w:tl2br w:val="nil"/>
              <w:tr2bl w:val="nil"/>
            </w:tcBorders>
            <w:vAlign w:val="center"/>
          </w:tcPr>
          <w:p>
            <w:pPr>
              <w:pStyle w:val="43"/>
            </w:pPr>
            <w:r>
              <w:rPr>
                <w:rFonts w:hint="eastAsia"/>
              </w:rPr>
              <w:t>/</w:t>
            </w:r>
          </w:p>
        </w:tc>
        <w:tc>
          <w:tcPr>
            <w:tcW w:w="1005" w:type="dxa"/>
            <w:tcBorders>
              <w:tl2br w:val="nil"/>
              <w:tr2bl w:val="nil"/>
            </w:tcBorders>
            <w:vAlign w:val="center"/>
          </w:tcPr>
          <w:p>
            <w:pPr>
              <w:pStyle w:val="43"/>
            </w:pPr>
            <w:r>
              <w:rPr>
                <w:rFonts w:hint="eastAsia"/>
              </w:rPr>
              <w:t>0.1</w:t>
            </w:r>
          </w:p>
        </w:tc>
        <w:tc>
          <w:tcPr>
            <w:tcW w:w="1720" w:type="dxa"/>
            <w:tcBorders>
              <w:tl2br w:val="nil"/>
              <w:tr2bl w:val="nil"/>
            </w:tcBorders>
            <w:vAlign w:val="center"/>
          </w:tcPr>
          <w:p>
            <w:pPr>
              <w:pStyle w:val="43"/>
            </w:pPr>
            <w:r>
              <w:rPr>
                <w:rFonts w:hint="eastAsia"/>
              </w:rPr>
              <w:t>厂家</w:t>
            </w:r>
            <w:r>
              <w:t>定期更换回收</w:t>
            </w:r>
          </w:p>
        </w:tc>
      </w:tr>
    </w:tbl>
    <w:p>
      <w:pPr>
        <w:pStyle w:val="5"/>
      </w:pPr>
      <w:r>
        <w:rPr>
          <w:rFonts w:hint="eastAsia"/>
        </w:rPr>
        <w:t>危险</w:t>
      </w:r>
      <w:r>
        <w:t>废物</w:t>
      </w:r>
    </w:p>
    <w:p>
      <w:pPr>
        <w:pStyle w:val="40"/>
        <w:ind w:firstLine="480"/>
      </w:pPr>
      <w:r>
        <w:rPr>
          <w:rFonts w:hint="eastAsia"/>
        </w:rPr>
        <w:t xml:space="preserve">项目产生的医疗废物和污水处理站污泥均属于危险废物。 </w:t>
      </w:r>
    </w:p>
    <w:p>
      <w:pPr>
        <w:pStyle w:val="40"/>
        <w:ind w:firstLine="480"/>
      </w:pPr>
      <w:r>
        <w:rPr>
          <w:rFonts w:hint="eastAsia"/>
        </w:rPr>
        <w:t>医疗废物由每层各科室分类收集本单元产生的医疗废物后，并按照类别分置于防渗漏、防锐器穿透的专用包装物或者密闭的容器内。分类收集暂存在医疗废物暂存间，交由安康市医疗废物处置中心处理或处置。</w:t>
      </w:r>
    </w:p>
    <w:p>
      <w:pPr>
        <w:pStyle w:val="40"/>
        <w:ind w:firstLine="480"/>
      </w:pPr>
      <w:r>
        <w:rPr>
          <w:rFonts w:hint="eastAsia"/>
        </w:rPr>
        <w:t>医院污水处理站产生的污泥消毒脱水后密闭封装，暂存在危废暂存间，定期交由有资质</w:t>
      </w:r>
      <w:r>
        <w:t>单位处置</w:t>
      </w:r>
      <w:r>
        <w:rPr>
          <w:rFonts w:hint="eastAsia"/>
        </w:rPr>
        <w:t>。</w:t>
      </w:r>
    </w:p>
    <w:p>
      <w:pPr>
        <w:pStyle w:val="40"/>
        <w:ind w:firstLine="480"/>
      </w:pPr>
      <w:r>
        <w:rPr>
          <w:rFonts w:hint="eastAsia"/>
        </w:rPr>
        <w:t>根据企业提供的资料，项目</w:t>
      </w:r>
      <w:r>
        <w:t>医疗废物暂存间位</w:t>
      </w:r>
      <w:r>
        <w:rPr>
          <w:rFonts w:hint="eastAsia"/>
        </w:rPr>
        <w:t>地下一层，面积约</w:t>
      </w:r>
      <w:r>
        <w:t>40.66</w:t>
      </w:r>
      <w:r>
        <w:rPr>
          <w:rFonts w:hint="eastAsia"/>
        </w:rPr>
        <w:t>m</w:t>
      </w:r>
      <w:r>
        <w:rPr>
          <w:rFonts w:hint="eastAsia"/>
          <w:vertAlign w:val="superscript"/>
        </w:rPr>
        <w:t>2</w:t>
      </w:r>
      <w:r>
        <w:rPr>
          <w:rFonts w:hint="eastAsia"/>
        </w:rPr>
        <w:t>，环评</w:t>
      </w:r>
      <w:r>
        <w:t>要求医疗废物暂存间</w:t>
      </w:r>
      <w:r>
        <w:rPr>
          <w:rFonts w:hint="eastAsia"/>
        </w:rPr>
        <w:t>按照《危险废物贮存污染控制标准》（GB18597-2001）及《医疗废物集中处置技术规范》要求进行防渗处理，门口张贴贴有标准规范的危险废物标识，危险废物分类存放，墙上贴有危废名称。同时，医院应按照《危险废物转移联单管理办法》及有关规定的要求，建立有危废台账和危废转移联单。</w:t>
      </w:r>
    </w:p>
    <w:p>
      <w:pPr>
        <w:pStyle w:val="40"/>
        <w:ind w:firstLine="480"/>
        <w:rPr>
          <w:highlight w:val="yellow"/>
        </w:rPr>
      </w:pPr>
      <w:r>
        <w:rPr>
          <w:rFonts w:hint="eastAsia"/>
        </w:rPr>
        <w:t>综上，项目产生的危险废物从暂存、转移、处理和处置均满足相关要求，不会对周边环境产生较大的影响。</w:t>
      </w:r>
    </w:p>
    <w:p>
      <w:pPr>
        <w:pStyle w:val="5"/>
      </w:pPr>
      <w:r>
        <w:rPr>
          <w:rFonts w:hint="eastAsia"/>
        </w:rPr>
        <w:t>一般</w:t>
      </w:r>
      <w:r>
        <w:t>固废</w:t>
      </w:r>
    </w:p>
    <w:p>
      <w:pPr>
        <w:pStyle w:val="40"/>
        <w:ind w:firstLine="480"/>
      </w:pPr>
      <w:r>
        <w:rPr>
          <w:rFonts w:hint="eastAsia"/>
        </w:rPr>
        <w:t>项目生活垃圾产生量约为</w:t>
      </w:r>
      <w:r>
        <w:t>441.65</w:t>
      </w:r>
      <w:r>
        <w:rPr>
          <w:rFonts w:hint="eastAsia"/>
        </w:rPr>
        <w:t>t/a，生活垃圾主要由易腐有机物、纸类等构成，这类垃圾成份复杂，其构成受时间和季节影响变化大。生活垃圾中有机成分较高，具有热值高、腐烂分解快特点，若露天堆放，不仅臭气熏天、孳生蚊蝇、传播病原微生物，而且会释放出氨及一些有机挥发性气体，如不妥善处理，对周围环境影响较大。医院设有垃圾箱和垃圾暂存点，生活垃圾集中收集后，定期由环卫部门清运，基本做到日产日清。</w:t>
      </w:r>
    </w:p>
    <w:p>
      <w:pPr>
        <w:pStyle w:val="40"/>
        <w:ind w:firstLine="480"/>
      </w:pPr>
      <w:r>
        <w:rPr>
          <w:rFonts w:hint="eastAsia"/>
        </w:rPr>
        <w:t>项目食堂餐厨</w:t>
      </w:r>
      <w:r>
        <w:t>垃圾产生量约为</w:t>
      </w:r>
      <w:r>
        <w:rPr>
          <w:rFonts w:hint="eastAsia"/>
        </w:rPr>
        <w:t>225.57</w:t>
      </w:r>
      <w:r>
        <w:t>t/a，</w:t>
      </w:r>
      <w:r>
        <w:rPr>
          <w:rFonts w:hint="eastAsia"/>
        </w:rPr>
        <w:t>废油脂产生量约为</w:t>
      </w:r>
      <w:r>
        <w:t>0.71</w:t>
      </w:r>
      <w:r>
        <w:rPr>
          <w:rFonts w:hint="eastAsia"/>
        </w:rPr>
        <w:t>t/a，经专用容器收集后，定期交由有资质回收单位处置。</w:t>
      </w:r>
    </w:p>
    <w:p>
      <w:pPr>
        <w:pStyle w:val="40"/>
        <w:ind w:firstLine="480"/>
      </w:pPr>
      <w:r>
        <w:rPr>
          <w:rFonts w:hint="eastAsia"/>
        </w:rPr>
        <w:t>项目药品</w:t>
      </w:r>
      <w:r>
        <w:t>及器材废包装材料</w:t>
      </w:r>
      <w:r>
        <w:rPr>
          <w:rFonts w:hint="eastAsia"/>
        </w:rPr>
        <w:t>产生</w:t>
      </w:r>
      <w:r>
        <w:t>量约</w:t>
      </w:r>
      <w:r>
        <w:rPr>
          <w:rFonts w:hint="eastAsia"/>
        </w:rPr>
        <w:t>7.3</w:t>
      </w:r>
      <w:r>
        <w:t>t/a，集中收集后外售综合利用。</w:t>
      </w:r>
    </w:p>
    <w:p>
      <w:pPr>
        <w:pStyle w:val="40"/>
        <w:ind w:firstLine="480"/>
      </w:pPr>
      <w:r>
        <w:rPr>
          <w:rFonts w:hint="eastAsia"/>
        </w:rPr>
        <w:t>煎药房</w:t>
      </w:r>
      <w:r>
        <w:t>中药渣产生量为</w:t>
      </w:r>
      <w:r>
        <w:rPr>
          <w:rFonts w:hint="eastAsia"/>
        </w:rPr>
        <w:t>1.83</w:t>
      </w:r>
      <w:r>
        <w:t>t/a，</w:t>
      </w:r>
      <w:r>
        <w:rPr>
          <w:rFonts w:hint="eastAsia"/>
        </w:rPr>
        <w:t>主要</w:t>
      </w:r>
      <w:r>
        <w:t>成分为植物根茎叶，属于一般固废，</w:t>
      </w:r>
      <w:r>
        <w:rPr>
          <w:rFonts w:hint="eastAsia"/>
        </w:rPr>
        <w:t>经</w:t>
      </w:r>
      <w:r>
        <w:t>分类收集后，交环卫</w:t>
      </w:r>
      <w:r>
        <w:rPr>
          <w:rFonts w:hint="eastAsia"/>
        </w:rPr>
        <w:t>部门</w:t>
      </w:r>
      <w:r>
        <w:t>清运。</w:t>
      </w:r>
    </w:p>
    <w:p>
      <w:pPr>
        <w:pStyle w:val="40"/>
        <w:ind w:firstLine="480"/>
      </w:pPr>
      <w:r>
        <w:rPr>
          <w:rFonts w:hint="eastAsia"/>
        </w:rPr>
        <w:t>锅炉房软水</w:t>
      </w:r>
      <w:r>
        <w:t>制备过程中产生废的离子交换树脂，</w:t>
      </w:r>
      <w:r>
        <w:rPr>
          <w:rFonts w:hint="eastAsia"/>
        </w:rPr>
        <w:t>产生</w:t>
      </w:r>
      <w:r>
        <w:t>量为</w:t>
      </w:r>
      <w:r>
        <w:rPr>
          <w:rFonts w:hint="eastAsia"/>
        </w:rPr>
        <w:t>0.1</w:t>
      </w:r>
      <w:r>
        <w:t>t/a，属于一般固废，由厂家定期更换并回收。</w:t>
      </w:r>
    </w:p>
    <w:p>
      <w:pPr>
        <w:pStyle w:val="40"/>
        <w:ind w:firstLine="480"/>
        <w:rPr>
          <w:highlight w:val="yellow"/>
        </w:rPr>
      </w:pPr>
      <w:r>
        <w:rPr>
          <w:rFonts w:hint="eastAsia"/>
        </w:rPr>
        <w:t>经采取以上措施后，本项目运营期产生的固废均能得到妥善处置，因此产生的固体废物对周围环境造成的影响较小。</w:t>
      </w:r>
    </w:p>
    <w:p>
      <w:pPr>
        <w:pStyle w:val="4"/>
      </w:pPr>
      <w:r>
        <w:rPr>
          <w:rFonts w:hint="eastAsia"/>
        </w:rPr>
        <w:t>外环境</w:t>
      </w:r>
      <w:r>
        <w:t>对本项目的影响分析</w:t>
      </w:r>
    </w:p>
    <w:p>
      <w:pPr>
        <w:pStyle w:val="40"/>
        <w:ind w:firstLine="480"/>
      </w:pPr>
      <w:r>
        <w:rPr>
          <w:rFonts w:hint="eastAsia"/>
        </w:rPr>
        <w:t>项目</w:t>
      </w:r>
      <w:r>
        <w:t>北侧为月滨南大道</w:t>
      </w:r>
      <w:r>
        <w:rPr>
          <w:rFonts w:hint="eastAsia"/>
        </w:rPr>
        <w:t>，有一定</w:t>
      </w:r>
      <w:r>
        <w:t>的交通流量，交通噪声会对本项目有一定的影响，项目</w:t>
      </w:r>
      <w:r>
        <w:rPr>
          <w:rFonts w:hint="eastAsia"/>
        </w:rPr>
        <w:t>北</w:t>
      </w:r>
      <w:r>
        <w:t>厂界距离</w:t>
      </w:r>
      <w:r>
        <w:rPr>
          <w:rFonts w:hint="eastAsia"/>
        </w:rPr>
        <w:t>月滨南</w:t>
      </w:r>
      <w:r>
        <w:t>大道中心线</w:t>
      </w:r>
      <w:r>
        <w:rPr>
          <w:rFonts w:hint="eastAsia"/>
        </w:rPr>
        <w:t>25</w:t>
      </w:r>
      <w:r>
        <w:t>m，</w:t>
      </w:r>
      <w:r>
        <w:rPr>
          <w:rFonts w:hint="eastAsia"/>
        </w:rPr>
        <w:t>根据项目噪声现状监测结果，项目所在地声环境质量能满足《声环境质量标准》（GB3096-2008）2类和标准，说明项目所在地声环境质量较好。</w:t>
      </w:r>
    </w:p>
    <w:p>
      <w:pPr>
        <w:pStyle w:val="40"/>
        <w:ind w:firstLine="480"/>
        <w:rPr>
          <w:highlight w:val="yellow"/>
        </w:rPr>
      </w:pPr>
      <w:r>
        <w:rPr>
          <w:rFonts w:hint="eastAsia"/>
        </w:rPr>
        <w:t>根据</w:t>
      </w:r>
      <w:r>
        <w:t>现场调查，</w:t>
      </w:r>
      <w:r>
        <w:rPr>
          <w:rFonts w:hint="eastAsia"/>
        </w:rPr>
        <w:t>项目北</w:t>
      </w:r>
      <w:r>
        <w:t>侧主要布置为</w:t>
      </w:r>
      <w:r>
        <w:rPr>
          <w:rFonts w:hint="eastAsia"/>
        </w:rPr>
        <w:t>住院楼、</w:t>
      </w:r>
      <w:r>
        <w:t>门诊</w:t>
      </w:r>
      <w:r>
        <w:rPr>
          <w:rFonts w:hint="eastAsia"/>
        </w:rPr>
        <w:t>及</w:t>
      </w:r>
      <w:r>
        <w:t>发热门诊，中间隔</w:t>
      </w:r>
      <w:r>
        <w:rPr>
          <w:rFonts w:hint="eastAsia"/>
        </w:rPr>
        <w:t>有</w:t>
      </w:r>
      <w:r>
        <w:t>绿化带和医院内部道路，距离</w:t>
      </w:r>
      <w:r>
        <w:rPr>
          <w:rFonts w:hint="eastAsia"/>
        </w:rPr>
        <w:t>北侧</w:t>
      </w:r>
      <w:r>
        <w:t>月滨南大道有一定距离，交通噪声经</w:t>
      </w:r>
      <w:r>
        <w:rPr>
          <w:rFonts w:hint="eastAsia"/>
        </w:rPr>
        <w:t>距离衰减后</w:t>
      </w:r>
      <w:r>
        <w:t>对</w:t>
      </w:r>
      <w:r>
        <w:rPr>
          <w:rFonts w:hint="eastAsia"/>
        </w:rPr>
        <w:t>院区主楼病人生活</w:t>
      </w:r>
      <w:r>
        <w:t>的影响</w:t>
      </w:r>
      <w:r>
        <w:rPr>
          <w:rFonts w:hint="eastAsia"/>
        </w:rPr>
        <w:t>较小</w:t>
      </w:r>
      <w:r>
        <w:t>。</w:t>
      </w:r>
      <w:r>
        <w:rPr>
          <w:rFonts w:hint="eastAsia"/>
        </w:rPr>
        <w:t>建议</w:t>
      </w:r>
      <w:r>
        <w:t>建设单位加强临近道路的绿化工作，种植高大茂密的树种作为隔声屏障，在设计绿色隔声屏障时，优先选用高大乔木树种，最大限度发挥隔声屏障的作用，这样可起到较好的空气过滤和隔声的效果。</w:t>
      </w:r>
    </w:p>
    <w:p>
      <w:pPr>
        <w:pStyle w:val="40"/>
        <w:ind w:firstLine="480"/>
        <w:rPr>
          <w:highlight w:val="yellow"/>
        </w:rPr>
      </w:pPr>
    </w:p>
    <w:p>
      <w:pPr>
        <w:pStyle w:val="40"/>
        <w:ind w:firstLine="480"/>
        <w:rPr>
          <w:highlight w:val="yellow"/>
        </w:rPr>
      </w:pPr>
    </w:p>
    <w:p>
      <w:pPr>
        <w:pStyle w:val="40"/>
        <w:ind w:firstLine="480"/>
        <w:rPr>
          <w:highlight w:val="yellow"/>
        </w:rPr>
      </w:pPr>
    </w:p>
    <w:p>
      <w:pPr>
        <w:rPr>
          <w:highlight w:val="yellow"/>
        </w:rPr>
      </w:pPr>
    </w:p>
    <w:p>
      <w:pPr>
        <w:rPr>
          <w:highlight w:val="yellow"/>
        </w:rPr>
        <w:sectPr>
          <w:pgSz w:w="11906" w:h="16838"/>
          <w:pgMar w:top="1418" w:right="1418" w:bottom="1418" w:left="1588" w:header="851" w:footer="992" w:gutter="0"/>
          <w:pgNumType w:fmt="numberInDash"/>
          <w:cols w:space="425" w:num="1"/>
          <w:docGrid w:type="linesAndChars" w:linePitch="312" w:charSpace="0"/>
        </w:sectPr>
      </w:pPr>
    </w:p>
    <w:p>
      <w:pPr>
        <w:pStyle w:val="2"/>
      </w:pPr>
      <w:bookmarkStart w:id="67" w:name="_Toc113260434"/>
      <w:r>
        <w:rPr>
          <w:rFonts w:hint="eastAsia"/>
        </w:rPr>
        <w:t>环境</w:t>
      </w:r>
      <w:r>
        <w:t>风险评价</w:t>
      </w:r>
      <w:bookmarkEnd w:id="67"/>
    </w:p>
    <w:p>
      <w:pPr>
        <w:pStyle w:val="40"/>
        <w:ind w:firstLine="480"/>
      </w:pPr>
      <w:r>
        <w:t>根据《建设项目环境风险评价技术导则》（HJ169-2018)，对于涉及有毒有害和易燃易爆物质的生产、使用、贮运的建设项目可能发生的突发性事故应进行环境风险评价。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pPr>
        <w:adjustRightInd w:val="0"/>
        <w:spacing w:line="360" w:lineRule="auto"/>
        <w:ind w:firstLine="480" w:firstLineChars="200"/>
        <w:textAlignment w:val="baseline"/>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按《建设项目环境风险评价技术导则》（HJ 169-2018）的要求，环境风险评价基本内容包括风险调查、环境风险潜势初判、风险识别、风险事故情形分析、风险预测与评价、环境风险管理等。</w:t>
      </w:r>
    </w:p>
    <w:p>
      <w:pPr>
        <w:pStyle w:val="3"/>
      </w:pPr>
      <w:bookmarkStart w:id="68" w:name="_Toc113260435"/>
      <w:r>
        <w:rPr>
          <w:rFonts w:hint="eastAsia"/>
        </w:rPr>
        <w:t>评价</w:t>
      </w:r>
      <w:r>
        <w:t>原则</w:t>
      </w:r>
      <w:bookmarkEnd w:id="68"/>
    </w:p>
    <w:p>
      <w:pPr>
        <w:pStyle w:val="49"/>
        <w:ind w:firstLine="480"/>
        <w:rPr>
          <w:rFonts w:cs="Times New Roman"/>
        </w:rPr>
      </w:pPr>
      <w:r>
        <w:rPr>
          <w:rFonts w:cs="Times New Roman"/>
        </w:rPr>
        <w:t>环境风险评价是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3"/>
      </w:pPr>
      <w:bookmarkStart w:id="69" w:name="_Toc113260436"/>
      <w:r>
        <w:rPr>
          <w:rFonts w:hint="eastAsia"/>
        </w:rPr>
        <w:t>风险</w:t>
      </w:r>
      <w:r>
        <w:t>调查</w:t>
      </w:r>
      <w:bookmarkEnd w:id="69"/>
    </w:p>
    <w:p>
      <w:pPr>
        <w:pStyle w:val="4"/>
      </w:pPr>
      <w:r>
        <w:rPr>
          <w:rFonts w:hint="eastAsia"/>
        </w:rPr>
        <w:t>建设</w:t>
      </w:r>
      <w:r>
        <w:t>项目风险源调查</w:t>
      </w:r>
    </w:p>
    <w:p>
      <w:pPr>
        <w:pStyle w:val="40"/>
        <w:ind w:firstLine="480"/>
        <w:rPr>
          <w:rFonts w:cs="Times New Roman"/>
        </w:rPr>
      </w:pPr>
      <w:r>
        <w:rPr>
          <w:rFonts w:cs="Times New Roman"/>
        </w:rPr>
        <w:t>风险源指存在物质或能量意外释放，会对环境造成危害的物质。</w:t>
      </w:r>
      <w:r>
        <w:rPr>
          <w:rFonts w:hint="eastAsia" w:cs="Times New Roman"/>
        </w:rPr>
        <w:t>本项目是</w:t>
      </w:r>
      <w:r>
        <w:rPr>
          <w:rFonts w:cs="Times New Roman"/>
        </w:rPr>
        <w:t>涉及的风险物质主要为</w:t>
      </w:r>
      <w:r>
        <w:rPr>
          <w:rFonts w:hint="eastAsia" w:cs="Times New Roman"/>
        </w:rPr>
        <w:t>污水</w:t>
      </w:r>
      <w:r>
        <w:rPr>
          <w:rFonts w:cs="Times New Roman"/>
        </w:rPr>
        <w:t>处理站</w:t>
      </w:r>
      <w:r>
        <w:rPr>
          <w:rFonts w:hint="eastAsia" w:cs="Times New Roman"/>
        </w:rPr>
        <w:t>消毒</w:t>
      </w:r>
      <w:r>
        <w:rPr>
          <w:rFonts w:cs="Times New Roman"/>
        </w:rPr>
        <w:t>使用的次氯酸钠消毒剂</w:t>
      </w:r>
      <w:r>
        <w:rPr>
          <w:rFonts w:hint="eastAsia" w:cs="Times New Roman"/>
        </w:rPr>
        <w:t>。</w:t>
      </w:r>
      <w:r>
        <w:rPr>
          <w:rFonts w:cs="Times New Roman"/>
        </w:rPr>
        <w:t>物质存储量见表</w:t>
      </w:r>
      <w:r>
        <w:rPr>
          <w:rFonts w:hint="eastAsia" w:cs="Times New Roman"/>
        </w:rPr>
        <w:t>7.2-1。</w:t>
      </w:r>
    </w:p>
    <w:p>
      <w:pPr>
        <w:pStyle w:val="22"/>
      </w:pPr>
      <w:r>
        <w:rPr>
          <w:rFonts w:hint="eastAsia"/>
        </w:rPr>
        <w:t>表7.2-1  项目</w:t>
      </w:r>
      <w:r>
        <w:t>涉及的环境风险物质存储量</w:t>
      </w:r>
    </w:p>
    <w:tbl>
      <w:tblPr>
        <w:tblStyle w:val="2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735"/>
        <w:gridCol w:w="2215"/>
        <w:gridCol w:w="2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tcPr>
          <w:p>
            <w:pPr>
              <w:pStyle w:val="47"/>
            </w:pPr>
            <w:r>
              <w:rPr>
                <w:rFonts w:hint="eastAsia"/>
              </w:rPr>
              <w:t>序号</w:t>
            </w:r>
          </w:p>
        </w:tc>
        <w:tc>
          <w:tcPr>
            <w:tcW w:w="3735" w:type="dxa"/>
          </w:tcPr>
          <w:p>
            <w:pPr>
              <w:pStyle w:val="47"/>
            </w:pPr>
            <w:r>
              <w:rPr>
                <w:rFonts w:hint="eastAsia"/>
              </w:rPr>
              <w:t>物料</w:t>
            </w:r>
            <w:r>
              <w:t>名称</w:t>
            </w:r>
          </w:p>
        </w:tc>
        <w:tc>
          <w:tcPr>
            <w:tcW w:w="2215" w:type="dxa"/>
          </w:tcPr>
          <w:p>
            <w:pPr>
              <w:pStyle w:val="47"/>
            </w:pPr>
            <w:r>
              <w:rPr>
                <w:rFonts w:hint="eastAsia"/>
              </w:rPr>
              <w:t>厂区</w:t>
            </w:r>
            <w:r>
              <w:t>最大</w:t>
            </w:r>
            <w:r>
              <w:rPr>
                <w:rFonts w:hint="eastAsia"/>
              </w:rPr>
              <w:t>储存</w:t>
            </w:r>
            <w:r>
              <w:t>总量</w:t>
            </w:r>
          </w:p>
        </w:tc>
        <w:tc>
          <w:tcPr>
            <w:tcW w:w="2215" w:type="dxa"/>
          </w:tcPr>
          <w:p>
            <w:pPr>
              <w:pStyle w:val="47"/>
            </w:pPr>
            <w:r>
              <w:rPr>
                <w:rFonts w:hint="eastAsia"/>
              </w:rPr>
              <w:t>储存</w:t>
            </w:r>
            <w:r>
              <w:t>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94" w:type="dxa"/>
          </w:tcPr>
          <w:p>
            <w:pPr>
              <w:pStyle w:val="47"/>
            </w:pPr>
            <w:r>
              <w:rPr>
                <w:rFonts w:hint="eastAsia"/>
              </w:rPr>
              <w:t>1</w:t>
            </w:r>
          </w:p>
        </w:tc>
        <w:tc>
          <w:tcPr>
            <w:tcW w:w="3735" w:type="dxa"/>
          </w:tcPr>
          <w:p>
            <w:pPr>
              <w:pStyle w:val="47"/>
            </w:pPr>
            <w:r>
              <w:rPr>
                <w:rFonts w:hint="eastAsia"/>
              </w:rPr>
              <w:t>次氯酸钠</w:t>
            </w:r>
          </w:p>
        </w:tc>
        <w:tc>
          <w:tcPr>
            <w:tcW w:w="2215" w:type="dxa"/>
          </w:tcPr>
          <w:p>
            <w:pPr>
              <w:pStyle w:val="47"/>
            </w:pPr>
            <w:r>
              <w:rPr>
                <w:rFonts w:hint="eastAsia"/>
              </w:rPr>
              <w:t>0.1</w:t>
            </w:r>
            <w:r>
              <w:t>t</w:t>
            </w:r>
          </w:p>
        </w:tc>
        <w:tc>
          <w:tcPr>
            <w:tcW w:w="2215" w:type="dxa"/>
          </w:tcPr>
          <w:p>
            <w:pPr>
              <w:pStyle w:val="47"/>
            </w:pPr>
            <w:r>
              <w:rPr>
                <w:rFonts w:hint="eastAsia"/>
              </w:rPr>
              <w:t>污水</w:t>
            </w:r>
            <w:r>
              <w:t>处理站</w:t>
            </w:r>
          </w:p>
        </w:tc>
      </w:tr>
    </w:tbl>
    <w:p>
      <w:pPr>
        <w:pStyle w:val="4"/>
      </w:pPr>
      <w:r>
        <w:rPr>
          <w:rFonts w:hint="eastAsia"/>
        </w:rPr>
        <w:t>环境</w:t>
      </w:r>
      <w:r>
        <w:t>敏感目标调查</w:t>
      </w:r>
    </w:p>
    <w:p>
      <w:pPr>
        <w:pStyle w:val="40"/>
        <w:ind w:firstLine="480"/>
      </w:pPr>
      <w:r>
        <w:rPr>
          <w:rFonts w:hint="eastAsia"/>
        </w:rPr>
        <w:t>根据《建设项目环境风险评价技术导则》（HJ169-2018）的要求，本次评价对风险评价范围内保护目标进行了调查，项目区及周边无自然保护区、风景名胜区等需特殊保护的区域。</w:t>
      </w:r>
      <w:r>
        <w:t>项目风险环境敏感目标见表</w:t>
      </w:r>
      <w:r>
        <w:rPr>
          <w:rFonts w:hint="eastAsia"/>
        </w:rPr>
        <w:t>7.2-</w:t>
      </w:r>
      <w:r>
        <w:t>2</w:t>
      </w:r>
      <w:r>
        <w:rPr>
          <w:rFonts w:hint="eastAsia"/>
        </w:rPr>
        <w:t>。</w:t>
      </w:r>
    </w:p>
    <w:p>
      <w:pPr>
        <w:jc w:val="center"/>
        <w:rPr>
          <w:rFonts w:ascii="Times New Roman" w:hAnsi="Times New Roman" w:eastAsia="宋体" w:cs="Times New Roman"/>
          <w:b/>
          <w:sz w:val="24"/>
          <w:szCs w:val="28"/>
          <w:highlight w:val="yellow"/>
        </w:rPr>
      </w:pPr>
    </w:p>
    <w:p>
      <w:pPr>
        <w:jc w:val="center"/>
        <w:rPr>
          <w:rFonts w:ascii="Times New Roman" w:hAnsi="Times New Roman" w:eastAsia="宋体" w:cs="Times New Roman"/>
          <w:b/>
          <w:sz w:val="24"/>
          <w:szCs w:val="28"/>
          <w:highlight w:val="yellow"/>
        </w:rPr>
      </w:pPr>
    </w:p>
    <w:p>
      <w:pPr>
        <w:jc w:val="center"/>
        <w:rPr>
          <w:rFonts w:ascii="Times New Roman" w:hAnsi="Times New Roman" w:eastAsia="宋体" w:cs="Times New Roman"/>
          <w:b/>
          <w:sz w:val="24"/>
          <w:szCs w:val="28"/>
          <w:highlight w:val="yellow"/>
        </w:rPr>
      </w:pPr>
    </w:p>
    <w:p>
      <w:pPr>
        <w:jc w:val="center"/>
        <w:rPr>
          <w:rFonts w:ascii="Times New Roman" w:hAnsi="Times New Roman" w:eastAsia="宋体" w:cs="Times New Roman"/>
          <w:b/>
          <w:sz w:val="24"/>
          <w:szCs w:val="28"/>
          <w:highlight w:val="yellow"/>
        </w:rPr>
      </w:pPr>
    </w:p>
    <w:p>
      <w:pPr>
        <w:jc w:val="center"/>
        <w:rPr>
          <w:rFonts w:ascii="Times New Roman" w:hAnsi="Times New Roman" w:eastAsia="宋体" w:cs="Times New Roman"/>
          <w:b/>
          <w:sz w:val="24"/>
          <w:szCs w:val="28"/>
        </w:rPr>
      </w:pPr>
      <w:r>
        <w:rPr>
          <w:rFonts w:hint="eastAsia" w:ascii="Times New Roman" w:hAnsi="Times New Roman" w:eastAsia="宋体" w:cs="Times New Roman"/>
          <w:b/>
          <w:sz w:val="24"/>
          <w:szCs w:val="28"/>
        </w:rPr>
        <w:t>表</w:t>
      </w:r>
      <w:r>
        <w:rPr>
          <w:rFonts w:ascii="Times New Roman" w:hAnsi="Times New Roman" w:eastAsia="宋体" w:cs="Times New Roman"/>
          <w:b/>
          <w:sz w:val="24"/>
          <w:szCs w:val="28"/>
        </w:rPr>
        <w:t>7.2-2</w:t>
      </w:r>
      <w:r>
        <w:rPr>
          <w:rFonts w:hint="eastAsia" w:ascii="Times New Roman" w:hAnsi="Times New Roman" w:eastAsia="宋体" w:cs="Times New Roman"/>
          <w:b/>
          <w:sz w:val="24"/>
          <w:szCs w:val="28"/>
        </w:rPr>
        <w:t xml:space="preserve">  建设</w:t>
      </w:r>
      <w:r>
        <w:rPr>
          <w:rFonts w:ascii="Times New Roman" w:hAnsi="Times New Roman" w:eastAsia="宋体" w:cs="Times New Roman"/>
          <w:b/>
          <w:sz w:val="24"/>
          <w:szCs w:val="28"/>
        </w:rPr>
        <w:t>项目环境敏感</w:t>
      </w:r>
      <w:r>
        <w:rPr>
          <w:rFonts w:hint="eastAsia" w:ascii="Times New Roman" w:hAnsi="Times New Roman" w:eastAsia="宋体" w:cs="Times New Roman"/>
          <w:b/>
          <w:sz w:val="24"/>
          <w:szCs w:val="28"/>
        </w:rPr>
        <w:t>特征</w:t>
      </w:r>
      <w:r>
        <w:rPr>
          <w:rFonts w:ascii="Times New Roman" w:hAnsi="Times New Roman" w:eastAsia="宋体" w:cs="Times New Roman"/>
          <w:b/>
          <w:sz w:val="24"/>
          <w:szCs w:val="28"/>
        </w:rPr>
        <w:t>一览表</w:t>
      </w:r>
      <w:r>
        <w:rPr>
          <w:rFonts w:hint="eastAsia" w:ascii="Times New Roman" w:hAnsi="Times New Roman" w:eastAsia="宋体" w:cs="Times New Roman"/>
          <w:b/>
          <w:sz w:val="24"/>
          <w:szCs w:val="28"/>
        </w:rPr>
        <w:t>汇总</w:t>
      </w:r>
    </w:p>
    <w:tbl>
      <w:tblPr>
        <w:tblStyle w:val="6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753"/>
        <w:gridCol w:w="253"/>
        <w:gridCol w:w="1873"/>
        <w:gridCol w:w="806"/>
        <w:gridCol w:w="191"/>
        <w:gridCol w:w="1037"/>
        <w:gridCol w:w="239"/>
        <w:gridCol w:w="990"/>
        <w:gridCol w:w="1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21"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类别</w:t>
            </w:r>
          </w:p>
        </w:tc>
        <w:tc>
          <w:tcPr>
            <w:tcW w:w="8038" w:type="dxa"/>
            <w:gridSpan w:val="9"/>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w:t>
            </w:r>
            <w:r>
              <w:rPr>
                <w:rFonts w:ascii="Times New Roman" w:hAnsi="Times New Roman" w:eastAsia="宋体" w:cs="Times New Roman"/>
                <w:kern w:val="0"/>
                <w:sz w:val="21"/>
                <w:szCs w:val="21"/>
              </w:rPr>
              <w:t>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restart"/>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w:t>
            </w:r>
            <w:r>
              <w:rPr>
                <w:rFonts w:ascii="Times New Roman" w:hAnsi="Times New Roman" w:eastAsia="宋体" w:cs="Times New Roman"/>
                <w:kern w:val="0"/>
                <w:sz w:val="21"/>
                <w:szCs w:val="21"/>
              </w:rPr>
              <w:t>空气</w:t>
            </w:r>
          </w:p>
        </w:tc>
        <w:tc>
          <w:tcPr>
            <w:tcW w:w="753"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序号</w:t>
            </w:r>
          </w:p>
        </w:tc>
        <w:tc>
          <w:tcPr>
            <w:tcW w:w="212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敏感</w:t>
            </w:r>
            <w:r>
              <w:rPr>
                <w:rFonts w:ascii="Times New Roman" w:hAnsi="Times New Roman" w:eastAsia="宋体" w:cs="Times New Roman"/>
                <w:kern w:val="0"/>
                <w:sz w:val="21"/>
                <w:szCs w:val="21"/>
              </w:rPr>
              <w:t>目标名称</w:t>
            </w:r>
          </w:p>
        </w:tc>
        <w:tc>
          <w:tcPr>
            <w:tcW w:w="997"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相对</w:t>
            </w:r>
            <w:r>
              <w:rPr>
                <w:rFonts w:ascii="Times New Roman" w:hAnsi="Times New Roman" w:eastAsia="宋体" w:cs="Times New Roman"/>
                <w:kern w:val="0"/>
                <w:sz w:val="21"/>
                <w:szCs w:val="21"/>
              </w:rPr>
              <w:t>方位</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距离</w:t>
            </w:r>
            <w:r>
              <w:rPr>
                <w:rFonts w:ascii="Times New Roman" w:hAnsi="Times New Roman" w:eastAsia="宋体" w:cs="Times New Roman"/>
                <w:kern w:val="0"/>
                <w:sz w:val="21"/>
                <w:szCs w:val="21"/>
              </w:rPr>
              <w:t>（</w:t>
            </w:r>
            <w:r>
              <w:rPr>
                <w:rFonts w:hint="eastAsia" w:ascii="Times New Roman" w:hAnsi="Times New Roman" w:eastAsia="宋体" w:cs="Times New Roman"/>
                <w:kern w:val="0"/>
                <w:sz w:val="21"/>
                <w:szCs w:val="21"/>
              </w:rPr>
              <w:t>m</w:t>
            </w:r>
            <w:r>
              <w:rPr>
                <w:rFonts w:ascii="Times New Roman" w:hAnsi="Times New Roman" w:eastAsia="宋体" w:cs="Times New Roman"/>
                <w:kern w:val="0"/>
                <w:sz w:val="21"/>
                <w:szCs w:val="21"/>
              </w:rPr>
              <w:t>）</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属性</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人口数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越南村</w:t>
            </w:r>
          </w:p>
        </w:tc>
        <w:tc>
          <w:tcPr>
            <w:tcW w:w="997" w:type="dxa"/>
            <w:gridSpan w:val="2"/>
            <w:vAlign w:val="center"/>
          </w:tcPr>
          <w:p>
            <w:pPr>
              <w:pStyle w:val="43"/>
              <w:rPr>
                <w:sz w:val="21"/>
                <w:szCs w:val="21"/>
              </w:rPr>
            </w:pPr>
            <w:r>
              <w:rPr>
                <w:rFonts w:hint="eastAsia"/>
                <w:sz w:val="21"/>
                <w:szCs w:val="21"/>
              </w:rPr>
              <w:t>S</w:t>
            </w:r>
            <w:r>
              <w:rPr>
                <w:sz w:val="21"/>
                <w:szCs w:val="21"/>
              </w:rPr>
              <w:t>、E</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紧邻</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约320人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恒口镇越南村</w:t>
            </w:r>
            <w:r>
              <w:rPr>
                <w:sz w:val="21"/>
                <w:szCs w:val="21"/>
              </w:rPr>
              <w:t>刘星耀小学</w:t>
            </w:r>
          </w:p>
        </w:tc>
        <w:tc>
          <w:tcPr>
            <w:tcW w:w="997" w:type="dxa"/>
            <w:gridSpan w:val="2"/>
            <w:vAlign w:val="center"/>
          </w:tcPr>
          <w:p>
            <w:pPr>
              <w:pStyle w:val="43"/>
              <w:rPr>
                <w:sz w:val="21"/>
                <w:szCs w:val="21"/>
              </w:rPr>
            </w:pPr>
            <w:r>
              <w:rPr>
                <w:sz w:val="21"/>
                <w:szCs w:val="21"/>
              </w:rPr>
              <w:t>S</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紧邻</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文教区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师生</w:t>
            </w:r>
            <w:r>
              <w:rPr>
                <w:rFonts w:ascii="Times New Roman" w:hAnsi="Times New Roman" w:eastAsia="宋体" w:cs="Times New Roman"/>
                <w:kern w:val="0"/>
                <w:sz w:val="21"/>
                <w:szCs w:val="21"/>
              </w:rPr>
              <w:t>约</w:t>
            </w:r>
            <w:r>
              <w:rPr>
                <w:rFonts w:hint="eastAsia" w:ascii="Times New Roman" w:hAnsi="Times New Roman" w:eastAsia="宋体" w:cs="Times New Roman"/>
                <w:kern w:val="0"/>
                <w:sz w:val="21"/>
                <w:szCs w:val="21"/>
              </w:rPr>
              <w:t>300人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东风村</w:t>
            </w:r>
          </w:p>
        </w:tc>
        <w:tc>
          <w:tcPr>
            <w:tcW w:w="997" w:type="dxa"/>
            <w:gridSpan w:val="2"/>
            <w:vAlign w:val="center"/>
          </w:tcPr>
          <w:p>
            <w:pPr>
              <w:pStyle w:val="43"/>
              <w:rPr>
                <w:sz w:val="21"/>
                <w:szCs w:val="21"/>
              </w:rPr>
            </w:pPr>
            <w:r>
              <w:rPr>
                <w:rFonts w:hint="eastAsia"/>
                <w:sz w:val="21"/>
                <w:szCs w:val="21"/>
              </w:rPr>
              <w:t>W</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310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约260人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西家院子</w:t>
            </w:r>
            <w:r>
              <w:rPr>
                <w:sz w:val="21"/>
                <w:szCs w:val="21"/>
              </w:rPr>
              <w:t>村</w:t>
            </w:r>
          </w:p>
        </w:tc>
        <w:tc>
          <w:tcPr>
            <w:tcW w:w="997" w:type="dxa"/>
            <w:gridSpan w:val="2"/>
            <w:vAlign w:val="center"/>
          </w:tcPr>
          <w:p>
            <w:pPr>
              <w:pStyle w:val="43"/>
              <w:rPr>
                <w:sz w:val="21"/>
                <w:szCs w:val="21"/>
              </w:rPr>
            </w:pPr>
            <w:r>
              <w:rPr>
                <w:rFonts w:hint="eastAsia"/>
                <w:sz w:val="21"/>
                <w:szCs w:val="21"/>
              </w:rPr>
              <w:t>NW</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580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集中村</w:t>
            </w:r>
          </w:p>
        </w:tc>
        <w:tc>
          <w:tcPr>
            <w:tcW w:w="997" w:type="dxa"/>
            <w:gridSpan w:val="2"/>
            <w:vAlign w:val="center"/>
          </w:tcPr>
          <w:p>
            <w:pPr>
              <w:pStyle w:val="43"/>
              <w:rPr>
                <w:sz w:val="21"/>
                <w:szCs w:val="21"/>
              </w:rPr>
            </w:pPr>
            <w:r>
              <w:rPr>
                <w:rFonts w:hint="eastAsia"/>
                <w:sz w:val="21"/>
                <w:szCs w:val="21"/>
              </w:rPr>
              <w:t>NW</w:t>
            </w:r>
          </w:p>
        </w:tc>
        <w:tc>
          <w:tcPr>
            <w:tcW w:w="127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r>
              <w:rPr>
                <w:rFonts w:ascii="Times New Roman" w:hAnsi="Times New Roman" w:eastAsia="宋体" w:cs="Times New Roman"/>
                <w:kern w:val="0"/>
                <w:sz w:val="21"/>
                <w:szCs w:val="21"/>
              </w:rPr>
              <w:t>160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约320人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三合村</w:t>
            </w:r>
          </w:p>
        </w:tc>
        <w:tc>
          <w:tcPr>
            <w:tcW w:w="997" w:type="dxa"/>
            <w:gridSpan w:val="2"/>
            <w:vAlign w:val="center"/>
          </w:tcPr>
          <w:p>
            <w:pPr>
              <w:pStyle w:val="43"/>
              <w:rPr>
                <w:sz w:val="21"/>
                <w:szCs w:val="21"/>
              </w:rPr>
            </w:pPr>
            <w:r>
              <w:rPr>
                <w:rFonts w:hint="eastAsia"/>
                <w:sz w:val="21"/>
                <w:szCs w:val="21"/>
              </w:rPr>
              <w:t>SW</w:t>
            </w:r>
          </w:p>
        </w:tc>
        <w:tc>
          <w:tcPr>
            <w:tcW w:w="1276" w:type="dxa"/>
            <w:gridSpan w:val="2"/>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1340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约260人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王家营</w:t>
            </w:r>
          </w:p>
        </w:tc>
        <w:tc>
          <w:tcPr>
            <w:tcW w:w="997" w:type="dxa"/>
            <w:gridSpan w:val="2"/>
            <w:vAlign w:val="center"/>
          </w:tcPr>
          <w:p>
            <w:pPr>
              <w:pStyle w:val="43"/>
              <w:rPr>
                <w:sz w:val="21"/>
                <w:szCs w:val="21"/>
              </w:rPr>
            </w:pPr>
            <w:r>
              <w:rPr>
                <w:rFonts w:hint="eastAsia"/>
                <w:sz w:val="21"/>
                <w:szCs w:val="21"/>
              </w:rPr>
              <w:t>NW</w:t>
            </w:r>
          </w:p>
        </w:tc>
        <w:tc>
          <w:tcPr>
            <w:tcW w:w="1276" w:type="dxa"/>
            <w:gridSpan w:val="2"/>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1470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居住区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约2</w:t>
            </w:r>
            <w:r>
              <w:rPr>
                <w:rFonts w:ascii="Times New Roman" w:hAnsi="Times New Roman" w:eastAsia="宋体" w:cs="Times New Roman"/>
                <w:kern w:val="0"/>
                <w:sz w:val="21"/>
                <w:szCs w:val="21"/>
              </w:rPr>
              <w:t>30</w:t>
            </w:r>
            <w:r>
              <w:rPr>
                <w:rFonts w:hint="eastAsia" w:ascii="Times New Roman" w:hAnsi="Times New Roman" w:eastAsia="宋体" w:cs="Times New Roman"/>
                <w:kern w:val="0"/>
                <w:sz w:val="21"/>
                <w:szCs w:val="21"/>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恒口镇</w:t>
            </w:r>
            <w:r>
              <w:rPr>
                <w:sz w:val="21"/>
                <w:szCs w:val="21"/>
              </w:rPr>
              <w:t>河南初级中学</w:t>
            </w:r>
          </w:p>
        </w:tc>
        <w:tc>
          <w:tcPr>
            <w:tcW w:w="997" w:type="dxa"/>
            <w:gridSpan w:val="2"/>
            <w:vAlign w:val="center"/>
          </w:tcPr>
          <w:p>
            <w:pPr>
              <w:pStyle w:val="43"/>
              <w:rPr>
                <w:sz w:val="21"/>
                <w:szCs w:val="21"/>
              </w:rPr>
            </w:pPr>
            <w:r>
              <w:rPr>
                <w:rFonts w:hint="eastAsia"/>
                <w:sz w:val="21"/>
                <w:szCs w:val="21"/>
              </w:rPr>
              <w:t>SW</w:t>
            </w:r>
          </w:p>
        </w:tc>
        <w:tc>
          <w:tcPr>
            <w:tcW w:w="1276" w:type="dxa"/>
            <w:gridSpan w:val="2"/>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1150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文教区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师生</w:t>
            </w:r>
            <w:r>
              <w:rPr>
                <w:rFonts w:ascii="Times New Roman" w:hAnsi="Times New Roman" w:eastAsia="宋体" w:cs="Times New Roman"/>
                <w:kern w:val="0"/>
                <w:sz w:val="21"/>
                <w:szCs w:val="21"/>
              </w:rPr>
              <w:t>约</w:t>
            </w:r>
            <w:r>
              <w:rPr>
                <w:rFonts w:hint="eastAsia" w:ascii="Times New Roman" w:hAnsi="Times New Roman" w:eastAsia="宋体" w:cs="Times New Roman"/>
                <w:kern w:val="0"/>
                <w:sz w:val="21"/>
                <w:szCs w:val="21"/>
              </w:rPr>
              <w:t>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753" w:type="dxa"/>
            <w:vAlign w:val="center"/>
          </w:tcPr>
          <w:p>
            <w:pPr>
              <w:numPr>
                <w:ilvl w:val="0"/>
                <w:numId w:val="10"/>
              </w:numPr>
              <w:jc w:val="center"/>
              <w:rPr>
                <w:rFonts w:ascii="Times New Roman" w:hAnsi="Times New Roman" w:eastAsia="宋体" w:cs="Times New Roman"/>
                <w:kern w:val="0"/>
                <w:sz w:val="21"/>
                <w:szCs w:val="21"/>
              </w:rPr>
            </w:pPr>
          </w:p>
        </w:tc>
        <w:tc>
          <w:tcPr>
            <w:tcW w:w="2126" w:type="dxa"/>
            <w:gridSpan w:val="2"/>
            <w:vAlign w:val="center"/>
          </w:tcPr>
          <w:p>
            <w:pPr>
              <w:pStyle w:val="47"/>
              <w:rPr>
                <w:sz w:val="21"/>
                <w:szCs w:val="21"/>
              </w:rPr>
            </w:pPr>
            <w:r>
              <w:rPr>
                <w:rFonts w:hint="eastAsia"/>
                <w:sz w:val="21"/>
                <w:szCs w:val="21"/>
              </w:rPr>
              <w:t>恒口镇</w:t>
            </w:r>
            <w:r>
              <w:rPr>
                <w:sz w:val="21"/>
                <w:szCs w:val="21"/>
              </w:rPr>
              <w:t>天星小学</w:t>
            </w:r>
          </w:p>
        </w:tc>
        <w:tc>
          <w:tcPr>
            <w:tcW w:w="997" w:type="dxa"/>
            <w:gridSpan w:val="2"/>
            <w:vAlign w:val="center"/>
          </w:tcPr>
          <w:p>
            <w:pPr>
              <w:pStyle w:val="43"/>
              <w:rPr>
                <w:sz w:val="21"/>
                <w:szCs w:val="21"/>
              </w:rPr>
            </w:pPr>
            <w:r>
              <w:rPr>
                <w:rFonts w:hint="eastAsia"/>
                <w:sz w:val="21"/>
                <w:szCs w:val="21"/>
              </w:rPr>
              <w:t>W</w:t>
            </w:r>
          </w:p>
        </w:tc>
        <w:tc>
          <w:tcPr>
            <w:tcW w:w="1276" w:type="dxa"/>
            <w:gridSpan w:val="2"/>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1440</w:t>
            </w:r>
          </w:p>
        </w:tc>
        <w:tc>
          <w:tcPr>
            <w:tcW w:w="990"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文教区</w:t>
            </w:r>
          </w:p>
        </w:tc>
        <w:tc>
          <w:tcPr>
            <w:tcW w:w="1896"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师生</w:t>
            </w:r>
            <w:r>
              <w:rPr>
                <w:rFonts w:ascii="Times New Roman" w:hAnsi="Times New Roman" w:eastAsia="宋体" w:cs="Times New Roman"/>
                <w:kern w:val="0"/>
                <w:sz w:val="21"/>
                <w:szCs w:val="21"/>
              </w:rPr>
              <w:t>约</w:t>
            </w:r>
            <w:r>
              <w:rPr>
                <w:rFonts w:hint="eastAsia" w:ascii="Times New Roman" w:hAnsi="Times New Roman" w:eastAsia="宋体" w:cs="Times New Roman"/>
                <w:kern w:val="0"/>
                <w:sz w:val="21"/>
                <w:szCs w:val="21"/>
              </w:rPr>
              <w:t>300人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Merge w:val="continue"/>
            <w:vAlign w:val="center"/>
          </w:tcPr>
          <w:p>
            <w:pPr>
              <w:jc w:val="center"/>
              <w:rPr>
                <w:rFonts w:ascii="Times New Roman" w:hAnsi="Times New Roman" w:eastAsia="宋体" w:cs="Times New Roman"/>
                <w:kern w:val="0"/>
                <w:sz w:val="21"/>
                <w:szCs w:val="21"/>
              </w:rPr>
            </w:pPr>
          </w:p>
        </w:tc>
        <w:tc>
          <w:tcPr>
            <w:tcW w:w="6142" w:type="dxa"/>
            <w:gridSpan w:val="8"/>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厂址</w:t>
            </w:r>
            <w:r>
              <w:rPr>
                <w:rFonts w:ascii="Times New Roman" w:hAnsi="Times New Roman" w:eastAsia="宋体" w:cs="Times New Roman"/>
                <w:kern w:val="0"/>
                <w:sz w:val="21"/>
                <w:szCs w:val="21"/>
              </w:rPr>
              <w:t>周边</w:t>
            </w:r>
            <w:r>
              <w:rPr>
                <w:rFonts w:hint="eastAsia" w:ascii="Times New Roman" w:hAnsi="Times New Roman" w:eastAsia="宋体" w:cs="Times New Roman"/>
                <w:kern w:val="0"/>
                <w:sz w:val="21"/>
                <w:szCs w:val="21"/>
              </w:rPr>
              <w:t>5</w:t>
            </w:r>
            <w:r>
              <w:rPr>
                <w:rFonts w:ascii="Times New Roman" w:hAnsi="Times New Roman" w:eastAsia="宋体" w:cs="Times New Roman"/>
                <w:kern w:val="0"/>
                <w:sz w:val="21"/>
                <w:szCs w:val="21"/>
              </w:rPr>
              <w:t>00m</w:t>
            </w:r>
            <w:r>
              <w:rPr>
                <w:rFonts w:hint="eastAsia" w:ascii="Times New Roman" w:hAnsi="Times New Roman" w:eastAsia="宋体" w:cs="Times New Roman"/>
                <w:kern w:val="0"/>
                <w:sz w:val="21"/>
                <w:szCs w:val="21"/>
              </w:rPr>
              <w:t>范围</w:t>
            </w:r>
            <w:r>
              <w:rPr>
                <w:rFonts w:ascii="Times New Roman" w:hAnsi="Times New Roman" w:eastAsia="宋体" w:cs="Times New Roman"/>
                <w:kern w:val="0"/>
                <w:sz w:val="21"/>
                <w:szCs w:val="21"/>
              </w:rPr>
              <w:t>内人口数小计</w:t>
            </w:r>
          </w:p>
        </w:tc>
        <w:tc>
          <w:tcPr>
            <w:tcW w:w="1896" w:type="dxa"/>
            <w:vAlign w:val="center"/>
          </w:tcPr>
          <w:p>
            <w:pPr>
              <w:jc w:val="center"/>
              <w:rPr>
                <w:rFonts w:ascii="Times New Roman" w:hAnsi="Times New Roman" w:eastAsia="宋体" w:cs="Times New Roman"/>
                <w:kern w:val="0"/>
                <w:sz w:val="21"/>
                <w:szCs w:val="21"/>
                <w:lang w:val="zh-CN"/>
              </w:rPr>
            </w:pPr>
            <w:r>
              <w:rPr>
                <w:rFonts w:ascii="Times New Roman" w:hAnsi="Times New Roman" w:eastAsia="宋体" w:cs="Times New Roman"/>
                <w:kern w:val="0"/>
                <w:sz w:val="21"/>
                <w:szCs w:val="21"/>
                <w:lang w:val="zh-CN"/>
              </w:rPr>
              <w:t>780</w:t>
            </w:r>
            <w:r>
              <w:rPr>
                <w:rFonts w:hint="eastAsia" w:ascii="Times New Roman" w:hAnsi="Times New Roman" w:eastAsia="宋体" w:cs="Times New Roman"/>
                <w:kern w:val="0"/>
                <w:sz w:val="21"/>
                <w:szCs w:val="21"/>
                <w:lang w:val="zh-CN"/>
              </w:rPr>
              <w:t>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821"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地表水</w:t>
            </w:r>
          </w:p>
        </w:tc>
        <w:tc>
          <w:tcPr>
            <w:tcW w:w="1006"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p>
        </w:tc>
        <w:tc>
          <w:tcPr>
            <w:tcW w:w="1873" w:type="dxa"/>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月河</w:t>
            </w:r>
          </w:p>
        </w:tc>
        <w:tc>
          <w:tcPr>
            <w:tcW w:w="806" w:type="dxa"/>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NE</w:t>
            </w:r>
          </w:p>
        </w:tc>
        <w:tc>
          <w:tcPr>
            <w:tcW w:w="1228" w:type="dxa"/>
            <w:gridSpan w:val="2"/>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70</w:t>
            </w:r>
          </w:p>
        </w:tc>
        <w:tc>
          <w:tcPr>
            <w:tcW w:w="1229" w:type="dxa"/>
            <w:gridSpan w:val="2"/>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Ⅱ</w:t>
            </w:r>
            <w:r>
              <w:rPr>
                <w:rFonts w:ascii="Times New Roman" w:hAnsi="Times New Roman" w:eastAsia="宋体" w:cs="Times New Roman"/>
                <w:kern w:val="0"/>
                <w:sz w:val="21"/>
                <w:szCs w:val="21"/>
              </w:rPr>
              <w:t>类</w:t>
            </w:r>
          </w:p>
        </w:tc>
        <w:tc>
          <w:tcPr>
            <w:tcW w:w="1896" w:type="dxa"/>
            <w:vAlign w:val="center"/>
          </w:tcPr>
          <w:p>
            <w:pPr>
              <w:jc w:val="center"/>
              <w:rPr>
                <w:rFonts w:ascii="Times New Roman" w:hAnsi="Times New Roman" w:eastAsia="宋体" w:cs="Times New Roman"/>
                <w:kern w:val="0"/>
                <w:sz w:val="21"/>
                <w:szCs w:val="21"/>
                <w:lang w:val="zh-CN"/>
              </w:rPr>
            </w:pPr>
            <w:r>
              <w:rPr>
                <w:rFonts w:hint="eastAsia" w:ascii="Times New Roman" w:hAnsi="Times New Roman" w:eastAsia="宋体" w:cs="Times New Roman"/>
                <w:kern w:val="0"/>
                <w:sz w:val="21"/>
                <w:szCs w:val="21"/>
                <w:lang w:val="zh-CN"/>
              </w:rPr>
              <w:t>/</w:t>
            </w:r>
          </w:p>
        </w:tc>
      </w:tr>
    </w:tbl>
    <w:p>
      <w:pPr>
        <w:rPr>
          <w:highlight w:val="yellow"/>
        </w:rPr>
      </w:pPr>
    </w:p>
    <w:p>
      <w:pPr>
        <w:pStyle w:val="3"/>
      </w:pPr>
      <w:bookmarkStart w:id="70" w:name="_Toc113260437"/>
      <w:r>
        <w:rPr>
          <w:rFonts w:hint="eastAsia"/>
        </w:rPr>
        <w:t>环境</w:t>
      </w:r>
      <w:r>
        <w:t>风险潜势初判</w:t>
      </w:r>
      <w:bookmarkEnd w:id="70"/>
    </w:p>
    <w:p>
      <w:pPr>
        <w:pStyle w:val="49"/>
        <w:ind w:firstLine="480"/>
        <w:rPr>
          <w:rFonts w:cs="Times New Roman"/>
        </w:rPr>
      </w:pPr>
      <w:r>
        <w:rPr>
          <w:rFonts w:cs="Times New Roman"/>
        </w:rPr>
        <w:t>根据HJ169-2018附录C 计算物质总量与其临界量比值（Q）：</w:t>
      </w:r>
    </w:p>
    <w:p>
      <w:pPr>
        <w:jc w:val="center"/>
        <w:rPr>
          <w:rFonts w:cs="Times New Roman"/>
        </w:rPr>
      </w:pPr>
      <m:oMathPara>
        <m:oMath>
          <m:r>
            <m:rPr>
              <m:sty m:val="p"/>
            </m:rPr>
            <w:rPr>
              <w:rFonts w:ascii="Cambria Math" w:hAnsi="Cambria Math" w:cs="Times New Roman"/>
            </w:rPr>
            <m:t>Q=</m:t>
          </m:r>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1</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1</m:t>
                  </m:r>
                  <m:ctrlPr>
                    <w:rPr>
                      <w:rFonts w:ascii="Cambria Math" w:hAnsi="Cambria Math" w:cs="Times New Roman"/>
                      <w:i/>
                    </w:rPr>
                  </m:ctrlPr>
                </m:sub>
              </m:sSub>
              <m:ctrlPr>
                <w:rPr>
                  <w:rFonts w:ascii="Cambria Math" w:hAnsi="Cambria Math" w:cs="Times New Roman"/>
                </w:rPr>
              </m:ctrlPr>
            </m:den>
          </m:f>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2</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2</m:t>
                  </m:r>
                  <m:ctrlPr>
                    <w:rPr>
                      <w:rFonts w:ascii="Cambria Math" w:hAnsi="Cambria Math" w:cs="Times New Roman"/>
                      <w:i/>
                    </w:rPr>
                  </m:ctrlPr>
                </m:sub>
              </m:sSub>
              <m:ctrlPr>
                <w:rPr>
                  <w:rFonts w:ascii="Cambria Math" w:hAnsi="Cambria Math" w:cs="Times New Roman"/>
                </w:rPr>
              </m:ctrlPr>
            </m:den>
          </m:f>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n</m:t>
                  </m:r>
                  <m:ctrlPr>
                    <w:rPr>
                      <w:rFonts w:ascii="Cambria Math" w:hAnsi="Cambria Math" w:cs="Times New Roman"/>
                      <w:i/>
                    </w:rPr>
                  </m:ctrlPr>
                </m:sub>
              </m:sSub>
              <m:ctrlPr>
                <w:rPr>
                  <w:rFonts w:ascii="Cambria Math" w:hAnsi="Cambria Math" w:cs="Times New Roman"/>
                </w:rPr>
              </m:ctrlPr>
            </m:num>
            <m:den>
              <m:sSub>
                <m:sSubPr>
                  <m:ctrlPr>
                    <w:rPr>
                      <w:rFonts w:ascii="Cambria Math" w:hAnsi="Cambria Math" w:cs="Times New Roman"/>
                      <w:i/>
                    </w:rPr>
                  </m:ctrlPr>
                </m:sSubPr>
                <m:e>
                  <m:r>
                    <w:rPr>
                      <w:rFonts w:ascii="Cambria Math" w:hAnsi="Cambria Math" w:cs="Times New Roman"/>
                    </w:rPr>
                    <m:t>Q</m:t>
                  </m:r>
                  <m:ctrlPr>
                    <w:rPr>
                      <w:rFonts w:ascii="Cambria Math" w:hAnsi="Cambria Math" w:cs="Times New Roman"/>
                      <w:i/>
                    </w:rPr>
                  </m:ctrlPr>
                </m:e>
                <m:sub>
                  <m:r>
                    <w:rPr>
                      <w:rFonts w:ascii="Cambria Math" w:hAnsi="Cambria Math" w:cs="Times New Roman"/>
                    </w:rPr>
                    <m:t>n</m:t>
                  </m:r>
                  <m:ctrlPr>
                    <w:rPr>
                      <w:rFonts w:ascii="Cambria Math" w:hAnsi="Cambria Math" w:cs="Times New Roman"/>
                      <w:i/>
                    </w:rPr>
                  </m:ctrlPr>
                </m:sub>
              </m:sSub>
              <m:ctrlPr>
                <w:rPr>
                  <w:rFonts w:ascii="Cambria Math" w:hAnsi="Cambria Math" w:cs="Times New Roman"/>
                </w:rPr>
              </m:ctrlPr>
            </m:den>
          </m:f>
        </m:oMath>
      </m:oMathPara>
    </w:p>
    <w:p>
      <w:pPr>
        <w:pStyle w:val="49"/>
        <w:ind w:firstLine="0" w:firstLineChars="0"/>
        <w:rPr>
          <w:rFonts w:cs="Times New Roman"/>
        </w:rPr>
      </w:pPr>
      <w:r>
        <w:rPr>
          <w:rFonts w:cs="Times New Roman"/>
        </w:rPr>
        <w:t>式中：q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每种危险物质实际存在量，t；</w:t>
      </w:r>
    </w:p>
    <w:p>
      <w:pPr>
        <w:pStyle w:val="49"/>
        <w:ind w:firstLine="600" w:firstLineChars="250"/>
        <w:rPr>
          <w:rFonts w:cs="Times New Roman"/>
        </w:rPr>
      </w:pPr>
      <w:r>
        <w:rPr>
          <w:rFonts w:cs="Times New Roman"/>
        </w:rPr>
        <w:t>Q</w:t>
      </w:r>
      <w:r>
        <w:rPr>
          <w:rFonts w:cs="Times New Roman"/>
          <w:vertAlign w:val="subscript"/>
        </w:rPr>
        <w:t>1</w:t>
      </w:r>
      <w:r>
        <w:rPr>
          <w:rFonts w:cs="Times New Roman"/>
        </w:rPr>
        <w:t>、Q</w:t>
      </w:r>
      <w:r>
        <w:rPr>
          <w:rFonts w:cs="Times New Roman"/>
          <w:vertAlign w:val="subscript"/>
        </w:rPr>
        <w:t>2</w:t>
      </w:r>
      <w:r>
        <w:rPr>
          <w:rFonts w:cs="Times New Roman"/>
        </w:rPr>
        <w:t>…Q</w:t>
      </w:r>
      <w:r>
        <w:rPr>
          <w:rFonts w:cs="Times New Roman"/>
          <w:vertAlign w:val="subscript"/>
        </w:rPr>
        <w:t>n</w:t>
      </w:r>
      <w:r>
        <w:rPr>
          <w:rFonts w:cs="Times New Roman"/>
        </w:rPr>
        <w:t xml:space="preserve"> — 与各危险物质相对应的临界量，t。</w:t>
      </w:r>
    </w:p>
    <w:p>
      <w:pPr>
        <w:pStyle w:val="49"/>
        <w:ind w:firstLine="480"/>
        <w:rPr>
          <w:rFonts w:cs="Times New Roman"/>
        </w:rPr>
      </w:pPr>
      <w:r>
        <w:rPr>
          <w:rFonts w:cs="Times New Roman"/>
        </w:rPr>
        <w:t>当Q＜1，该项目环境风险潜势为</w:t>
      </w:r>
      <w:r>
        <w:rPr>
          <w:rFonts w:hint="eastAsia" w:ascii="宋体" w:hAnsi="宋体" w:cs="宋体"/>
        </w:rPr>
        <w:t>Ⅰ</w:t>
      </w:r>
      <w:r>
        <w:rPr>
          <w:rFonts w:cs="Times New Roman"/>
        </w:rPr>
        <w:t>。</w:t>
      </w:r>
    </w:p>
    <w:p>
      <w:pPr>
        <w:pStyle w:val="49"/>
        <w:ind w:firstLine="480"/>
        <w:rPr>
          <w:rFonts w:cs="Times New Roman"/>
        </w:rPr>
      </w:pPr>
      <w:r>
        <w:rPr>
          <w:rFonts w:cs="Times New Roman"/>
        </w:rPr>
        <w:t>根据《建设项目环境风险评价技术导则》（HJ 169-2018）附录B 突发环境事件风险物质及临界量表，</w:t>
      </w:r>
      <w:r>
        <w:rPr>
          <w:rFonts w:hint="eastAsia" w:cs="Times New Roman"/>
        </w:rPr>
        <w:t>确定</w:t>
      </w:r>
      <w:r>
        <w:rPr>
          <w:rFonts w:cs="Times New Roman"/>
        </w:rPr>
        <w:t>项目风险物质临界量。</w:t>
      </w:r>
    </w:p>
    <w:p>
      <w:pPr>
        <w:pStyle w:val="40"/>
        <w:ind w:firstLine="480"/>
        <w:rPr>
          <w:rFonts w:cs="Times New Roman"/>
        </w:rPr>
      </w:pPr>
      <w:r>
        <w:rPr>
          <w:rFonts w:cs="Times New Roman"/>
        </w:rPr>
        <w:t>本项目危险物质数量与临界量比值（Q）计算结果见</w:t>
      </w:r>
      <w:r>
        <w:rPr>
          <w:rFonts w:cs="Times New Roman"/>
        </w:rPr>
        <w:fldChar w:fldCharType="begin"/>
      </w:r>
      <w:r>
        <w:rPr>
          <w:rFonts w:cs="Times New Roman"/>
        </w:rPr>
        <w:instrText xml:space="preserve"> REF _Ref25758322 \h  \* MERGEFORMAT </w:instrText>
      </w:r>
      <w:r>
        <w:rPr>
          <w:rFonts w:cs="Times New Roman"/>
        </w:rPr>
        <w:fldChar w:fldCharType="separate"/>
      </w:r>
      <w:r>
        <w:rPr>
          <w:rFonts w:cs="Times New Roman"/>
        </w:rPr>
        <w:t>表7.3</w:t>
      </w:r>
      <w:r>
        <w:rPr>
          <w:rFonts w:cs="Times New Roman"/>
        </w:rPr>
        <w:noBreakHyphen/>
      </w:r>
      <w:r>
        <w:rPr>
          <w:rFonts w:cs="Times New Roman"/>
        </w:rPr>
        <w:t>1</w:t>
      </w:r>
      <w:r>
        <w:rPr>
          <w:rFonts w:cs="Times New Roman"/>
        </w:rPr>
        <w:fldChar w:fldCharType="end"/>
      </w:r>
      <w:r>
        <w:rPr>
          <w:rFonts w:cs="Times New Roman"/>
        </w:rPr>
        <w:t>。</w:t>
      </w:r>
    </w:p>
    <w:p>
      <w:pPr>
        <w:pStyle w:val="22"/>
      </w:pPr>
      <w:bookmarkStart w:id="71" w:name="_Ref25758322"/>
      <w:r>
        <w:t>表</w:t>
      </w:r>
      <w:r>
        <w:fldChar w:fldCharType="begin"/>
      </w:r>
      <w:r>
        <w:instrText xml:space="preserve"> STYLEREF 2 \s </w:instrText>
      </w:r>
      <w:r>
        <w:fldChar w:fldCharType="separate"/>
      </w:r>
      <w:r>
        <w:t>7.3</w:t>
      </w:r>
      <w:r>
        <w:fldChar w:fldCharType="end"/>
      </w:r>
      <w:r>
        <w:noBreakHyphen/>
      </w:r>
      <w:r>
        <w:fldChar w:fldCharType="begin"/>
      </w:r>
      <w:r>
        <w:instrText xml:space="preserve"> SEQ 表 \* ARABIC \s 2 </w:instrText>
      </w:r>
      <w:r>
        <w:fldChar w:fldCharType="separate"/>
      </w:r>
      <w:r>
        <w:t>1</w:t>
      </w:r>
      <w:r>
        <w:fldChar w:fldCharType="end"/>
      </w:r>
      <w:bookmarkEnd w:id="71"/>
      <w:r>
        <w:t xml:space="preserve">  项目Q值确定表</w:t>
      </w:r>
    </w:p>
    <w:tbl>
      <w:tblPr>
        <w:tblStyle w:val="67"/>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667"/>
        <w:gridCol w:w="1668"/>
        <w:gridCol w:w="1666"/>
        <w:gridCol w:w="1370"/>
        <w:gridCol w:w="1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序号</w:t>
            </w:r>
          </w:p>
        </w:tc>
        <w:tc>
          <w:tcPr>
            <w:tcW w:w="1667"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危险物质名称</w:t>
            </w:r>
          </w:p>
        </w:tc>
        <w:tc>
          <w:tcPr>
            <w:tcW w:w="166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CAS号</w:t>
            </w:r>
          </w:p>
        </w:tc>
        <w:tc>
          <w:tcPr>
            <w:tcW w:w="1666"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最大存在总量（t）</w:t>
            </w:r>
          </w:p>
        </w:tc>
        <w:tc>
          <w:tcPr>
            <w:tcW w:w="137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临界量（t）</w:t>
            </w:r>
          </w:p>
        </w:tc>
        <w:tc>
          <w:tcPr>
            <w:tcW w:w="175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该种物质Q值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1</w:t>
            </w:r>
          </w:p>
        </w:tc>
        <w:tc>
          <w:tcPr>
            <w:tcW w:w="1667" w:type="dxa"/>
          </w:tcPr>
          <w:p>
            <w:pPr>
              <w:pStyle w:val="47"/>
            </w:pPr>
            <w:r>
              <w:rPr>
                <w:rFonts w:hint="eastAsia"/>
              </w:rPr>
              <w:t>次氯酸钠</w:t>
            </w:r>
          </w:p>
        </w:tc>
        <w:tc>
          <w:tcPr>
            <w:tcW w:w="166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76</w:t>
            </w:r>
            <w:r>
              <w:rPr>
                <w:rFonts w:ascii="Times New Roman" w:hAnsi="Times New Roman" w:eastAsia="宋体" w:cs="Times New Roman"/>
                <w:kern w:val="0"/>
                <w:szCs w:val="20"/>
              </w:rPr>
              <w:t>81-25-9</w:t>
            </w:r>
          </w:p>
        </w:tc>
        <w:tc>
          <w:tcPr>
            <w:tcW w:w="1666" w:type="dxa"/>
          </w:tcPr>
          <w:p>
            <w:pPr>
              <w:pStyle w:val="47"/>
            </w:pPr>
            <w:r>
              <w:t>0.1</w:t>
            </w:r>
          </w:p>
        </w:tc>
        <w:tc>
          <w:tcPr>
            <w:tcW w:w="137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5</w:t>
            </w:r>
          </w:p>
        </w:tc>
        <w:tc>
          <w:tcPr>
            <w:tcW w:w="1751" w:type="dxa"/>
            <w:vAlign w:val="bottom"/>
          </w:tcPr>
          <w:p>
            <w:pPr>
              <w:widowControl/>
              <w:jc w:val="center"/>
              <w:rPr>
                <w:rFonts w:ascii="Times New Roman" w:hAnsi="Times New Roman" w:cs="Times New Roman"/>
                <w:color w:val="000000"/>
                <w:szCs w:val="21"/>
              </w:rPr>
            </w:pPr>
            <w:r>
              <w:rPr>
                <w:rFonts w:ascii="Times New Roman" w:hAnsi="Times New Roman" w:cs="Times New Roman"/>
                <w:color w:val="000000"/>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119" w:type="dxa"/>
            <w:gridSpan w:val="5"/>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项目Q值∑</w:t>
            </w:r>
          </w:p>
        </w:tc>
        <w:tc>
          <w:tcPr>
            <w:tcW w:w="1751"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0.02</w:t>
            </w:r>
          </w:p>
        </w:tc>
      </w:tr>
    </w:tbl>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REF _Ref25758322 \h  \* MERGEFORMAT </w:instrText>
      </w:r>
      <w:r>
        <w:rPr>
          <w:rFonts w:ascii="Times New Roman" w:hAnsi="Times New Roman" w:eastAsia="宋体" w:cs="Times New Roman"/>
          <w:sz w:val="24"/>
        </w:rPr>
        <w:fldChar w:fldCharType="separate"/>
      </w:r>
      <w:r>
        <w:rPr>
          <w:rFonts w:ascii="Times New Roman" w:hAnsi="Times New Roman" w:eastAsia="宋体" w:cs="Times New Roman"/>
          <w:sz w:val="24"/>
        </w:rPr>
        <w:t>表7.3</w:t>
      </w:r>
      <w:r>
        <w:rPr>
          <w:rFonts w:ascii="Times New Roman" w:hAnsi="Times New Roman" w:eastAsia="宋体" w:cs="Times New Roman"/>
          <w:sz w:val="24"/>
        </w:rPr>
        <w:noBreakHyphen/>
      </w:r>
      <w:r>
        <w:rPr>
          <w:rFonts w:ascii="Times New Roman" w:hAnsi="Times New Roman" w:eastAsia="宋体" w:cs="Times New Roman"/>
          <w:sz w:val="24"/>
        </w:rPr>
        <w:t>1</w:t>
      </w:r>
      <w:r>
        <w:rPr>
          <w:rFonts w:ascii="Times New Roman" w:hAnsi="Times New Roman" w:eastAsia="宋体" w:cs="Times New Roman"/>
          <w:sz w:val="24"/>
        </w:rPr>
        <w:fldChar w:fldCharType="end"/>
      </w:r>
      <w:r>
        <w:rPr>
          <w:rFonts w:ascii="Times New Roman" w:hAnsi="Times New Roman" w:eastAsia="宋体" w:cs="Times New Roman"/>
          <w:sz w:val="24"/>
        </w:rPr>
        <w:t>可知项目Q值=0.02＜1，该项目环境风险潜势为</w:t>
      </w:r>
      <w:r>
        <w:rPr>
          <w:rFonts w:hint="eastAsia" w:ascii="宋体" w:hAnsi="宋体" w:eastAsia="宋体" w:cs="宋体"/>
          <w:sz w:val="24"/>
        </w:rPr>
        <w:t>Ⅰ</w:t>
      </w:r>
      <w:r>
        <w:rPr>
          <w:rFonts w:ascii="Times New Roman" w:hAnsi="Times New Roman" w:eastAsia="宋体" w:cs="Times New Roman"/>
          <w:sz w:val="24"/>
        </w:rPr>
        <w:t>。</w:t>
      </w:r>
    </w:p>
    <w:p>
      <w:pPr>
        <w:pStyle w:val="3"/>
      </w:pPr>
      <w:bookmarkStart w:id="72" w:name="_Toc113260438"/>
      <w:r>
        <w:rPr>
          <w:rFonts w:hint="eastAsia"/>
        </w:rPr>
        <w:t>环境</w:t>
      </w:r>
      <w:r>
        <w:t>风险评价</w:t>
      </w:r>
      <w:r>
        <w:rPr>
          <w:rFonts w:hint="eastAsia"/>
        </w:rPr>
        <w:t>等级</w:t>
      </w:r>
      <w:bookmarkEnd w:id="72"/>
    </w:p>
    <w:p>
      <w:pPr>
        <w:pStyle w:val="40"/>
        <w:ind w:firstLine="480"/>
      </w:pPr>
      <w:r>
        <w:t>按照《建设项目环境风险评价技术导则》（HJ 169-2018）中评价工作等级划分（</w:t>
      </w:r>
      <w:r>
        <w:fldChar w:fldCharType="begin"/>
      </w:r>
      <w:r>
        <w:instrText xml:space="preserve"> REF _Ref25759117 \h  \* MERGEFORMAT </w:instrText>
      </w:r>
      <w:r>
        <w:fldChar w:fldCharType="separate"/>
      </w:r>
      <w:r>
        <w:t>表7.4</w:t>
      </w:r>
      <w:r>
        <w:noBreakHyphen/>
      </w:r>
      <w:r>
        <w:t>1</w:t>
      </w:r>
      <w:r>
        <w:fldChar w:fldCharType="end"/>
      </w:r>
      <w:r>
        <w:t>），确定本项目环境风险评价等级。</w:t>
      </w:r>
    </w:p>
    <w:p>
      <w:pPr>
        <w:pStyle w:val="22"/>
        <w:rPr>
          <w:sz w:val="20"/>
          <w:szCs w:val="20"/>
        </w:rPr>
      </w:pPr>
      <w:bookmarkStart w:id="73" w:name="_Ref25759117"/>
      <w:r>
        <w:t>表</w:t>
      </w:r>
      <w:r>
        <w:fldChar w:fldCharType="begin"/>
      </w:r>
      <w:r>
        <w:instrText xml:space="preserve"> STYLEREF 2 \s </w:instrText>
      </w:r>
      <w:r>
        <w:fldChar w:fldCharType="separate"/>
      </w:r>
      <w:r>
        <w:t>7.4</w:t>
      </w:r>
      <w:r>
        <w:fldChar w:fldCharType="end"/>
      </w:r>
      <w:r>
        <w:noBreakHyphen/>
      </w:r>
      <w:r>
        <w:fldChar w:fldCharType="begin"/>
      </w:r>
      <w:r>
        <w:instrText xml:space="preserve"> SEQ 表 \* ARABIC \s 2 </w:instrText>
      </w:r>
      <w:r>
        <w:fldChar w:fldCharType="separate"/>
      </w:r>
      <w:r>
        <w:t>1</w:t>
      </w:r>
      <w:r>
        <w:fldChar w:fldCharType="end"/>
      </w:r>
      <w:bookmarkEnd w:id="73"/>
      <w:r>
        <w:t xml:space="preserve">  评价工作等级划分</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74"/>
        <w:gridCol w:w="1717"/>
        <w:gridCol w:w="1648"/>
        <w:gridCol w:w="1579"/>
        <w:gridCol w:w="16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74" w:type="dxa"/>
            <w:shd w:val="clear" w:color="auto" w:fill="auto"/>
            <w:vAlign w:val="center"/>
          </w:tcPr>
          <w:p>
            <w:pPr>
              <w:pStyle w:val="47"/>
            </w:pPr>
            <w:r>
              <w:t>环境风险潜势</w:t>
            </w:r>
          </w:p>
        </w:tc>
        <w:tc>
          <w:tcPr>
            <w:tcW w:w="1717" w:type="dxa"/>
            <w:shd w:val="clear" w:color="auto" w:fill="auto"/>
            <w:vAlign w:val="center"/>
          </w:tcPr>
          <w:p>
            <w:pPr>
              <w:pStyle w:val="47"/>
            </w:pPr>
            <w:r>
              <w:rPr>
                <w:rFonts w:hint="eastAsia"/>
              </w:rPr>
              <w:t>Ⅳ</w:t>
            </w:r>
            <w:r>
              <w:t>、</w:t>
            </w:r>
            <w:r>
              <w:rPr>
                <w:rFonts w:hint="eastAsia"/>
              </w:rPr>
              <w:t>Ⅳ</w:t>
            </w:r>
            <w:r>
              <w:t>+</w:t>
            </w:r>
          </w:p>
        </w:tc>
        <w:tc>
          <w:tcPr>
            <w:tcW w:w="1648" w:type="dxa"/>
            <w:shd w:val="clear" w:color="auto" w:fill="auto"/>
            <w:vAlign w:val="center"/>
          </w:tcPr>
          <w:p>
            <w:pPr>
              <w:pStyle w:val="47"/>
            </w:pPr>
            <w:r>
              <w:rPr>
                <w:rFonts w:hint="eastAsia"/>
              </w:rPr>
              <w:t>Ⅲ</w:t>
            </w:r>
          </w:p>
        </w:tc>
        <w:tc>
          <w:tcPr>
            <w:tcW w:w="1579" w:type="dxa"/>
            <w:shd w:val="clear" w:color="auto" w:fill="auto"/>
            <w:vAlign w:val="center"/>
          </w:tcPr>
          <w:p>
            <w:pPr>
              <w:pStyle w:val="47"/>
            </w:pPr>
            <w:r>
              <w:rPr>
                <w:rFonts w:hint="eastAsia"/>
              </w:rPr>
              <w:t>Ⅱ</w:t>
            </w:r>
          </w:p>
        </w:tc>
        <w:tc>
          <w:tcPr>
            <w:tcW w:w="1652" w:type="dxa"/>
            <w:shd w:val="clear" w:color="auto" w:fill="auto"/>
            <w:vAlign w:val="center"/>
          </w:tcPr>
          <w:p>
            <w:pPr>
              <w:pStyle w:val="47"/>
            </w:pPr>
            <w:r>
              <w:rPr>
                <w:rFonts w:hint="eastAsia"/>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2274" w:type="dxa"/>
            <w:shd w:val="clear" w:color="auto" w:fill="auto"/>
            <w:vAlign w:val="center"/>
          </w:tcPr>
          <w:p>
            <w:pPr>
              <w:pStyle w:val="47"/>
            </w:pPr>
            <w:r>
              <w:t>评价工作等级</w:t>
            </w:r>
          </w:p>
        </w:tc>
        <w:tc>
          <w:tcPr>
            <w:tcW w:w="1717" w:type="dxa"/>
            <w:shd w:val="clear" w:color="auto" w:fill="auto"/>
            <w:vAlign w:val="center"/>
          </w:tcPr>
          <w:p>
            <w:pPr>
              <w:pStyle w:val="47"/>
            </w:pPr>
            <w:r>
              <w:t>一级</w:t>
            </w:r>
          </w:p>
        </w:tc>
        <w:tc>
          <w:tcPr>
            <w:tcW w:w="1648" w:type="dxa"/>
            <w:shd w:val="clear" w:color="auto" w:fill="auto"/>
            <w:vAlign w:val="center"/>
          </w:tcPr>
          <w:p>
            <w:pPr>
              <w:pStyle w:val="47"/>
            </w:pPr>
            <w:r>
              <w:t>二级</w:t>
            </w:r>
          </w:p>
        </w:tc>
        <w:tc>
          <w:tcPr>
            <w:tcW w:w="1579" w:type="dxa"/>
            <w:shd w:val="clear" w:color="auto" w:fill="auto"/>
            <w:vAlign w:val="center"/>
          </w:tcPr>
          <w:p>
            <w:pPr>
              <w:pStyle w:val="47"/>
            </w:pPr>
            <w:r>
              <w:t>三级</w:t>
            </w:r>
          </w:p>
        </w:tc>
        <w:tc>
          <w:tcPr>
            <w:tcW w:w="1652" w:type="dxa"/>
            <w:shd w:val="clear" w:color="auto" w:fill="auto"/>
            <w:vAlign w:val="center"/>
          </w:tcPr>
          <w:p>
            <w:pPr>
              <w:pStyle w:val="47"/>
            </w:pPr>
            <w:r>
              <w:t>简单分析a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870" w:type="dxa"/>
            <w:gridSpan w:val="5"/>
            <w:shd w:val="clear" w:color="auto" w:fill="auto"/>
            <w:vAlign w:val="center"/>
          </w:tcPr>
          <w:p>
            <w:pPr>
              <w:pStyle w:val="47"/>
            </w:pPr>
            <w:r>
              <w:t>a 是相对于详细评价工作内容而言，在描述危险物质、环境影响途径、环境危害后果、风险防范措施等方面给出定性的说明。见导则附录A。</w:t>
            </w:r>
          </w:p>
        </w:tc>
      </w:tr>
    </w:tbl>
    <w:p>
      <w:pPr>
        <w:pStyle w:val="40"/>
        <w:ind w:firstLine="480"/>
      </w:pPr>
      <w:r>
        <w:t>项目环境风险潜势为</w:t>
      </w:r>
      <w:r>
        <w:rPr>
          <w:rFonts w:hint="eastAsia" w:ascii="宋体" w:hAnsi="宋体"/>
        </w:rPr>
        <w:t>Ⅰ</w:t>
      </w:r>
      <w:r>
        <w:t>类，因此，本项目环境风险评价等级为简单分析。按照附录A要求进行环境风险识别、环境风险分析、环境风险防范措施及应急要求。</w:t>
      </w:r>
    </w:p>
    <w:p>
      <w:pPr>
        <w:pStyle w:val="3"/>
      </w:pPr>
      <w:bookmarkStart w:id="74" w:name="_Toc113260439"/>
      <w:r>
        <w:rPr>
          <w:rFonts w:hint="eastAsia"/>
        </w:rPr>
        <w:t>风险</w:t>
      </w:r>
      <w:r>
        <w:t>识别</w:t>
      </w:r>
      <w:bookmarkEnd w:id="74"/>
    </w:p>
    <w:p>
      <w:pPr>
        <w:pStyle w:val="4"/>
      </w:pPr>
      <w:r>
        <w:rPr>
          <w:rFonts w:hint="eastAsia"/>
        </w:rPr>
        <w:t>物质</w:t>
      </w:r>
      <w:r>
        <w:t>危险性识别</w:t>
      </w:r>
    </w:p>
    <w:p>
      <w:pPr>
        <w:pStyle w:val="40"/>
        <w:ind w:firstLine="480"/>
      </w:pPr>
      <w:r>
        <w:rPr>
          <w:rFonts w:hint="eastAsia"/>
        </w:rPr>
        <w:t>物质危险性识别的范围包括原辅材料、燃料、中间产品、副产品、最终产品、污染物、火灾和爆炸伴生</w:t>
      </w:r>
      <w:r>
        <w:rPr>
          <w:rFonts w:ascii="TimesNewRomanPSMT" w:eastAsia="TimesNewRomanPSMT" w:cs="TimesNewRomanPSMT"/>
        </w:rPr>
        <w:t>/</w:t>
      </w:r>
      <w:r>
        <w:rPr>
          <w:rFonts w:hint="eastAsia"/>
        </w:rPr>
        <w:t>次生物等。</w:t>
      </w:r>
    </w:p>
    <w:p>
      <w:pPr>
        <w:pStyle w:val="40"/>
        <w:ind w:firstLine="480"/>
      </w:pPr>
      <w:r>
        <w:rPr>
          <w:rFonts w:hint="eastAsia"/>
        </w:rPr>
        <w:t>项目</w:t>
      </w:r>
      <w:r>
        <w:t>涉及的</w:t>
      </w:r>
      <w:r>
        <w:rPr>
          <w:rFonts w:hint="eastAsia"/>
        </w:rPr>
        <w:t>风险</w:t>
      </w:r>
      <w:r>
        <w:t>物质主要为</w:t>
      </w:r>
      <w:r>
        <w:rPr>
          <w:rFonts w:hint="eastAsia"/>
        </w:rPr>
        <w:t>次氯酸钠，根据《危险化学品目录》</w:t>
      </w:r>
      <w:r>
        <w:t xml:space="preserve">(2018 </w:t>
      </w:r>
      <w:r>
        <w:rPr>
          <w:rFonts w:hint="eastAsia"/>
        </w:rPr>
        <w:t>版</w:t>
      </w:r>
      <w:r>
        <w:t>)</w:t>
      </w:r>
      <w:r>
        <w:rPr>
          <w:rFonts w:hint="eastAsia"/>
        </w:rPr>
        <w:t>、《危险货物品名表》（</w:t>
      </w:r>
      <w:r>
        <w:t>GB12268-2012</w:t>
      </w:r>
      <w:r>
        <w:rPr>
          <w:rFonts w:hint="eastAsia"/>
        </w:rPr>
        <w:t>）、《建设项目环境风险评价技术导则》（</w:t>
      </w:r>
      <w:r>
        <w:t>HJ 169-2018</w:t>
      </w:r>
      <w:r>
        <w:rPr>
          <w:rFonts w:hint="eastAsia"/>
        </w:rPr>
        <w:t>）附录</w:t>
      </w:r>
      <w:r>
        <w:t xml:space="preserve">B </w:t>
      </w:r>
      <w:r>
        <w:rPr>
          <w:rFonts w:hint="eastAsia"/>
        </w:rPr>
        <w:t>等对本项目主要物料的毒性及其风险危害特性进行识别，详见表</w:t>
      </w:r>
      <w:r>
        <w:t>7.5-1</w:t>
      </w:r>
      <w:r>
        <w:rPr>
          <w:rFonts w:hint="eastAsia"/>
        </w:rPr>
        <w:t>。</w:t>
      </w:r>
    </w:p>
    <w:p>
      <w:pPr>
        <w:pStyle w:val="22"/>
      </w:pPr>
      <w:r>
        <w:rPr>
          <w:rFonts w:hint="eastAsia"/>
        </w:rPr>
        <w:t>表7.5-1  物质</w:t>
      </w:r>
      <w:r>
        <w:t>危险性识别</w:t>
      </w:r>
    </w:p>
    <w:tbl>
      <w:tblPr>
        <w:tblStyle w:val="2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557"/>
        <w:gridCol w:w="2404"/>
        <w:gridCol w:w="2140"/>
        <w:gridCol w:w="17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86" w:type="dxa"/>
            <w:vAlign w:val="center"/>
          </w:tcPr>
          <w:p>
            <w:pPr>
              <w:pStyle w:val="47"/>
            </w:pPr>
            <w:r>
              <w:rPr>
                <w:rFonts w:hint="eastAsia"/>
              </w:rPr>
              <w:t>序号</w:t>
            </w:r>
          </w:p>
        </w:tc>
        <w:tc>
          <w:tcPr>
            <w:tcW w:w="1557" w:type="dxa"/>
            <w:vAlign w:val="center"/>
          </w:tcPr>
          <w:p>
            <w:pPr>
              <w:pStyle w:val="47"/>
            </w:pPr>
            <w:r>
              <w:rPr>
                <w:rFonts w:hint="eastAsia"/>
              </w:rPr>
              <w:t>名称</w:t>
            </w:r>
          </w:p>
        </w:tc>
        <w:tc>
          <w:tcPr>
            <w:tcW w:w="2404" w:type="dxa"/>
            <w:vAlign w:val="center"/>
          </w:tcPr>
          <w:p>
            <w:pPr>
              <w:pStyle w:val="47"/>
            </w:pPr>
            <w:r>
              <w:rPr>
                <w:rFonts w:hint="eastAsia"/>
              </w:rPr>
              <w:t>有害</w:t>
            </w:r>
            <w:r>
              <w:t>危害程度</w:t>
            </w:r>
          </w:p>
        </w:tc>
        <w:tc>
          <w:tcPr>
            <w:tcW w:w="2140" w:type="dxa"/>
            <w:vAlign w:val="center"/>
          </w:tcPr>
          <w:p>
            <w:pPr>
              <w:pStyle w:val="47"/>
            </w:pPr>
            <w:r>
              <w:rPr>
                <w:rFonts w:hint="eastAsia"/>
              </w:rPr>
              <w:t>危险</w:t>
            </w:r>
            <w:r>
              <w:t>性类别</w:t>
            </w:r>
          </w:p>
        </w:tc>
        <w:tc>
          <w:tcPr>
            <w:tcW w:w="1772" w:type="dxa"/>
            <w:vAlign w:val="center"/>
          </w:tcPr>
          <w:p>
            <w:pPr>
              <w:pStyle w:val="47"/>
            </w:pPr>
            <w:r>
              <w:rPr>
                <w:rFonts w:hint="eastAsia"/>
              </w:rPr>
              <w:t>《危险</w:t>
            </w:r>
            <w:r>
              <w:t>化学品</w:t>
            </w:r>
            <w:r>
              <w:rPr>
                <w:rFonts w:hint="eastAsia"/>
              </w:rPr>
              <w:t>目录》</w:t>
            </w:r>
            <w:r>
              <w:t>序号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986" w:type="dxa"/>
            <w:vAlign w:val="center"/>
          </w:tcPr>
          <w:p>
            <w:pPr>
              <w:pStyle w:val="47"/>
            </w:pPr>
            <w:r>
              <w:rPr>
                <w:rFonts w:hint="eastAsia"/>
              </w:rPr>
              <w:t>1</w:t>
            </w:r>
          </w:p>
        </w:tc>
        <w:tc>
          <w:tcPr>
            <w:tcW w:w="1557" w:type="dxa"/>
            <w:vAlign w:val="center"/>
          </w:tcPr>
          <w:p>
            <w:pPr>
              <w:pStyle w:val="47"/>
            </w:pPr>
            <w:r>
              <w:rPr>
                <w:rFonts w:hint="eastAsia"/>
              </w:rPr>
              <w:t>次氯酸钠</w:t>
            </w:r>
          </w:p>
        </w:tc>
        <w:tc>
          <w:tcPr>
            <w:tcW w:w="2404" w:type="dxa"/>
            <w:vAlign w:val="center"/>
          </w:tcPr>
          <w:p>
            <w:pPr>
              <w:pStyle w:val="47"/>
            </w:pPr>
            <w:r>
              <w:rPr>
                <w:rFonts w:hint="eastAsia"/>
              </w:rPr>
              <w:t>轻度</w:t>
            </w:r>
            <w:r>
              <w:t>危险</w:t>
            </w:r>
          </w:p>
        </w:tc>
        <w:tc>
          <w:tcPr>
            <w:tcW w:w="2140" w:type="dxa"/>
            <w:vAlign w:val="center"/>
          </w:tcPr>
          <w:p>
            <w:pPr>
              <w:pStyle w:val="47"/>
            </w:pPr>
            <w:r>
              <w:t>腐蚀品</w:t>
            </w:r>
          </w:p>
        </w:tc>
        <w:tc>
          <w:tcPr>
            <w:tcW w:w="1772" w:type="dxa"/>
            <w:vAlign w:val="center"/>
          </w:tcPr>
          <w:p>
            <w:pPr>
              <w:pStyle w:val="47"/>
            </w:pPr>
            <w:r>
              <w:t>166</w:t>
            </w:r>
          </w:p>
        </w:tc>
      </w:tr>
    </w:tbl>
    <w:p>
      <w:pPr>
        <w:pStyle w:val="4"/>
      </w:pPr>
      <w:r>
        <w:rPr>
          <w:rFonts w:hint="eastAsia"/>
        </w:rPr>
        <w:t>生产</w:t>
      </w:r>
      <w:r>
        <w:t>系统危险性识别</w:t>
      </w:r>
    </w:p>
    <w:p>
      <w:pPr>
        <w:pStyle w:val="40"/>
        <w:ind w:firstLine="480"/>
      </w:pPr>
      <w:r>
        <w:rPr>
          <w:rFonts w:hint="eastAsia"/>
        </w:rPr>
        <w:t>（1）识别</w:t>
      </w:r>
      <w:r>
        <w:t>内容</w:t>
      </w:r>
    </w:p>
    <w:p>
      <w:pPr>
        <w:pStyle w:val="40"/>
        <w:ind w:firstLine="480"/>
      </w:pPr>
      <w:r>
        <w:rPr>
          <w:rFonts w:hint="eastAsia"/>
        </w:rPr>
        <w:t>生产系统危险性识别包括生产装置、储运装置、公用工程和辅助生产设施，以及环境保护设施等。</w:t>
      </w:r>
    </w:p>
    <w:p>
      <w:pPr>
        <w:pStyle w:val="40"/>
        <w:ind w:firstLine="480"/>
      </w:pPr>
      <w:r>
        <w:rPr>
          <w:rFonts w:hint="eastAsia"/>
        </w:rPr>
        <w:t>（2）危险</w:t>
      </w:r>
      <w:r>
        <w:t>单元划分</w:t>
      </w:r>
      <w:r>
        <w:rPr>
          <w:rFonts w:hint="eastAsia"/>
        </w:rPr>
        <w:t>及</w:t>
      </w:r>
      <w:r>
        <w:t>潜在</w:t>
      </w:r>
      <w:r>
        <w:rPr>
          <w:rFonts w:hint="eastAsia"/>
        </w:rPr>
        <w:t>风险</w:t>
      </w:r>
      <w:r>
        <w:t>源</w:t>
      </w:r>
    </w:p>
    <w:p>
      <w:pPr>
        <w:pStyle w:val="40"/>
        <w:ind w:firstLine="480"/>
      </w:pPr>
      <w:r>
        <w:rPr>
          <w:rFonts w:hint="eastAsia"/>
        </w:rPr>
        <w:t>根据项目工艺流程和平面布置，结合项目物质危险性识别结果，本项目危险单元划分结果见表</w:t>
      </w:r>
      <w:r>
        <w:t>7.5-2</w:t>
      </w:r>
      <w:r>
        <w:rPr>
          <w:rFonts w:hint="eastAsia"/>
        </w:rPr>
        <w:t>。</w:t>
      </w:r>
    </w:p>
    <w:p>
      <w:pPr>
        <w:pStyle w:val="22"/>
      </w:pPr>
      <w:r>
        <w:rPr>
          <w:rFonts w:hint="eastAsia"/>
        </w:rPr>
        <w:t>表7.5-2  危险</w:t>
      </w:r>
      <w:r>
        <w:t>单元划分结果及潜在风险源一览表</w:t>
      </w:r>
    </w:p>
    <w:tbl>
      <w:tblPr>
        <w:tblStyle w:val="26"/>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490"/>
        <w:gridCol w:w="3330"/>
        <w:gridCol w:w="33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pStyle w:val="47"/>
            </w:pPr>
            <w:r>
              <w:rPr>
                <w:rFonts w:hint="eastAsia"/>
              </w:rPr>
              <w:t>序号</w:t>
            </w:r>
          </w:p>
        </w:tc>
        <w:tc>
          <w:tcPr>
            <w:tcW w:w="1490" w:type="dxa"/>
            <w:vAlign w:val="center"/>
          </w:tcPr>
          <w:p>
            <w:pPr>
              <w:pStyle w:val="47"/>
            </w:pPr>
            <w:r>
              <w:rPr>
                <w:rFonts w:hint="eastAsia"/>
              </w:rPr>
              <w:t>危险</w:t>
            </w:r>
            <w:r>
              <w:t>单元</w:t>
            </w:r>
          </w:p>
        </w:tc>
        <w:tc>
          <w:tcPr>
            <w:tcW w:w="3330" w:type="dxa"/>
            <w:vAlign w:val="center"/>
          </w:tcPr>
          <w:p>
            <w:pPr>
              <w:pStyle w:val="47"/>
            </w:pPr>
            <w:r>
              <w:rPr>
                <w:rFonts w:hint="eastAsia"/>
              </w:rPr>
              <w:t>潜在</w:t>
            </w:r>
            <w:r>
              <w:t>的风险源</w:t>
            </w:r>
          </w:p>
        </w:tc>
        <w:tc>
          <w:tcPr>
            <w:tcW w:w="3328" w:type="dxa"/>
            <w:vAlign w:val="center"/>
          </w:tcPr>
          <w:p>
            <w:pPr>
              <w:pStyle w:val="47"/>
            </w:pPr>
            <w:r>
              <w:rPr>
                <w:rFonts w:hint="eastAsia"/>
              </w:rPr>
              <w:t>主要</w:t>
            </w:r>
            <w:r>
              <w:t>危险物质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pStyle w:val="47"/>
            </w:pPr>
            <w:r>
              <w:rPr>
                <w:rFonts w:hint="eastAsia"/>
              </w:rPr>
              <w:t>1</w:t>
            </w:r>
          </w:p>
        </w:tc>
        <w:tc>
          <w:tcPr>
            <w:tcW w:w="1490" w:type="dxa"/>
            <w:vAlign w:val="center"/>
          </w:tcPr>
          <w:p>
            <w:pPr>
              <w:pStyle w:val="47"/>
            </w:pPr>
            <w:r>
              <w:rPr>
                <w:rFonts w:hint="eastAsia"/>
              </w:rPr>
              <w:t>污水</w:t>
            </w:r>
            <w:r>
              <w:t>处理站</w:t>
            </w:r>
          </w:p>
        </w:tc>
        <w:tc>
          <w:tcPr>
            <w:tcW w:w="3330" w:type="dxa"/>
            <w:vAlign w:val="center"/>
          </w:tcPr>
          <w:p>
            <w:pPr>
              <w:pStyle w:val="47"/>
            </w:pPr>
            <w:r>
              <w:rPr>
                <w:rFonts w:hint="eastAsia"/>
              </w:rPr>
              <w:t>消毒剂</w:t>
            </w:r>
          </w:p>
        </w:tc>
        <w:tc>
          <w:tcPr>
            <w:tcW w:w="3328" w:type="dxa"/>
            <w:vAlign w:val="center"/>
          </w:tcPr>
          <w:p>
            <w:pPr>
              <w:pStyle w:val="47"/>
            </w:pPr>
            <w:r>
              <w:rPr>
                <w:rFonts w:hint="eastAsia"/>
              </w:rPr>
              <w:t>次氯酸钠</w:t>
            </w:r>
          </w:p>
        </w:tc>
      </w:tr>
    </w:tbl>
    <w:p>
      <w:pPr>
        <w:pStyle w:val="40"/>
        <w:ind w:firstLine="480"/>
      </w:pPr>
      <w:r>
        <w:rPr>
          <w:rFonts w:hint="eastAsia"/>
        </w:rPr>
        <w:t>（3）项目</w:t>
      </w:r>
      <w:r>
        <w:t>危险单元风险源危险性分析</w:t>
      </w:r>
    </w:p>
    <w:p>
      <w:pPr>
        <w:pStyle w:val="40"/>
        <w:ind w:firstLine="480"/>
      </w:pPr>
      <w:r>
        <w:rPr>
          <w:rFonts w:hint="eastAsia"/>
        </w:rPr>
        <w:t>项目危险单元风险源的危险性、存在条件和转化为事故的触发因素详见下表。</w:t>
      </w:r>
    </w:p>
    <w:p>
      <w:pPr>
        <w:pStyle w:val="22"/>
      </w:pPr>
      <w:r>
        <w:rPr>
          <w:highlight w:val="yellow"/>
        </w:rPr>
        <w:br w:type="column"/>
      </w:r>
      <w:r>
        <w:rPr>
          <w:rFonts w:hint="eastAsia"/>
        </w:rPr>
        <w:t>表7.5-3</w:t>
      </w:r>
      <w:r>
        <w:t xml:space="preserve">  </w:t>
      </w:r>
      <w:r>
        <w:rPr>
          <w:rFonts w:hint="eastAsia"/>
        </w:rPr>
        <w:t>项目</w:t>
      </w:r>
      <w:r>
        <w:t>风险源的危险性、存在</w:t>
      </w:r>
      <w:r>
        <w:rPr>
          <w:rFonts w:hint="eastAsia"/>
        </w:rPr>
        <w:t>条件</w:t>
      </w:r>
      <w:r>
        <w:t>和转化为事故的</w:t>
      </w:r>
      <w:r>
        <w:rPr>
          <w:rFonts w:hint="eastAsia"/>
        </w:rPr>
        <w:t>触发</w:t>
      </w:r>
      <w:r>
        <w:t>因素</w:t>
      </w:r>
    </w:p>
    <w:tbl>
      <w:tblPr>
        <w:tblStyle w:val="2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07"/>
        <w:gridCol w:w="2601"/>
        <w:gridCol w:w="1680"/>
        <w:gridCol w:w="1417"/>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pStyle w:val="47"/>
            </w:pPr>
            <w:r>
              <w:rPr>
                <w:rFonts w:hint="eastAsia"/>
              </w:rPr>
              <w:t>序号</w:t>
            </w:r>
          </w:p>
        </w:tc>
        <w:tc>
          <w:tcPr>
            <w:tcW w:w="1107" w:type="dxa"/>
            <w:vAlign w:val="center"/>
          </w:tcPr>
          <w:p>
            <w:pPr>
              <w:pStyle w:val="47"/>
            </w:pPr>
            <w:r>
              <w:rPr>
                <w:rFonts w:hint="eastAsia"/>
              </w:rPr>
              <w:t>危险</w:t>
            </w:r>
            <w:r>
              <w:t>单元</w:t>
            </w:r>
          </w:p>
        </w:tc>
        <w:tc>
          <w:tcPr>
            <w:tcW w:w="2601" w:type="dxa"/>
            <w:vAlign w:val="center"/>
          </w:tcPr>
          <w:p>
            <w:pPr>
              <w:pStyle w:val="47"/>
            </w:pPr>
            <w:r>
              <w:rPr>
                <w:rFonts w:hint="eastAsia"/>
              </w:rPr>
              <w:t>潜在</w:t>
            </w:r>
            <w:r>
              <w:t>的风险源</w:t>
            </w:r>
          </w:p>
        </w:tc>
        <w:tc>
          <w:tcPr>
            <w:tcW w:w="1680" w:type="dxa"/>
            <w:vAlign w:val="center"/>
          </w:tcPr>
          <w:p>
            <w:pPr>
              <w:pStyle w:val="47"/>
            </w:pPr>
            <w:r>
              <w:rPr>
                <w:rFonts w:hint="eastAsia"/>
              </w:rPr>
              <w:t>危险</w:t>
            </w:r>
            <w:r>
              <w:t>性</w:t>
            </w:r>
          </w:p>
        </w:tc>
        <w:tc>
          <w:tcPr>
            <w:tcW w:w="1417" w:type="dxa"/>
            <w:vAlign w:val="center"/>
          </w:tcPr>
          <w:p>
            <w:pPr>
              <w:pStyle w:val="47"/>
            </w:pPr>
            <w:r>
              <w:rPr>
                <w:rFonts w:hint="eastAsia"/>
              </w:rPr>
              <w:t>存在</w:t>
            </w:r>
            <w:r>
              <w:t>条件</w:t>
            </w:r>
          </w:p>
        </w:tc>
        <w:tc>
          <w:tcPr>
            <w:tcW w:w="1332" w:type="dxa"/>
            <w:vAlign w:val="center"/>
          </w:tcPr>
          <w:p>
            <w:pPr>
              <w:pStyle w:val="47"/>
            </w:pPr>
            <w:r>
              <w:rPr>
                <w:rFonts w:hint="eastAsia"/>
              </w:rPr>
              <w:t>触发</w:t>
            </w:r>
            <w:r>
              <w:t>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pStyle w:val="47"/>
            </w:pPr>
            <w:r>
              <w:rPr>
                <w:rFonts w:hint="eastAsia"/>
              </w:rPr>
              <w:t>1</w:t>
            </w:r>
          </w:p>
        </w:tc>
        <w:tc>
          <w:tcPr>
            <w:tcW w:w="1107" w:type="dxa"/>
            <w:vAlign w:val="center"/>
          </w:tcPr>
          <w:p>
            <w:pPr>
              <w:pStyle w:val="47"/>
            </w:pPr>
            <w:r>
              <w:rPr>
                <w:rFonts w:hint="eastAsia"/>
              </w:rPr>
              <w:t>医疗</w:t>
            </w:r>
            <w:r>
              <w:t>废物暂存间</w:t>
            </w:r>
          </w:p>
        </w:tc>
        <w:tc>
          <w:tcPr>
            <w:tcW w:w="2601" w:type="dxa"/>
            <w:vAlign w:val="center"/>
          </w:tcPr>
          <w:p>
            <w:pPr>
              <w:pStyle w:val="47"/>
            </w:pPr>
            <w:r>
              <w:rPr>
                <w:rFonts w:hint="eastAsia"/>
              </w:rPr>
              <w:t>酸碱</w:t>
            </w:r>
            <w:r>
              <w:t>废液、含氰化物及重金属等化学试剂废液</w:t>
            </w:r>
            <w:r>
              <w:rPr>
                <w:rFonts w:hint="eastAsia"/>
              </w:rPr>
              <w:t>、</w:t>
            </w:r>
            <w:r>
              <w:t>废的实验用品、多余样品等</w:t>
            </w:r>
            <w:r>
              <w:rPr>
                <w:rFonts w:hint="eastAsia"/>
              </w:rPr>
              <w:t>危险</w:t>
            </w:r>
            <w:r>
              <w:t>废物桶</w:t>
            </w:r>
            <w:r>
              <w:rPr>
                <w:rFonts w:hint="eastAsia"/>
              </w:rPr>
              <w:t>/袋</w:t>
            </w:r>
            <w:r>
              <w:t>破损、</w:t>
            </w:r>
            <w:r>
              <w:rPr>
                <w:rFonts w:hint="eastAsia"/>
              </w:rPr>
              <w:t>侧翻</w:t>
            </w:r>
            <w:r>
              <w:t>等</w:t>
            </w:r>
          </w:p>
        </w:tc>
        <w:tc>
          <w:tcPr>
            <w:tcW w:w="1680" w:type="dxa"/>
            <w:vAlign w:val="center"/>
          </w:tcPr>
          <w:p>
            <w:pPr>
              <w:pStyle w:val="47"/>
            </w:pPr>
            <w:r>
              <w:t>泄漏</w:t>
            </w:r>
          </w:p>
        </w:tc>
        <w:tc>
          <w:tcPr>
            <w:tcW w:w="1417" w:type="dxa"/>
            <w:vAlign w:val="center"/>
          </w:tcPr>
          <w:p>
            <w:pPr>
              <w:pStyle w:val="47"/>
            </w:pPr>
            <w:r>
              <w:rPr>
                <w:rFonts w:hint="eastAsia"/>
              </w:rPr>
              <w:t>容器/包装</w:t>
            </w:r>
            <w:r>
              <w:t>破损</w:t>
            </w:r>
          </w:p>
        </w:tc>
        <w:tc>
          <w:tcPr>
            <w:tcW w:w="1332" w:type="dxa"/>
            <w:vAlign w:val="center"/>
          </w:tcPr>
          <w:p>
            <w:pPr>
              <w:pStyle w:val="47"/>
            </w:pPr>
            <w:r>
              <w:rPr>
                <w:rFonts w:hint="eastAsia"/>
              </w:rPr>
              <w:t>容器破损、</w:t>
            </w:r>
            <w:r>
              <w:t>操作不当造成泄漏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22" w:type="dxa"/>
            <w:vAlign w:val="center"/>
          </w:tcPr>
          <w:p>
            <w:pPr>
              <w:pStyle w:val="47"/>
            </w:pPr>
            <w:r>
              <w:rPr>
                <w:rFonts w:hint="eastAsia"/>
              </w:rPr>
              <w:t>2</w:t>
            </w:r>
          </w:p>
        </w:tc>
        <w:tc>
          <w:tcPr>
            <w:tcW w:w="1107" w:type="dxa"/>
            <w:vAlign w:val="center"/>
          </w:tcPr>
          <w:p>
            <w:pPr>
              <w:pStyle w:val="47"/>
            </w:pPr>
            <w:r>
              <w:rPr>
                <w:rFonts w:hint="eastAsia"/>
              </w:rPr>
              <w:t>废水</w:t>
            </w:r>
            <w:r>
              <w:t>处理设施</w:t>
            </w:r>
          </w:p>
        </w:tc>
        <w:tc>
          <w:tcPr>
            <w:tcW w:w="2601" w:type="dxa"/>
            <w:vAlign w:val="center"/>
          </w:tcPr>
          <w:p>
            <w:pPr>
              <w:pStyle w:val="47"/>
            </w:pPr>
            <w:r>
              <w:rPr>
                <w:rFonts w:hint="eastAsia"/>
              </w:rPr>
              <w:t>废水</w:t>
            </w:r>
            <w:r>
              <w:t>处理池</w:t>
            </w:r>
          </w:p>
        </w:tc>
        <w:tc>
          <w:tcPr>
            <w:tcW w:w="1680" w:type="dxa"/>
            <w:vAlign w:val="center"/>
          </w:tcPr>
          <w:p>
            <w:pPr>
              <w:pStyle w:val="47"/>
            </w:pPr>
            <w:r>
              <w:rPr>
                <w:rFonts w:hint="eastAsia"/>
              </w:rPr>
              <w:t>废水泄漏</w:t>
            </w:r>
            <w:r>
              <w:t>，污染地下水、土壤</w:t>
            </w:r>
          </w:p>
        </w:tc>
        <w:tc>
          <w:tcPr>
            <w:tcW w:w="1417" w:type="dxa"/>
            <w:vAlign w:val="center"/>
          </w:tcPr>
          <w:p>
            <w:pPr>
              <w:pStyle w:val="47"/>
            </w:pPr>
            <w:r>
              <w:rPr>
                <w:rFonts w:hint="eastAsia"/>
              </w:rPr>
              <w:t>水池</w:t>
            </w:r>
            <w:r>
              <w:t>开裂</w:t>
            </w:r>
          </w:p>
        </w:tc>
        <w:tc>
          <w:tcPr>
            <w:tcW w:w="1332" w:type="dxa"/>
            <w:vAlign w:val="center"/>
          </w:tcPr>
          <w:p>
            <w:pPr>
              <w:pStyle w:val="47"/>
            </w:pPr>
            <w:r>
              <w:rPr>
                <w:rFonts w:hint="eastAsia"/>
              </w:rPr>
              <w:t>地基</w:t>
            </w:r>
            <w:r>
              <w:t>下陷或地震等</w:t>
            </w:r>
          </w:p>
        </w:tc>
      </w:tr>
    </w:tbl>
    <w:p>
      <w:pPr>
        <w:pStyle w:val="40"/>
        <w:ind w:firstLine="480"/>
      </w:pPr>
      <w:r>
        <w:rPr>
          <w:rFonts w:hint="eastAsia"/>
        </w:rPr>
        <w:t>（4）重点</w:t>
      </w:r>
      <w:r>
        <w:t>风险源</w:t>
      </w:r>
    </w:p>
    <w:p>
      <w:pPr>
        <w:pStyle w:val="40"/>
        <w:ind w:firstLine="480"/>
        <w:rPr>
          <w:highlight w:val="yellow"/>
        </w:rPr>
      </w:pPr>
      <w:r>
        <w:rPr>
          <w:rFonts w:hint="eastAsia"/>
        </w:rPr>
        <w:t>本项目生产</w:t>
      </w:r>
      <w:r>
        <w:t>系统重点风险源为医疗废物暂存间、废水处理设施</w:t>
      </w:r>
      <w:r>
        <w:rPr>
          <w:rFonts w:hint="eastAsia"/>
        </w:rPr>
        <w:t>。</w:t>
      </w:r>
    </w:p>
    <w:p>
      <w:pPr>
        <w:pStyle w:val="4"/>
      </w:pPr>
      <w:r>
        <w:rPr>
          <w:rFonts w:hint="eastAsia"/>
        </w:rPr>
        <w:t>环境</w:t>
      </w:r>
      <w:r>
        <w:t>风险类型及危害性</w:t>
      </w:r>
      <w:r>
        <w:rPr>
          <w:rFonts w:hint="eastAsia"/>
        </w:rPr>
        <w:t>分析</w:t>
      </w:r>
    </w:p>
    <w:p>
      <w:pPr>
        <w:pStyle w:val="40"/>
        <w:ind w:firstLine="480"/>
      </w:pPr>
      <w:r>
        <w:rPr>
          <w:rFonts w:hint="eastAsia"/>
        </w:rPr>
        <w:t>结合本项目内存在的环境风险物质，分析可能引发或次生风险类型。本项目风险类型及危害见下表。</w:t>
      </w:r>
    </w:p>
    <w:p>
      <w:pPr>
        <w:pStyle w:val="22"/>
      </w:pPr>
      <w:r>
        <w:rPr>
          <w:rFonts w:hint="eastAsia"/>
        </w:rPr>
        <w:t>7.5-</w:t>
      </w:r>
      <w:r>
        <w:t>4</w:t>
      </w:r>
      <w:r>
        <w:rPr>
          <w:rFonts w:hint="eastAsia"/>
        </w:rPr>
        <w:t xml:space="preserve">  项目</w:t>
      </w:r>
      <w:r>
        <w:t>环境风险类型及危害一览表</w:t>
      </w:r>
    </w:p>
    <w:tbl>
      <w:tblPr>
        <w:tblStyle w:val="26"/>
        <w:tblW w:w="88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554"/>
        <w:gridCol w:w="1414"/>
        <w:gridCol w:w="44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pPr>
            <w:r>
              <w:rPr>
                <w:rFonts w:hint="eastAsia"/>
              </w:rPr>
              <w:t>风险</w:t>
            </w:r>
            <w:r>
              <w:t>单元</w:t>
            </w:r>
          </w:p>
        </w:tc>
        <w:tc>
          <w:tcPr>
            <w:tcW w:w="1554" w:type="dxa"/>
            <w:vAlign w:val="center"/>
          </w:tcPr>
          <w:p>
            <w:pPr>
              <w:jc w:val="center"/>
            </w:pPr>
            <w:r>
              <w:rPr>
                <w:rFonts w:hint="eastAsia"/>
              </w:rPr>
              <w:t>风险</w:t>
            </w:r>
            <w:r>
              <w:t>物质</w:t>
            </w:r>
          </w:p>
        </w:tc>
        <w:tc>
          <w:tcPr>
            <w:tcW w:w="1414" w:type="dxa"/>
            <w:vAlign w:val="center"/>
          </w:tcPr>
          <w:p>
            <w:pPr>
              <w:jc w:val="center"/>
            </w:pPr>
            <w:r>
              <w:rPr>
                <w:rFonts w:hint="eastAsia"/>
              </w:rPr>
              <w:t>风险</w:t>
            </w:r>
            <w:r>
              <w:t>类型</w:t>
            </w:r>
          </w:p>
        </w:tc>
        <w:tc>
          <w:tcPr>
            <w:tcW w:w="4479" w:type="dxa"/>
            <w:vAlign w:val="center"/>
          </w:tcPr>
          <w:p>
            <w:pPr>
              <w:jc w:val="center"/>
            </w:pPr>
            <w:r>
              <w:rPr>
                <w:rFonts w:hint="eastAsia"/>
              </w:rPr>
              <w:t>危险</w:t>
            </w:r>
            <w:r>
              <w:t>物质向环境转移的可能</w:t>
            </w:r>
            <w:r>
              <w:rPr>
                <w:rFonts w:hint="eastAsia"/>
              </w:rPr>
              <w:t>途径</w:t>
            </w:r>
            <w:r>
              <w:t>和影响方式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pPr>
            <w:r>
              <w:rPr>
                <w:rFonts w:hint="eastAsia"/>
              </w:rPr>
              <w:t>医疗废物暂存间</w:t>
            </w:r>
          </w:p>
        </w:tc>
        <w:tc>
          <w:tcPr>
            <w:tcW w:w="1554" w:type="dxa"/>
            <w:vAlign w:val="center"/>
          </w:tcPr>
          <w:p>
            <w:pPr>
              <w:jc w:val="center"/>
            </w:pPr>
            <w:r>
              <w:rPr>
                <w:rFonts w:hint="eastAsia"/>
              </w:rPr>
              <w:t>酸碱废液、含氰化物及重金属等化学试剂废液等、</w:t>
            </w:r>
            <w:r>
              <w:t>废的实验用品、多余样品等</w:t>
            </w:r>
          </w:p>
        </w:tc>
        <w:tc>
          <w:tcPr>
            <w:tcW w:w="1414" w:type="dxa"/>
            <w:vAlign w:val="center"/>
          </w:tcPr>
          <w:p>
            <w:pPr>
              <w:jc w:val="center"/>
            </w:pPr>
            <w:r>
              <w:rPr>
                <w:rFonts w:hint="eastAsia"/>
              </w:rPr>
              <w:t>泄漏</w:t>
            </w:r>
          </w:p>
        </w:tc>
        <w:tc>
          <w:tcPr>
            <w:tcW w:w="4479" w:type="dxa"/>
            <w:vAlign w:val="center"/>
          </w:tcPr>
          <w:p>
            <w:pPr>
              <w:jc w:val="center"/>
            </w:pPr>
            <w:r>
              <w:rPr>
                <w:rFonts w:hint="eastAsia"/>
              </w:rPr>
              <w:t>危废承装容器破损造成泄漏，引起院内外人员中毒，致癌、致畸或致突变性，具有空间污染、急性传染和潜伏性传染。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412" w:type="dxa"/>
            <w:vAlign w:val="center"/>
          </w:tcPr>
          <w:p>
            <w:pPr>
              <w:jc w:val="center"/>
            </w:pPr>
            <w:r>
              <w:rPr>
                <w:rFonts w:hint="eastAsia"/>
              </w:rPr>
              <w:t>污水</w:t>
            </w:r>
            <w:r>
              <w:t>处理站</w:t>
            </w:r>
          </w:p>
        </w:tc>
        <w:tc>
          <w:tcPr>
            <w:tcW w:w="1554" w:type="dxa"/>
            <w:vAlign w:val="center"/>
          </w:tcPr>
          <w:p>
            <w:pPr>
              <w:jc w:val="center"/>
            </w:pPr>
            <w:r>
              <w:rPr>
                <w:rFonts w:hint="eastAsia"/>
              </w:rPr>
              <w:t>废水</w:t>
            </w:r>
          </w:p>
        </w:tc>
        <w:tc>
          <w:tcPr>
            <w:tcW w:w="1414" w:type="dxa"/>
            <w:vAlign w:val="center"/>
          </w:tcPr>
          <w:p>
            <w:pPr>
              <w:jc w:val="center"/>
            </w:pPr>
            <w:r>
              <w:rPr>
                <w:rFonts w:hint="eastAsia"/>
              </w:rPr>
              <w:t>泄漏</w:t>
            </w:r>
          </w:p>
        </w:tc>
        <w:tc>
          <w:tcPr>
            <w:tcW w:w="4479" w:type="dxa"/>
            <w:vAlign w:val="center"/>
          </w:tcPr>
          <w:p>
            <w:pPr>
              <w:jc w:val="center"/>
            </w:pPr>
            <w:r>
              <w:rPr>
                <w:rFonts w:hint="eastAsia"/>
              </w:rPr>
              <w:t>污水</w:t>
            </w:r>
            <w:r>
              <w:t>处理站</w:t>
            </w:r>
            <w:r>
              <w:rPr>
                <w:rFonts w:hint="eastAsia"/>
              </w:rPr>
              <w:t>处理</w:t>
            </w:r>
            <w:r>
              <w:t>设施、管道破损，泄漏对地表水和地下水环境造成影响</w:t>
            </w:r>
          </w:p>
        </w:tc>
      </w:tr>
    </w:tbl>
    <w:p>
      <w:pPr>
        <w:pStyle w:val="3"/>
      </w:pPr>
      <w:bookmarkStart w:id="75" w:name="_Toc113260440"/>
      <w:r>
        <w:rPr>
          <w:rFonts w:hint="eastAsia"/>
        </w:rPr>
        <w:t>环境</w:t>
      </w:r>
      <w:r>
        <w:t>风险分析</w:t>
      </w:r>
      <w:bookmarkEnd w:id="75"/>
    </w:p>
    <w:p>
      <w:pPr>
        <w:pStyle w:val="40"/>
        <w:ind w:firstLine="480"/>
      </w:pPr>
      <w:r>
        <w:rPr>
          <w:rFonts w:hint="eastAsia"/>
        </w:rPr>
        <w:t>最大可信事故是指在所有预测的概率不为零的事故中，对环境（或健康）危害最严重的重大事故。最大可信事故确定的目的是针对典型事故进行环境风险分析，并不意味着其它事故不具环境风险。在项目运行等过程中，存在许多事故风险因素，风险评价不可能面面俱到，只能尽可能考虑对环境危害最大的事故风险。</w:t>
      </w:r>
    </w:p>
    <w:p>
      <w:pPr>
        <w:pStyle w:val="40"/>
        <w:ind w:firstLine="480"/>
      </w:pPr>
      <w:r>
        <w:rPr>
          <w:rFonts w:hint="eastAsia"/>
        </w:rPr>
        <w:t>本评价确定的最大可信事故为污水处理站事故排放以及危险废物在收集、贮存、运送过程中的风险</w:t>
      </w:r>
      <w:r>
        <w:t>。</w:t>
      </w:r>
    </w:p>
    <w:p>
      <w:pPr>
        <w:pStyle w:val="4"/>
      </w:pPr>
      <w:r>
        <w:rPr>
          <w:rFonts w:hint="eastAsia"/>
        </w:rPr>
        <w:t>地表水</w:t>
      </w:r>
      <w:r>
        <w:t>环境风险分析</w:t>
      </w:r>
    </w:p>
    <w:p>
      <w:pPr>
        <w:pStyle w:val="40"/>
        <w:ind w:firstLine="480"/>
      </w:pPr>
      <w:r>
        <w:rPr>
          <w:rFonts w:hint="eastAsia"/>
        </w:rPr>
        <w:t>项目因污染物防治设施非正常使用，如：管道破裂、泵设备损坏或失效、人为操作失误等，造成废水处理工艺的处理出水水值超过《医疗机构水污染物排放标准》（GB18466-2005）预处理排放标准限值排入市政管网。</w:t>
      </w:r>
    </w:p>
    <w:p>
      <w:pPr>
        <w:pStyle w:val="40"/>
        <w:ind w:firstLine="480"/>
        <w:rPr>
          <w:highlight w:val="yellow"/>
        </w:rPr>
      </w:pPr>
      <w:r>
        <w:rPr>
          <w:rFonts w:hint="eastAsia"/>
        </w:rPr>
        <w:t>医疗废水可沾染病人的血、尿、便，或受到粪便、传染性细菌和病毒等病原性微生物污染，具有传染性，可以诱发疾病或造成伤害；含有酸、悬浮固体、BOD</w:t>
      </w:r>
      <w:r>
        <w:rPr>
          <w:rFonts w:hint="eastAsia"/>
          <w:vertAlign w:val="subscript"/>
        </w:rPr>
        <w:t>5</w:t>
      </w:r>
      <w:r>
        <w:rPr>
          <w:rFonts w:hint="eastAsia"/>
        </w:rPr>
        <w:t>、CODCr和动植物油等有毒、有害物质和多种致病菌、病毒和寄生虫卵，它们在环境中具有一定的适应力，有的甚至在污水中存活较长，危害性较大。</w:t>
      </w:r>
    </w:p>
    <w:p>
      <w:pPr>
        <w:pStyle w:val="40"/>
        <w:ind w:firstLine="480"/>
      </w:pPr>
      <w:r>
        <w:rPr>
          <w:rFonts w:hint="eastAsia"/>
        </w:rPr>
        <w:t>项目废水处理设施一旦发生故障，废水未经处理排放进入市政污水管道，将对市政管网污水水质造成较大的影响，尤其是污水中含有的各种病原菌等致病性污染物，会对最终纳污的安康市恒口示范区污水处理厂的处理效果产生影响。</w:t>
      </w:r>
    </w:p>
    <w:p>
      <w:pPr>
        <w:pStyle w:val="4"/>
        <w:adjustRightInd w:val="0"/>
        <w:snapToGrid w:val="0"/>
      </w:pPr>
      <w:r>
        <w:rPr>
          <w:rFonts w:hint="eastAsia"/>
        </w:rPr>
        <w:t>医疗废物</w:t>
      </w:r>
      <w:r>
        <w:t>收集、贮存、运送过程中的风险</w:t>
      </w:r>
      <w:r>
        <w:rPr>
          <w:rFonts w:hint="eastAsia"/>
        </w:rPr>
        <w:t>分析</w:t>
      </w:r>
    </w:p>
    <w:p>
      <w:pPr>
        <w:pStyle w:val="40"/>
        <w:adjustRightInd w:val="0"/>
        <w:snapToGrid w:val="0"/>
        <w:ind w:firstLine="480"/>
        <w:rPr>
          <w:highlight w:val="yellow"/>
        </w:rPr>
      </w:pPr>
      <w:r>
        <w:rPr>
          <w:rFonts w:hint="eastAsia"/>
        </w:rPr>
        <w:t>营运期医院危险废物的环境风险来源于医疗垃圾等危险废物的收集、贮存、运输过程，医疗废物可能存在传染性病菌、病毒、化学污染物等有害物质，由于医疗废物具有空间污染、急性传染和潜伏性污染等特性，其病毒、病菌的危害性是普通生活垃圾的几十、几百倍。</w:t>
      </w:r>
    </w:p>
    <w:p>
      <w:pPr>
        <w:pStyle w:val="40"/>
        <w:adjustRightInd w:val="0"/>
        <w:snapToGrid w:val="0"/>
        <w:ind w:firstLine="480"/>
      </w:pPr>
      <w:r>
        <w:rPr>
          <w:rFonts w:hint="eastAsia"/>
        </w:rPr>
        <w:t>医疗废物残留及衍生的大量病菌是十分有害有毒的物质，如收集、暂存不当，极易引起各种传染性疾病的传播，将会危害人们身心健康，成为疫病流行的源头。</w:t>
      </w:r>
    </w:p>
    <w:p>
      <w:pPr>
        <w:pStyle w:val="40"/>
        <w:adjustRightInd w:val="0"/>
        <w:snapToGrid w:val="0"/>
        <w:ind w:firstLine="480"/>
      </w:pPr>
      <w:r>
        <w:rPr>
          <w:rFonts w:hint="eastAsia"/>
        </w:rPr>
        <w:t>此外</w:t>
      </w:r>
      <w:r>
        <w:t>，</w:t>
      </w:r>
      <w:r>
        <w:rPr>
          <w:rFonts w:hint="eastAsia"/>
        </w:rPr>
        <w:t>医疗废物分类收集、预处理等过程中被医疗废物刺伤、擦伤时细菌侵入皮肤；运送、暂时贮存过程发生流失、泄漏、扩散和意外事故时，将对周边环境和人群的健康产生影响。</w:t>
      </w:r>
    </w:p>
    <w:p>
      <w:pPr>
        <w:pStyle w:val="3"/>
      </w:pPr>
      <w:bookmarkStart w:id="76" w:name="_Toc113260441"/>
      <w:r>
        <w:rPr>
          <w:rFonts w:hint="eastAsia"/>
        </w:rPr>
        <w:t>环境</w:t>
      </w:r>
      <w:r>
        <w:t>风险防范措施及应急要求</w:t>
      </w:r>
      <w:bookmarkEnd w:id="76"/>
    </w:p>
    <w:p>
      <w:pPr>
        <w:pStyle w:val="4"/>
      </w:pPr>
      <w:r>
        <w:rPr>
          <w:rFonts w:hint="eastAsia"/>
        </w:rPr>
        <w:t>地表水环境</w:t>
      </w:r>
      <w:r>
        <w:t>风险防范措施</w:t>
      </w:r>
    </w:p>
    <w:p>
      <w:pPr>
        <w:pStyle w:val="40"/>
        <w:ind w:firstLine="480"/>
      </w:pPr>
      <w:r>
        <w:rPr>
          <w:rFonts w:hint="eastAsia"/>
        </w:rPr>
        <w:t>针对医疗废水事故排放所产生的风险，本项目设置如下工程控制措施：</w:t>
      </w:r>
    </w:p>
    <w:p>
      <w:pPr>
        <w:pStyle w:val="40"/>
        <w:ind w:firstLine="480"/>
      </w:pPr>
      <w:r>
        <w:rPr>
          <w:rFonts w:hint="eastAsia"/>
        </w:rPr>
        <w:t>（1）项目污水处理站应配套建设完善的排水系统管网和切换系统，以应对因管道破裂、设备损坏或失效、人为操作失误等事故的发生。</w:t>
      </w:r>
    </w:p>
    <w:p>
      <w:pPr>
        <w:pStyle w:val="40"/>
        <w:ind w:firstLine="480"/>
      </w:pPr>
      <w:r>
        <w:rPr>
          <w:rFonts w:hint="eastAsia"/>
        </w:rPr>
        <w:t>（2）污水处理站应能对事故状态下暂时无法处理的污水具有一定的暂存能力，待污水处理设施修理完成后对现有污水处理达标后外排。</w:t>
      </w:r>
    </w:p>
    <w:p>
      <w:pPr>
        <w:pStyle w:val="40"/>
        <w:ind w:firstLine="480"/>
        <w:rPr>
          <w:highlight w:val="yellow"/>
        </w:rPr>
      </w:pPr>
      <w:r>
        <w:rPr>
          <w:rFonts w:hint="eastAsia"/>
        </w:rPr>
        <w:t>（3）为避免事故排放，根据《医院污水处理工程技术规范》（HJ2029-2013），“医院污水处理工程应设应急事故池，以贮存处理系统事故或其它突发事件时医院污水。传染病医院污水处理工程应急事故池容积不小于日排放量的100%，非传染病医院污水处理工程应急事故池容积不小于日排放量的30%”。项目为中医</w:t>
      </w:r>
      <w:r>
        <w:t>医院项目</w:t>
      </w:r>
      <w:r>
        <w:rPr>
          <w:rFonts w:hint="eastAsia"/>
        </w:rPr>
        <w:t>，属于非传染病医院，项目废水排放量约</w:t>
      </w:r>
      <w:r>
        <w:t>195.32m</w:t>
      </w:r>
      <w:r>
        <w:rPr>
          <w:vertAlign w:val="superscript"/>
        </w:rPr>
        <w:t>3</w:t>
      </w:r>
      <w:r>
        <w:rPr>
          <w:rFonts w:hint="eastAsia"/>
        </w:rPr>
        <w:t>/d，按规定事故池有效容积不能小于</w:t>
      </w:r>
      <w:r>
        <w:t>58.59</w:t>
      </w:r>
      <w:r>
        <w:rPr>
          <w:rFonts w:hint="eastAsia"/>
        </w:rPr>
        <w:t>m</w:t>
      </w:r>
      <w:r>
        <w:rPr>
          <w:rFonts w:hint="eastAsia"/>
          <w:vertAlign w:val="superscript"/>
        </w:rPr>
        <w:t>3</w:t>
      </w:r>
      <w:r>
        <w:rPr>
          <w:rFonts w:hint="eastAsia"/>
        </w:rPr>
        <w:t>。</w:t>
      </w:r>
    </w:p>
    <w:p>
      <w:pPr>
        <w:pStyle w:val="40"/>
        <w:ind w:firstLine="480"/>
        <w:rPr>
          <w:color w:val="FF0000"/>
        </w:rPr>
      </w:pPr>
      <w:r>
        <w:rPr>
          <w:rFonts w:hint="eastAsia"/>
          <w:color w:val="FF0000"/>
        </w:rPr>
        <w:t>根据《医院</w:t>
      </w:r>
      <w:r>
        <w:rPr>
          <w:color w:val="FF0000"/>
        </w:rPr>
        <w:t>污水处理工程技术规范</w:t>
      </w:r>
      <w:r>
        <w:rPr>
          <w:rFonts w:hint="eastAsia"/>
          <w:color w:val="FF0000"/>
        </w:rPr>
        <w:t>》（HJ</w:t>
      </w:r>
      <w:r>
        <w:rPr>
          <w:color w:val="FF0000"/>
        </w:rPr>
        <w:t>2029-2013</w:t>
      </w:r>
      <w:r>
        <w:rPr>
          <w:rFonts w:hint="eastAsia"/>
          <w:color w:val="FF0000"/>
        </w:rPr>
        <w:t>）：</w:t>
      </w:r>
      <w:r>
        <w:rPr>
          <w:rFonts w:asciiTheme="minorEastAsia" w:hAnsiTheme="minorEastAsia" w:eastAsiaTheme="minorEastAsia"/>
          <w:color w:val="FF0000"/>
        </w:rPr>
        <w:t>“</w:t>
      </w:r>
      <w:r>
        <w:rPr>
          <w:rFonts w:hint="eastAsia"/>
          <w:color w:val="FF0000"/>
        </w:rPr>
        <w:t>调节池</w:t>
      </w:r>
      <w:r>
        <w:rPr>
          <w:color w:val="FF0000"/>
        </w:rPr>
        <w:t>有效容积按日处理水量的</w:t>
      </w:r>
      <w:r>
        <w:rPr>
          <w:rFonts w:hint="eastAsia"/>
          <w:color w:val="FF0000"/>
        </w:rPr>
        <w:t>6~8</w:t>
      </w:r>
      <w:r>
        <w:rPr>
          <w:color w:val="FF0000"/>
        </w:rPr>
        <w:t>h</w:t>
      </w:r>
      <w:r>
        <w:rPr>
          <w:rFonts w:hint="eastAsia"/>
          <w:color w:val="FF0000"/>
        </w:rPr>
        <w:t>计算</w:t>
      </w:r>
      <w:r>
        <w:rPr>
          <w:rFonts w:asciiTheme="minorEastAsia" w:hAnsiTheme="minorEastAsia" w:eastAsiaTheme="minorEastAsia"/>
          <w:color w:val="FF0000"/>
        </w:rPr>
        <w:t>”,</w:t>
      </w:r>
      <w:r>
        <w:rPr>
          <w:rFonts w:hint="eastAsia"/>
          <w:color w:val="FF0000"/>
        </w:rPr>
        <w:t>本项目</w:t>
      </w:r>
      <w:r>
        <w:rPr>
          <w:color w:val="FF0000"/>
        </w:rPr>
        <w:t>调节池有效容积按日处理水量的</w:t>
      </w:r>
      <w:r>
        <w:rPr>
          <w:rFonts w:hint="eastAsia"/>
          <w:color w:val="FF0000"/>
        </w:rPr>
        <w:t>8</w:t>
      </w:r>
      <w:r>
        <w:rPr>
          <w:color w:val="FF0000"/>
        </w:rPr>
        <w:t>h计算，</w:t>
      </w:r>
      <w:r>
        <w:rPr>
          <w:rFonts w:hint="eastAsia"/>
          <w:color w:val="FF0000"/>
        </w:rPr>
        <w:t>有效</w:t>
      </w:r>
      <w:r>
        <w:rPr>
          <w:color w:val="FF0000"/>
        </w:rPr>
        <w:t>容积为</w:t>
      </w:r>
      <w:r>
        <w:rPr>
          <w:rFonts w:hint="eastAsia"/>
          <w:color w:val="FF0000"/>
        </w:rPr>
        <w:t>65</w:t>
      </w:r>
      <w:r>
        <w:rPr>
          <w:color w:val="FF0000"/>
        </w:rPr>
        <w:t>m</w:t>
      </w:r>
      <w:r>
        <w:rPr>
          <w:color w:val="FF0000"/>
          <w:vertAlign w:val="superscript"/>
        </w:rPr>
        <w:t>3</w:t>
      </w:r>
      <w:r>
        <w:rPr>
          <w:color w:val="FF0000"/>
        </w:rPr>
        <w:t>，</w:t>
      </w:r>
      <w:r>
        <w:rPr>
          <w:rFonts w:hint="eastAsia"/>
          <w:color w:val="FF0000"/>
        </w:rPr>
        <w:t>在污水处理站出现事故的时候，可暂时将污水排入调节池，调节池</w:t>
      </w:r>
      <w:r>
        <w:rPr>
          <w:color w:val="FF0000"/>
        </w:rPr>
        <w:t>兼</w:t>
      </w:r>
      <w:r>
        <w:rPr>
          <w:rFonts w:hint="eastAsia"/>
          <w:color w:val="FF0000"/>
        </w:rPr>
        <w:t>做</w:t>
      </w:r>
      <w:r>
        <w:rPr>
          <w:color w:val="FF0000"/>
        </w:rPr>
        <w:t>事故池，</w:t>
      </w:r>
      <w:r>
        <w:rPr>
          <w:rFonts w:hint="eastAsia"/>
        </w:rPr>
        <w:t>待污水处理站恢复到正常处理状态时，再将废水逐渐进行处理。能够保证在事故状态下，污水处理站有足够的维修时间，废水不会未经处理直接排入市政污水管网，从而对污水管网，乃至安康市恒口示范区污水处理厂产生冲击负荷。</w:t>
      </w:r>
    </w:p>
    <w:p>
      <w:pPr>
        <w:pStyle w:val="4"/>
      </w:pPr>
      <w:r>
        <w:rPr>
          <w:rFonts w:hint="eastAsia"/>
        </w:rPr>
        <w:t>危险废物收集</w:t>
      </w:r>
      <w:r>
        <w:t>、贮存、运送过程中的</w:t>
      </w:r>
      <w:r>
        <w:rPr>
          <w:rFonts w:hint="eastAsia"/>
        </w:rPr>
        <w:t>风险</w:t>
      </w:r>
      <w:r>
        <w:t>防范措施</w:t>
      </w:r>
    </w:p>
    <w:p>
      <w:pPr>
        <w:pStyle w:val="40"/>
        <w:ind w:firstLine="480"/>
      </w:pPr>
      <w:r>
        <w:rPr>
          <w:rFonts w:hint="eastAsia"/>
        </w:rPr>
        <w:t>营运期项目危险废物的环境风险来源于医疗垃圾等危险废物的收集、贮存、运输过程。</w:t>
      </w:r>
    </w:p>
    <w:p>
      <w:pPr>
        <w:pStyle w:val="40"/>
        <w:ind w:firstLine="480"/>
      </w:pPr>
      <w:r>
        <w:rPr>
          <w:rFonts w:hint="eastAsia"/>
        </w:rPr>
        <w:t>（1）医疗废物事故应急措施</w:t>
      </w:r>
    </w:p>
    <w:p>
      <w:pPr>
        <w:pStyle w:val="40"/>
        <w:ind w:firstLine="480"/>
      </w:pPr>
      <w:r>
        <w:rPr>
          <w:rFonts w:hint="eastAsia"/>
        </w:rPr>
        <w:t>若发生医疗废物流失、泄漏、扩散和意外事故时，应当按照以下要求及时采取紧急处理措施：</w:t>
      </w:r>
    </w:p>
    <w:p>
      <w:pPr>
        <w:pStyle w:val="40"/>
        <w:ind w:firstLine="480"/>
      </w:pPr>
      <w:r>
        <w:rPr>
          <w:rFonts w:hint="eastAsia"/>
        </w:rPr>
        <w:t>①确定流失、泄漏、扩散的医疗废物的类别、数量、发生时间、影响范围及严重程度；组织有关人员尽快按照应急方案，对发生医疗废物泄漏、扩散的现场进行处理；</w:t>
      </w:r>
    </w:p>
    <w:p>
      <w:pPr>
        <w:pStyle w:val="40"/>
        <w:ind w:firstLine="480"/>
      </w:pPr>
      <w:r>
        <w:rPr>
          <w:rFonts w:hint="eastAsia"/>
        </w:rPr>
        <w:t>②采取适当的安全处置措施，对泄漏物及受污染的区域、物品进行消毒或者其他无害化处置，必要时封锁污染区域，尽可能减少对医务人员、其它现场人员及环境的影响，以防扩大污染；</w:t>
      </w:r>
    </w:p>
    <w:p>
      <w:pPr>
        <w:pStyle w:val="40"/>
        <w:ind w:firstLine="480"/>
      </w:pPr>
      <w:r>
        <w:rPr>
          <w:rFonts w:hint="eastAsia"/>
        </w:rPr>
        <w:t>③对感染性废物污染区域进行消毒时，消毒工作从污染最轻区域向污染最严重区域进行，对可能被污染的使用过的工具也须进行消毒；</w:t>
      </w:r>
    </w:p>
    <w:p>
      <w:pPr>
        <w:pStyle w:val="40"/>
        <w:ind w:firstLine="480"/>
      </w:pPr>
      <w:r>
        <w:rPr>
          <w:rFonts w:hint="eastAsia"/>
        </w:rPr>
        <w:t>④处理工作结束后，工作人员应当做好卫生安全防护后进行工作，医疗卫生机构应当对事件的起因进行调查，并采取有效的防范措施预防类似事件的发生。</w:t>
      </w:r>
    </w:p>
    <w:p>
      <w:pPr>
        <w:pStyle w:val="40"/>
        <w:ind w:firstLine="480"/>
      </w:pPr>
      <w:r>
        <w:rPr>
          <w:rFonts w:hint="eastAsia"/>
        </w:rPr>
        <w:t>（2）人员安全防护</w:t>
      </w:r>
    </w:p>
    <w:p>
      <w:pPr>
        <w:pStyle w:val="40"/>
        <w:ind w:firstLine="480"/>
      </w:pPr>
      <w:r>
        <w:rPr>
          <w:rFonts w:hint="eastAsia"/>
        </w:rPr>
        <w:t>医疗废物相关工作人员和管理人员应当达到以下要求：</w:t>
      </w:r>
    </w:p>
    <w:p>
      <w:pPr>
        <w:pStyle w:val="40"/>
        <w:ind w:firstLine="480"/>
      </w:pPr>
      <w:r>
        <w:rPr>
          <w:rFonts w:hint="eastAsia"/>
        </w:rPr>
        <w:t>①掌握国家相关法律、法规、规章和有关规范性文件的规定，熟悉本机构制定的医疗废物管理的规章制度、工作流程和各项工作要求；</w:t>
      </w:r>
    </w:p>
    <w:p>
      <w:pPr>
        <w:pStyle w:val="40"/>
        <w:ind w:firstLine="480"/>
      </w:pPr>
      <w:r>
        <w:rPr>
          <w:rFonts w:hint="eastAsia"/>
        </w:rPr>
        <w:t>②掌握医疗废物分类收集、运送、暂时贮存的正确方法和操作程序；掌握在医疗废物分类收集、运送、暂时贮存及处置过程中预防被医疗废物刺伤、擦伤等伤害的措施及发生后的处理措施；</w:t>
      </w:r>
    </w:p>
    <w:p>
      <w:pPr>
        <w:pStyle w:val="40"/>
        <w:ind w:firstLine="480"/>
      </w:pPr>
      <w:r>
        <w:rPr>
          <w:rFonts w:hint="eastAsia"/>
        </w:rPr>
        <w:t>③掌握发生医疗废物流失、泄漏、扩散和意外事故情况时的紧急处理措施。</w:t>
      </w:r>
    </w:p>
    <w:p>
      <w:pPr>
        <w:pStyle w:val="40"/>
        <w:ind w:firstLine="480"/>
      </w:pPr>
      <w:r>
        <w:rPr>
          <w:rFonts w:hint="eastAsia"/>
        </w:rPr>
        <w:t>医院应当根据接触医疗废物种类及风险大小的不同，采取适宜、有效的职业卫生防护措施，为本院从事医疗废物分类收集、运送、暂时贮存和处置等工作的人员和管理人员配备必要的防护用品，定期进行健康检查。必要时对有关人员进行免疫接种，防止其受到健康损害。医院工作人员在工作中发生被医疗废物刺伤、擦伤等伤害时，应当采取相应的处理措施，并及时报告机构内的相关部门。</w:t>
      </w:r>
    </w:p>
    <w:p>
      <w:pPr>
        <w:pStyle w:val="40"/>
        <w:ind w:firstLine="480"/>
      </w:pPr>
      <w:r>
        <w:rPr>
          <w:rFonts w:hint="eastAsia"/>
        </w:rPr>
        <w:t>（3）运输过程中风险防范措施</w:t>
      </w:r>
    </w:p>
    <w:p>
      <w:pPr>
        <w:pStyle w:val="40"/>
        <w:ind w:firstLine="480"/>
      </w:pPr>
      <w:r>
        <w:rPr>
          <w:rFonts w:hint="eastAsia"/>
        </w:rPr>
        <w:t>①运送线路避开人口密集区域和交通拥堵道路；</w:t>
      </w:r>
    </w:p>
    <w:p>
      <w:pPr>
        <w:pStyle w:val="40"/>
        <w:ind w:firstLine="480"/>
      </w:pPr>
      <w:r>
        <w:rPr>
          <w:rFonts w:hint="eastAsia"/>
        </w:rPr>
        <w:t>②检查好车况；</w:t>
      </w:r>
    </w:p>
    <w:p>
      <w:pPr>
        <w:pStyle w:val="40"/>
        <w:ind w:firstLine="480"/>
      </w:pPr>
      <w:r>
        <w:rPr>
          <w:rFonts w:hint="eastAsia"/>
        </w:rPr>
        <w:t>③不得搭乘无关人员，不得装载或混装其它货物和动植物；</w:t>
      </w:r>
    </w:p>
    <w:p>
      <w:pPr>
        <w:pStyle w:val="40"/>
        <w:ind w:firstLine="480"/>
      </w:pPr>
      <w:r>
        <w:rPr>
          <w:rFonts w:hint="eastAsia"/>
        </w:rPr>
        <w:t>④车辆行驶时应锁闭车厢门确保安全，不得丢失、遗撒和打开包装取出医疗废物。</w:t>
      </w:r>
    </w:p>
    <w:p>
      <w:pPr>
        <w:pStyle w:val="4"/>
      </w:pPr>
      <w:r>
        <w:rPr>
          <w:rFonts w:hint="eastAsia"/>
        </w:rPr>
        <w:t>突发</w:t>
      </w:r>
      <w:r>
        <w:t>环境事件应急预案编制要求</w:t>
      </w:r>
    </w:p>
    <w:p>
      <w:pPr>
        <w:pStyle w:val="49"/>
        <w:spacing w:line="440" w:lineRule="exact"/>
        <w:ind w:firstLine="480"/>
        <w:rPr>
          <w:rFonts w:cs="Times New Roman"/>
        </w:rPr>
      </w:pPr>
      <w:r>
        <w:rPr>
          <w:rFonts w:hint="eastAsia"/>
        </w:rPr>
        <w:t>按照《环境污染事故应急预案编制技术指南》的要求，项目应编制应急预案，其中，根据风险潜势初判，项目Q值＜1，项目环境风险潜势为Ⅰ，</w:t>
      </w:r>
      <w:r>
        <w:rPr>
          <w:rFonts w:cs="Times New Roman"/>
        </w:rPr>
        <w:t>根据《环境风险评价技术导则》的要求，须制定风险事故应急预案，以便事故发生时，通过事故鉴别，能及时分别采取针对性措施，控制事故的进一步发展，把事故造成的破坏降至最低程度。应急预案的主要内容见</w:t>
      </w:r>
      <w:r>
        <w:rPr>
          <w:rFonts w:cs="Times New Roman"/>
        </w:rPr>
        <w:fldChar w:fldCharType="begin"/>
      </w:r>
      <w:r>
        <w:rPr>
          <w:rFonts w:cs="Times New Roman"/>
        </w:rPr>
        <w:instrText xml:space="preserve"> REF _Ref25768370 \h  \* MERGEFORMAT </w:instrText>
      </w:r>
      <w:r>
        <w:rPr>
          <w:rFonts w:cs="Times New Roman"/>
        </w:rPr>
        <w:fldChar w:fldCharType="separate"/>
      </w:r>
      <w:r>
        <w:rPr>
          <w:rFonts w:cs="Times New Roman"/>
        </w:rPr>
        <w:t>表7.7</w:t>
      </w:r>
      <w:r>
        <w:rPr>
          <w:rFonts w:cs="Times New Roman"/>
        </w:rPr>
        <w:noBreakHyphen/>
      </w:r>
      <w:r>
        <w:rPr>
          <w:rFonts w:cs="Times New Roman"/>
        </w:rPr>
        <w:t>1</w:t>
      </w:r>
      <w:r>
        <w:rPr>
          <w:rFonts w:cs="Times New Roman"/>
        </w:rPr>
        <w:fldChar w:fldCharType="end"/>
      </w:r>
      <w:r>
        <w:rPr>
          <w:rFonts w:cs="Times New Roman"/>
        </w:rPr>
        <w:t>。</w:t>
      </w:r>
    </w:p>
    <w:p>
      <w:pPr>
        <w:pStyle w:val="22"/>
      </w:pPr>
      <w:bookmarkStart w:id="77" w:name="_Ref25768370"/>
      <w:r>
        <w:t>表</w:t>
      </w:r>
      <w:r>
        <w:fldChar w:fldCharType="begin"/>
      </w:r>
      <w:r>
        <w:instrText xml:space="preserve"> STYLEREF 2 \s </w:instrText>
      </w:r>
      <w:r>
        <w:fldChar w:fldCharType="separate"/>
      </w:r>
      <w:r>
        <w:t>7.7</w:t>
      </w:r>
      <w:r>
        <w:fldChar w:fldCharType="end"/>
      </w:r>
      <w:r>
        <w:noBreakHyphen/>
      </w:r>
      <w:r>
        <w:fldChar w:fldCharType="begin"/>
      </w:r>
      <w:r>
        <w:instrText xml:space="preserve"> SEQ 表 \* ARABIC \s 2 </w:instrText>
      </w:r>
      <w:r>
        <w:fldChar w:fldCharType="separate"/>
      </w:r>
      <w:r>
        <w:t>1</w:t>
      </w:r>
      <w:r>
        <w:fldChar w:fldCharType="end"/>
      </w:r>
      <w:bookmarkEnd w:id="77"/>
      <w:r>
        <w:t xml:space="preserve">  风险事故应急预案的主要内容</w:t>
      </w:r>
    </w:p>
    <w:tbl>
      <w:tblPr>
        <w:tblStyle w:val="26"/>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785"/>
        <w:gridCol w:w="5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序号</w:t>
            </w: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项目</w:t>
            </w:r>
          </w:p>
        </w:tc>
        <w:tc>
          <w:tcPr>
            <w:tcW w:w="5342"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内容和要求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应急计划区</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危险目标：</w:t>
            </w:r>
            <w:r>
              <w:rPr>
                <w:rFonts w:hint="eastAsia" w:ascii="Times New Roman" w:hAnsi="Times New Roman" w:eastAsia="宋体" w:cs="Times New Roman"/>
                <w:kern w:val="0"/>
                <w:szCs w:val="20"/>
              </w:rPr>
              <w:t>医疗废物暂存间、</w:t>
            </w:r>
            <w:r>
              <w:rPr>
                <w:rFonts w:ascii="Times New Roman" w:hAnsi="Times New Roman" w:eastAsia="宋体" w:cs="Times New Roman"/>
                <w:kern w:val="0"/>
                <w:szCs w:val="20"/>
              </w:rPr>
              <w:t>污水处理站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应急组织机构、人员</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企业、地区应急组织机构、人员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应急分级响应条件</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规定预案的级别及分级响应程序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应急救援保障</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应急设施，设备与器材等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报警、通讯联络方式</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规定应急状态下的报警通讯方式、通知方式和交通保障、管制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应急环境监测、抢险、救援及控制措施</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由专业队伍负责对事故现场进行侦察监测，对事故性质、参数与后果进行评估，为指挥部门提供决策依据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应急检测、防护措施、清除泄漏措施和器材</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事故现场、邻近区域、控制防火区域，控制和清除污染措施及相应设备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人员紧急撤离、疏散，应急剂量控制、撤离组织计划</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事故现场、工厂邻近区、受事故影响的区域人员及公众对毒物应急剂量控制规定，撤离组织计划及救护，医疗救护与公众健康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事故应急救援关闭程序与恢复措施</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规定应急状态终止程序</w:t>
            </w:r>
          </w:p>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事故现场善后处理，恢复措施</w:t>
            </w:r>
          </w:p>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邻近区域解除事故警戒及善后恢复措施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应急培训计划</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应急计划制定后，平时安排人员培训与演练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43" w:type="dxa"/>
            <w:vAlign w:val="center"/>
          </w:tcPr>
          <w:p>
            <w:pPr>
              <w:numPr>
                <w:ilvl w:val="0"/>
                <w:numId w:val="11"/>
              </w:numPr>
              <w:autoSpaceDE w:val="0"/>
              <w:autoSpaceDN w:val="0"/>
              <w:adjustRightInd w:val="0"/>
              <w:spacing w:line="360" w:lineRule="auto"/>
              <w:jc w:val="center"/>
              <w:textAlignment w:val="bottom"/>
              <w:rPr>
                <w:rFonts w:ascii="Times New Roman" w:hAnsi="Times New Roman" w:eastAsia="宋体" w:cs="Times New Roman"/>
                <w:kern w:val="0"/>
                <w:szCs w:val="20"/>
              </w:rPr>
            </w:pPr>
          </w:p>
        </w:tc>
        <w:tc>
          <w:tcPr>
            <w:tcW w:w="2785" w:type="dxa"/>
            <w:vAlign w:val="center"/>
          </w:tcPr>
          <w:p>
            <w:pPr>
              <w:tabs>
                <w:tab w:val="left" w:pos="2340"/>
              </w:tabs>
              <w:snapToGrid w:val="0"/>
              <w:jc w:val="center"/>
              <w:rPr>
                <w:rFonts w:ascii="Times New Roman" w:hAnsi="Times New Roman" w:eastAsia="宋体" w:cs="Times New Roman"/>
                <w:kern w:val="0"/>
                <w:szCs w:val="20"/>
              </w:rPr>
            </w:pPr>
            <w:r>
              <w:rPr>
                <w:rFonts w:ascii="Times New Roman" w:hAnsi="Times New Roman" w:eastAsia="宋体" w:cs="Times New Roman"/>
                <w:kern w:val="0"/>
                <w:szCs w:val="20"/>
              </w:rPr>
              <w:t>公众教育和信息</w:t>
            </w:r>
          </w:p>
        </w:tc>
        <w:tc>
          <w:tcPr>
            <w:tcW w:w="5342" w:type="dxa"/>
            <w:vAlign w:val="center"/>
          </w:tcPr>
          <w:p>
            <w:pPr>
              <w:tabs>
                <w:tab w:val="left" w:pos="2340"/>
              </w:tabs>
              <w:snapToGrid w:val="0"/>
              <w:jc w:val="left"/>
              <w:rPr>
                <w:rFonts w:ascii="Times New Roman" w:hAnsi="Times New Roman" w:eastAsia="宋体" w:cs="Times New Roman"/>
                <w:kern w:val="0"/>
                <w:szCs w:val="20"/>
              </w:rPr>
            </w:pPr>
            <w:r>
              <w:rPr>
                <w:rFonts w:ascii="Times New Roman" w:hAnsi="Times New Roman" w:eastAsia="宋体" w:cs="Times New Roman"/>
                <w:kern w:val="0"/>
                <w:szCs w:val="20"/>
              </w:rPr>
              <w:t>对</w:t>
            </w:r>
            <w:r>
              <w:rPr>
                <w:rFonts w:hint="eastAsia" w:ascii="Times New Roman" w:hAnsi="Times New Roman" w:eastAsia="宋体" w:cs="Times New Roman"/>
                <w:kern w:val="0"/>
                <w:szCs w:val="20"/>
              </w:rPr>
              <w:t>医院</w:t>
            </w:r>
            <w:r>
              <w:rPr>
                <w:rFonts w:ascii="Times New Roman" w:hAnsi="Times New Roman" w:eastAsia="宋体" w:cs="Times New Roman"/>
                <w:kern w:val="0"/>
                <w:szCs w:val="20"/>
              </w:rPr>
              <w:t>邻近地区开展公众教育、培训和发布有关信息</w:t>
            </w:r>
          </w:p>
        </w:tc>
      </w:tr>
    </w:tbl>
    <w:p>
      <w:pPr>
        <w:pStyle w:val="3"/>
      </w:pPr>
      <w:bookmarkStart w:id="78" w:name="_Toc113260442"/>
      <w:r>
        <w:rPr>
          <w:rFonts w:hint="eastAsia"/>
        </w:rPr>
        <w:t>风险评价</w:t>
      </w:r>
      <w:r>
        <w:t>结论</w:t>
      </w:r>
      <w:r>
        <w:rPr>
          <w:rFonts w:hint="eastAsia"/>
        </w:rPr>
        <w:t>与</w:t>
      </w:r>
      <w:r>
        <w:t>建议</w:t>
      </w:r>
      <w:bookmarkEnd w:id="78"/>
    </w:p>
    <w:p>
      <w:pPr>
        <w:pStyle w:val="49"/>
        <w:ind w:firstLine="480"/>
        <w:rPr>
          <w:rFonts w:cs="Times New Roman"/>
        </w:rPr>
      </w:pPr>
      <w:r>
        <w:rPr>
          <w:rFonts w:hint="eastAsia" w:cs="Times New Roman"/>
        </w:rPr>
        <w:t>综上所述，项目环境风险等级为简单分析，环境风险较小，经采取</w:t>
      </w:r>
      <w:r>
        <w:rPr>
          <w:rFonts w:hint="eastAsia" w:cs="Times New Roman"/>
          <w:color w:val="FF0000"/>
        </w:rPr>
        <w:t>调节池</w:t>
      </w:r>
      <w:r>
        <w:rPr>
          <w:rFonts w:cs="Times New Roman"/>
          <w:color w:val="FF0000"/>
        </w:rPr>
        <w:t>兼做</w:t>
      </w:r>
      <w:r>
        <w:rPr>
          <w:rFonts w:hint="eastAsia" w:cs="Times New Roman"/>
          <w:color w:val="FF0000"/>
        </w:rPr>
        <w:t>事故池等措施，</w:t>
      </w:r>
      <w:r>
        <w:rPr>
          <w:rFonts w:hint="eastAsia" w:cs="Times New Roman"/>
        </w:rPr>
        <w:t>并加强安全管理，员工应急培训，切实降低事故发生率。一旦发生事故，必须采取有效的事故应急措施，控制污染物排放量，缩短污染持续时间，减轻事故的环境影响。项目环境风险可防控。</w:t>
      </w:r>
    </w:p>
    <w:p>
      <w:pPr>
        <w:pStyle w:val="40"/>
        <w:ind w:firstLine="480"/>
      </w:pPr>
      <w:r>
        <w:rPr>
          <w:rFonts w:hint="eastAsia"/>
        </w:rPr>
        <w:t>项目</w:t>
      </w:r>
      <w:r>
        <w:t>环境风险简单分析内容见表</w:t>
      </w:r>
      <w:r>
        <w:rPr>
          <w:rFonts w:hint="eastAsia"/>
        </w:rPr>
        <w:t>7.8-1。</w:t>
      </w:r>
    </w:p>
    <w:p>
      <w:pPr>
        <w:pStyle w:val="22"/>
        <w:rPr>
          <w:lang w:bidi="ar"/>
        </w:rPr>
      </w:pPr>
      <w:r>
        <w:rPr>
          <w:rFonts w:hint="eastAsia"/>
          <w:lang w:bidi="ar"/>
        </w:rPr>
        <w:t>表</w:t>
      </w:r>
      <w:r>
        <w:rPr>
          <w:lang w:bidi="ar"/>
        </w:rPr>
        <w:t xml:space="preserve">7.8-1  </w:t>
      </w:r>
      <w:r>
        <w:rPr>
          <w:rFonts w:hint="eastAsia"/>
          <w:lang w:bidi="ar"/>
        </w:rPr>
        <w:t>建设项目环境风险简单分析内容表</w:t>
      </w:r>
    </w:p>
    <w:tbl>
      <w:tblPr>
        <w:tblStyle w:val="25"/>
        <w:tblW w:w="928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1457"/>
        <w:gridCol w:w="1821"/>
        <w:gridCol w:w="1805"/>
        <w:gridCol w:w="2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pPr>
            <w:r>
              <w:t>建设项目名称</w:t>
            </w:r>
          </w:p>
        </w:tc>
        <w:tc>
          <w:tcPr>
            <w:tcW w:w="7155" w:type="dxa"/>
            <w:gridSpan w:val="4"/>
            <w:tcBorders>
              <w:tl2br w:val="nil"/>
              <w:tr2bl w:val="nil"/>
            </w:tcBorders>
            <w:vAlign w:val="center"/>
          </w:tcPr>
          <w:p>
            <w:pPr>
              <w:pStyle w:val="43"/>
            </w:pPr>
            <w:r>
              <w:rPr>
                <w:rFonts w:hint="eastAsia"/>
              </w:rPr>
              <w:t>恒口示范区</w:t>
            </w:r>
            <w:r>
              <w:t>（</w:t>
            </w:r>
            <w:r>
              <w:rPr>
                <w:rFonts w:hint="eastAsia"/>
              </w:rPr>
              <w:t>试验区</w:t>
            </w:r>
            <w:r>
              <w:t>）</w:t>
            </w:r>
            <w:r>
              <w:rPr>
                <w:rFonts w:hint="eastAsia"/>
              </w:rPr>
              <w:t>三级</w:t>
            </w:r>
            <w:r>
              <w:t>中医医院</w:t>
            </w:r>
            <w:r>
              <w:rPr>
                <w:rFonts w:hint="eastAsia"/>
              </w:rPr>
              <w:t>建设</w:t>
            </w:r>
            <w: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pPr>
            <w:r>
              <w:t>建设地点</w:t>
            </w:r>
          </w:p>
        </w:tc>
        <w:tc>
          <w:tcPr>
            <w:tcW w:w="1457" w:type="dxa"/>
            <w:tcBorders>
              <w:tl2br w:val="nil"/>
              <w:tr2bl w:val="nil"/>
            </w:tcBorders>
            <w:vAlign w:val="center"/>
          </w:tcPr>
          <w:p>
            <w:pPr>
              <w:pStyle w:val="43"/>
            </w:pPr>
            <w:r>
              <w:t>（陕西）省</w:t>
            </w:r>
          </w:p>
        </w:tc>
        <w:tc>
          <w:tcPr>
            <w:tcW w:w="1821" w:type="dxa"/>
            <w:tcBorders>
              <w:tl2br w:val="nil"/>
              <w:tr2bl w:val="nil"/>
            </w:tcBorders>
            <w:vAlign w:val="center"/>
          </w:tcPr>
          <w:p>
            <w:pPr>
              <w:pStyle w:val="43"/>
            </w:pPr>
            <w:r>
              <w:t>（</w:t>
            </w:r>
            <w:r>
              <w:rPr>
                <w:rFonts w:hint="eastAsia"/>
              </w:rPr>
              <w:t>安康</w:t>
            </w:r>
            <w:r>
              <w:t>）市</w:t>
            </w:r>
          </w:p>
        </w:tc>
        <w:tc>
          <w:tcPr>
            <w:tcW w:w="1805" w:type="dxa"/>
            <w:tcBorders>
              <w:tl2br w:val="nil"/>
              <w:tr2bl w:val="nil"/>
            </w:tcBorders>
            <w:vAlign w:val="center"/>
          </w:tcPr>
          <w:p>
            <w:pPr>
              <w:pStyle w:val="43"/>
            </w:pPr>
            <w:r>
              <w:t>（</w:t>
            </w:r>
            <w:r>
              <w:rPr>
                <w:rFonts w:hint="eastAsia"/>
              </w:rPr>
              <w:t>恒口</w:t>
            </w:r>
            <w:r>
              <w:t>示范）</w:t>
            </w:r>
            <w:r>
              <w:rPr>
                <w:rFonts w:hint="eastAsia"/>
              </w:rPr>
              <w:t>区</w:t>
            </w:r>
          </w:p>
        </w:tc>
        <w:tc>
          <w:tcPr>
            <w:tcW w:w="2072" w:type="dxa"/>
            <w:tcBorders>
              <w:tl2br w:val="nil"/>
              <w:tr2bl w:val="nil"/>
            </w:tcBorders>
            <w:vAlign w:val="center"/>
          </w:tcPr>
          <w:p>
            <w:pPr>
              <w:pStyle w:val="43"/>
              <w:rPr>
                <w:highlight w:val="yellow"/>
              </w:rPr>
            </w:pPr>
            <w:r>
              <w:rPr>
                <w:rFonts w:hint="eastAsia"/>
              </w:rPr>
              <w:t>月滨</w:t>
            </w:r>
            <w:r>
              <w:t>南大道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pPr>
            <w:r>
              <w:t>地理坐标</w:t>
            </w:r>
          </w:p>
        </w:tc>
        <w:tc>
          <w:tcPr>
            <w:tcW w:w="1457" w:type="dxa"/>
            <w:tcBorders>
              <w:tl2br w:val="nil"/>
              <w:tr2bl w:val="nil"/>
            </w:tcBorders>
            <w:vAlign w:val="center"/>
          </w:tcPr>
          <w:p>
            <w:pPr>
              <w:pStyle w:val="43"/>
            </w:pPr>
            <w:r>
              <w:t>经度</w:t>
            </w:r>
          </w:p>
        </w:tc>
        <w:tc>
          <w:tcPr>
            <w:tcW w:w="1821" w:type="dxa"/>
            <w:tcBorders>
              <w:tl2br w:val="nil"/>
              <w:tr2bl w:val="nil"/>
            </w:tcBorders>
            <w:vAlign w:val="center"/>
          </w:tcPr>
          <w:p>
            <w:pPr>
              <w:pStyle w:val="43"/>
            </w:pPr>
            <w:r>
              <w:t>108.767673°</w:t>
            </w:r>
          </w:p>
        </w:tc>
        <w:tc>
          <w:tcPr>
            <w:tcW w:w="1805" w:type="dxa"/>
            <w:tcBorders>
              <w:tl2br w:val="nil"/>
              <w:tr2bl w:val="nil"/>
            </w:tcBorders>
            <w:vAlign w:val="center"/>
          </w:tcPr>
          <w:p>
            <w:pPr>
              <w:pStyle w:val="43"/>
            </w:pPr>
            <w:r>
              <w:t>纬度</w:t>
            </w:r>
          </w:p>
        </w:tc>
        <w:tc>
          <w:tcPr>
            <w:tcW w:w="2072" w:type="dxa"/>
            <w:tcBorders>
              <w:tl2br w:val="nil"/>
              <w:tr2bl w:val="nil"/>
            </w:tcBorders>
            <w:vAlign w:val="center"/>
          </w:tcPr>
          <w:p>
            <w:pPr>
              <w:pStyle w:val="43"/>
            </w:pPr>
            <w:r>
              <w:t>32.729557°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pPr>
            <w:r>
              <w:t>主要危险物质分布</w:t>
            </w:r>
          </w:p>
        </w:tc>
        <w:tc>
          <w:tcPr>
            <w:tcW w:w="7155" w:type="dxa"/>
            <w:gridSpan w:val="4"/>
            <w:tcBorders>
              <w:tl2br w:val="nil"/>
              <w:tr2bl w:val="nil"/>
            </w:tcBorders>
            <w:vAlign w:val="center"/>
          </w:tcPr>
          <w:p>
            <w:pPr>
              <w:pStyle w:val="43"/>
            </w:pPr>
            <w:r>
              <w:t>本项目涉及的危险物质为</w:t>
            </w:r>
            <w:r>
              <w:rPr>
                <w:rFonts w:hint="eastAsia"/>
              </w:rPr>
              <w:t>次氯酸钠，主要风险源为污水</w:t>
            </w:r>
            <w:r>
              <w:t>处理站</w:t>
            </w:r>
            <w:r>
              <w:rPr>
                <w:rFonts w:hint="eastAsia"/>
              </w:rPr>
              <w:t>、</w:t>
            </w:r>
            <w:r>
              <w:t>医疗废物暂存间</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rPr>
                <w:highlight w:val="yellow"/>
              </w:rPr>
            </w:pPr>
            <w:r>
              <w:t xml:space="preserve">环境影响途径及危险后果（大气、地表水、地下水等） </w:t>
            </w:r>
          </w:p>
        </w:tc>
        <w:tc>
          <w:tcPr>
            <w:tcW w:w="7155" w:type="dxa"/>
            <w:gridSpan w:val="4"/>
            <w:tcBorders>
              <w:tl2br w:val="nil"/>
              <w:tr2bl w:val="nil"/>
            </w:tcBorders>
            <w:vAlign w:val="center"/>
          </w:tcPr>
          <w:p>
            <w:pPr>
              <w:pStyle w:val="43"/>
              <w:rPr>
                <w:highlight w:val="yellow"/>
              </w:rPr>
            </w:pPr>
            <w:r>
              <w:rPr>
                <w:rFonts w:hint="eastAsia"/>
              </w:rPr>
              <w:t>①污水处理站事故排放；</w:t>
            </w:r>
          </w:p>
          <w:p>
            <w:pPr>
              <w:pStyle w:val="43"/>
              <w:rPr>
                <w:highlight w:val="yellow"/>
              </w:rPr>
            </w:pPr>
            <w:r>
              <w:rPr>
                <w:rFonts w:hint="eastAsia"/>
              </w:rPr>
              <w:t>②危险废物在收集、贮存、运送过程中的风险。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43"/>
              <w:rPr>
                <w:highlight w:val="yellow"/>
              </w:rPr>
            </w:pPr>
            <w:r>
              <w:t>风险防范措施要求</w:t>
            </w:r>
          </w:p>
        </w:tc>
        <w:tc>
          <w:tcPr>
            <w:tcW w:w="7155" w:type="dxa"/>
            <w:gridSpan w:val="4"/>
            <w:tcBorders>
              <w:tl2br w:val="nil"/>
              <w:tr2bl w:val="nil"/>
            </w:tcBorders>
            <w:vAlign w:val="center"/>
          </w:tcPr>
          <w:p>
            <w:pPr>
              <w:pStyle w:val="43"/>
              <w:jc w:val="left"/>
              <w:rPr>
                <w:highlight w:val="yellow"/>
              </w:rPr>
            </w:pPr>
            <w:r>
              <w:rPr>
                <w:rFonts w:hint="eastAsia" w:ascii="宋体" w:hAnsi="宋体" w:cs="宋体"/>
              </w:rPr>
              <w:t>①</w:t>
            </w:r>
            <w:r>
              <w:rPr>
                <w:rFonts w:hint="eastAsia"/>
              </w:rPr>
              <w:t>水处理</w:t>
            </w:r>
            <w:r>
              <w:t>事故排放</w:t>
            </w:r>
            <w:r>
              <w:rPr>
                <w:rFonts w:hint="eastAsia"/>
              </w:rPr>
              <w:t>；针对医疗废水事故排放所产生的风险，项目</w:t>
            </w:r>
            <w:r>
              <w:rPr>
                <w:rFonts w:hint="eastAsia"/>
                <w:color w:val="FF0000"/>
              </w:rPr>
              <w:t>调节池兼做事故池（</w:t>
            </w:r>
            <w:r>
              <w:rPr>
                <w:color w:val="FF0000"/>
              </w:rPr>
              <w:t>65</w:t>
            </w:r>
            <w:r>
              <w:rPr>
                <w:rFonts w:hint="eastAsia"/>
                <w:color w:val="FF0000"/>
              </w:rPr>
              <w:t>m</w:t>
            </w:r>
            <w:r>
              <w:rPr>
                <w:rFonts w:hint="eastAsia"/>
                <w:color w:val="FF0000"/>
                <w:vertAlign w:val="superscript"/>
              </w:rPr>
              <w:t>3</w:t>
            </w:r>
            <w:r>
              <w:rPr>
                <w:rFonts w:hint="eastAsia"/>
                <w:color w:val="FF0000"/>
              </w:rPr>
              <w:t>）</w:t>
            </w:r>
            <w:r>
              <w:rPr>
                <w:rFonts w:hint="eastAsia"/>
              </w:rPr>
              <w:t>，配套建设完善的排水系统管网和切换系统，同时设置足够的事故应急池和应急阀。</w:t>
            </w:r>
          </w:p>
          <w:p>
            <w:pPr>
              <w:pStyle w:val="43"/>
              <w:jc w:val="left"/>
            </w:pPr>
            <w:r>
              <w:rPr>
                <w:rFonts w:hint="eastAsia"/>
              </w:rPr>
              <w:t>②危险废物在收集、贮存、运送过程中的风险：组织有关人员尽快按照应急方案，对发生医疗废物泄漏、扩散的现场进行处理；采取适当的安全处置措施，对泄漏物及受污染的区域、物品进行消毒或者其他无害化处置；工作人员应当做好卫生安全防护后进行工作，医疗卫生机构应当对事件的起因进行调查，并采取有效的防范措施预防类似事件的发生。</w:t>
            </w:r>
          </w:p>
          <w:p>
            <w:pPr>
              <w:pStyle w:val="43"/>
              <w:rPr>
                <w:highlight w:val="yellow"/>
              </w:rPr>
            </w:pPr>
            <w:r>
              <w:rPr>
                <w:rFonts w:hint="eastAsia"/>
              </w:rPr>
              <w:t>本项目企业应针对上述环境风险事故，制定相应的环境风险防范措施和环境风险应急预案，同时应配备相应的应急物质和应急设备。应急预案应定期演练和修编，以使得应急措施不断完善和及时有效地处置发的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7" w:type="dxa"/>
            <w:gridSpan w:val="5"/>
            <w:tcBorders>
              <w:tl2br w:val="nil"/>
              <w:tr2bl w:val="nil"/>
            </w:tcBorders>
            <w:vAlign w:val="center"/>
          </w:tcPr>
          <w:p>
            <w:pPr>
              <w:pStyle w:val="43"/>
            </w:pPr>
            <w:r>
              <w:rPr>
                <w:b/>
              </w:rPr>
              <w:t>填表说明：</w:t>
            </w:r>
            <w:r>
              <w:rPr>
                <w:rFonts w:hint="eastAsia"/>
              </w:rPr>
              <w:t>恒口示范区</w:t>
            </w:r>
            <w:r>
              <w:t>（</w:t>
            </w:r>
            <w:r>
              <w:rPr>
                <w:rFonts w:hint="eastAsia"/>
              </w:rPr>
              <w:t>试验区</w:t>
            </w:r>
            <w:r>
              <w:t>）</w:t>
            </w:r>
            <w:r>
              <w:rPr>
                <w:rFonts w:hint="eastAsia"/>
              </w:rPr>
              <w:t>三级</w:t>
            </w:r>
            <w:r>
              <w:t>中医医院</w:t>
            </w:r>
            <w:r>
              <w:rPr>
                <w:rFonts w:hint="eastAsia"/>
              </w:rPr>
              <w:t>建设</w:t>
            </w:r>
            <w:r>
              <w:t>项目</w:t>
            </w:r>
            <w:r>
              <w:rPr>
                <w:rFonts w:hint="eastAsia"/>
              </w:rPr>
              <w:t>位于恒口示范区（试验区）月滨南大道，</w:t>
            </w:r>
          </w:p>
          <w:p>
            <w:pPr>
              <w:pStyle w:val="43"/>
              <w:jc w:val="left"/>
            </w:pPr>
            <w:r>
              <w:t>本项目环境风险潜势为</w:t>
            </w:r>
            <w:r>
              <w:rPr>
                <w:rFonts w:hint="eastAsia" w:ascii="宋体" w:hAnsi="宋体" w:cs="宋体"/>
              </w:rPr>
              <w:t>Ⅰ</w:t>
            </w:r>
            <w:r>
              <w:rPr>
                <w:rFonts w:hint="eastAsia"/>
              </w:rPr>
              <w:t xml:space="preserve">级，环境风险评价工作等级为简单分析。在各环境风险防范措施落实到位的情况下，将可大大降低建设项目的环境风险。 </w:t>
            </w:r>
          </w:p>
        </w:tc>
      </w:tr>
    </w:tbl>
    <w:p>
      <w:pPr>
        <w:rPr>
          <w:highlight w:val="yellow"/>
          <w:lang w:bidi="ar"/>
        </w:rPr>
      </w:pPr>
    </w:p>
    <w:p>
      <w:pPr>
        <w:rPr>
          <w:highlight w:val="yellow"/>
          <w:lang w:bidi="ar"/>
        </w:rPr>
      </w:pPr>
    </w:p>
    <w:p>
      <w:pPr>
        <w:rPr>
          <w:highlight w:val="yellow"/>
          <w:lang w:bidi="ar"/>
        </w:rPr>
      </w:pPr>
    </w:p>
    <w:p>
      <w:pPr>
        <w:rPr>
          <w:highlight w:val="yellow"/>
          <w:lang w:bidi="ar"/>
        </w:rPr>
      </w:pPr>
    </w:p>
    <w:p>
      <w:pPr>
        <w:rPr>
          <w:highlight w:val="yellow"/>
          <w:lang w:bidi="ar"/>
        </w:rPr>
      </w:pPr>
    </w:p>
    <w:p>
      <w:pPr>
        <w:rPr>
          <w:highlight w:val="yellow"/>
          <w:lang w:bidi="ar"/>
        </w:rPr>
      </w:pPr>
    </w:p>
    <w:p>
      <w:pPr>
        <w:rPr>
          <w:highlight w:val="yellow"/>
        </w:rPr>
        <w:sectPr>
          <w:headerReference r:id="rId50" w:type="default"/>
          <w:headerReference r:id="rId51" w:type="even"/>
          <w:pgSz w:w="11906" w:h="16838"/>
          <w:pgMar w:top="1418" w:right="1418" w:bottom="1418" w:left="1588" w:header="851" w:footer="992" w:gutter="0"/>
          <w:pgNumType w:fmt="numberInDash"/>
          <w:cols w:space="425" w:num="1"/>
          <w:docGrid w:type="linesAndChars" w:linePitch="312" w:charSpace="0"/>
        </w:sectPr>
      </w:pPr>
    </w:p>
    <w:p>
      <w:pPr>
        <w:pStyle w:val="2"/>
      </w:pPr>
      <w:bookmarkStart w:id="79" w:name="_Toc113260443"/>
      <w:r>
        <w:rPr>
          <w:rFonts w:hint="eastAsia"/>
        </w:rPr>
        <w:t>环境</w:t>
      </w:r>
      <w:r>
        <w:t>保护措施</w:t>
      </w:r>
      <w:r>
        <w:rPr>
          <w:rFonts w:hint="eastAsia"/>
        </w:rPr>
        <w:t>及其</w:t>
      </w:r>
      <w:r>
        <w:t>可行性论证</w:t>
      </w:r>
      <w:bookmarkEnd w:id="79"/>
    </w:p>
    <w:p>
      <w:pPr>
        <w:pStyle w:val="3"/>
      </w:pPr>
      <w:bookmarkStart w:id="80" w:name="_Toc113260444"/>
      <w:r>
        <w:rPr>
          <w:rFonts w:hint="eastAsia"/>
        </w:rPr>
        <w:t>施工期</w:t>
      </w:r>
      <w:r>
        <w:t>污染防治措施</w:t>
      </w:r>
      <w:bookmarkEnd w:id="80"/>
    </w:p>
    <w:p>
      <w:pPr>
        <w:pStyle w:val="4"/>
      </w:pPr>
      <w:r>
        <w:rPr>
          <w:rFonts w:hint="eastAsia"/>
        </w:rPr>
        <w:t>施工期</w:t>
      </w:r>
      <w:r>
        <w:t>环境空气污染防治措施</w:t>
      </w:r>
    </w:p>
    <w:p>
      <w:pPr>
        <w:pStyle w:val="40"/>
        <w:ind w:firstLine="480"/>
      </w:pPr>
      <w:r>
        <w:rPr>
          <w:rFonts w:hint="eastAsia"/>
        </w:rPr>
        <w:t>本项目施工期废气主要来源于综合楼、污水处理设施建设过程的地基开挖，装运土石方和建筑材料搬运、堆放产生的扬尘以及汽车运输过程中产生的扬尘、施工运输车辆及施工机械排放的少量尾气。为保护环境空气质量，降低施工过程对周围区域及环境保护目标的扬尘污染，建设单位应严格按照《大气污染防治行动计划》（国发[2013]37号），《陕西省大气污染防治条例》以及《防治城市扬尘污染技术规范》（HJ/T393-2007）及《汉滨区</w:t>
      </w:r>
      <w:r>
        <w:t>蓝天碧水</w:t>
      </w:r>
      <w:r>
        <w:rPr>
          <w:rFonts w:hint="eastAsia"/>
        </w:rPr>
        <w:t>净土</w:t>
      </w:r>
      <w:r>
        <w:t>保卫战</w:t>
      </w:r>
      <w:r>
        <w:rPr>
          <w:rFonts w:hint="eastAsia"/>
        </w:rPr>
        <w:t>2021年</w:t>
      </w:r>
      <w:r>
        <w:t>工作</w:t>
      </w:r>
      <w:r>
        <w:rPr>
          <w:rFonts w:hint="eastAsia"/>
        </w:rPr>
        <w:t>实施</w:t>
      </w:r>
      <w:r>
        <w:t>方案</w:t>
      </w:r>
      <w:r>
        <w:rPr>
          <w:rFonts w:hint="eastAsia"/>
        </w:rPr>
        <w:t>》（汉政办</w:t>
      </w:r>
      <w:r>
        <w:t>发</w:t>
      </w:r>
      <w:r>
        <w:rPr>
          <w:rFonts w:hint="eastAsia"/>
        </w:rPr>
        <w:t>[</w:t>
      </w:r>
      <w:r>
        <w:t>2021</w:t>
      </w:r>
      <w:r>
        <w:rPr>
          <w:rFonts w:hint="eastAsia"/>
        </w:rPr>
        <w:t>]</w:t>
      </w:r>
      <w:r>
        <w:t>130</w:t>
      </w:r>
      <w:r>
        <w:rPr>
          <w:rFonts w:hint="eastAsia"/>
        </w:rPr>
        <w:t>号）及本工程施工场地特点与周边情况，针对施工期大气环境污染防治制定如下措施：</w:t>
      </w:r>
    </w:p>
    <w:p>
      <w:pPr>
        <w:pStyle w:val="40"/>
        <w:ind w:firstLine="480"/>
      </w:pPr>
      <w:r>
        <w:rPr>
          <w:rFonts w:hint="eastAsia"/>
        </w:rPr>
        <w:t>（1）严格管控施工扬尘，工地周边围挡、物料堆放覆盖、土方开挖湿法作业、路面硬化、出入车辆清洗、渣土车辆密闭运输“六个百分之百”，全面落实建筑施工“六个100%管理+扬尘排放质量管理+红黄绿牌结果管理”的防治联动制度，对运输建筑材料及建筑垃圾的车辆加盖蓬布减少洒落。车辆进出、装卸时应用水将轮胎冲洗干净；车辆行驶路线应确定，尽量避开文教区及住宿区。</w:t>
      </w:r>
    </w:p>
    <w:p>
      <w:pPr>
        <w:pStyle w:val="40"/>
        <w:ind w:firstLine="480"/>
      </w:pPr>
      <w:r>
        <w:rPr>
          <w:rFonts w:hint="eastAsia"/>
        </w:rPr>
        <w:t>（2）对建筑垃圾及弃土应及时处理、回填，以减少占地，防止扬尘污染，改善施工场地的环境。</w:t>
      </w:r>
    </w:p>
    <w:p>
      <w:pPr>
        <w:pStyle w:val="40"/>
        <w:ind w:firstLine="480"/>
      </w:pPr>
      <w:r>
        <w:rPr>
          <w:rFonts w:hint="eastAsia"/>
        </w:rPr>
        <w:t>（3）设备运输车辆排放的废气，其排放浓度能达到国家“机动车尾气排放标准”的要求，但应对车辆进行定期检查，保持良好的车况。为减少机动车尾气和扬尘影响，施工中应尽量少用或不用柴油内燃机和柴油车辆，并保持厂内运输道路路面清洁和湿润，以减少汽车轮胎与路面接触而引起的地面扬尘污染。</w:t>
      </w:r>
    </w:p>
    <w:p>
      <w:pPr>
        <w:pStyle w:val="4"/>
      </w:pPr>
      <w:r>
        <w:rPr>
          <w:rFonts w:hint="eastAsia"/>
        </w:rPr>
        <w:t>施工期</w:t>
      </w:r>
      <w:r>
        <w:t>水</w:t>
      </w:r>
      <w:r>
        <w:rPr>
          <w:rFonts w:hint="eastAsia"/>
        </w:rPr>
        <w:t>污染</w:t>
      </w:r>
      <w:r>
        <w:t>防治措施</w:t>
      </w:r>
    </w:p>
    <w:p>
      <w:pPr>
        <w:pStyle w:val="40"/>
        <w:ind w:firstLine="480"/>
      </w:pPr>
      <w:r>
        <w:rPr>
          <w:rFonts w:hint="eastAsia"/>
        </w:rPr>
        <w:t>施工期生产废水和生活污水若不妥善处理将会造成一定的环境污染，因此建议施工期做好以下废水防治措施：</w:t>
      </w:r>
    </w:p>
    <w:p>
      <w:pPr>
        <w:pStyle w:val="40"/>
        <w:ind w:firstLine="480"/>
      </w:pPr>
      <w:r>
        <w:rPr>
          <w:rFonts w:hint="eastAsia"/>
        </w:rPr>
        <w:t>（1）施工期施工单位应严格执行《建设工程施工场地文明施工及环境管理暂行规定》，对施工废水的排放进行组织设计，严禁乱排、乱流，污染道路和水体；</w:t>
      </w:r>
    </w:p>
    <w:p>
      <w:pPr>
        <w:pStyle w:val="40"/>
        <w:ind w:firstLine="480"/>
      </w:pPr>
      <w:r>
        <w:rPr>
          <w:rFonts w:hint="eastAsia"/>
        </w:rPr>
        <w:t>（2）施工生产废水经临时沉淀池处理后回用；</w:t>
      </w:r>
    </w:p>
    <w:p>
      <w:pPr>
        <w:pStyle w:val="40"/>
        <w:ind w:firstLine="480"/>
      </w:pPr>
      <w:r>
        <w:rPr>
          <w:rFonts w:hint="eastAsia"/>
        </w:rPr>
        <w:t>（3）施工期施工人员生活污水设置旱厕处理，旱厕由附近村民定期清掏，无废水外排，对水环境影响较小。</w:t>
      </w:r>
    </w:p>
    <w:p>
      <w:pPr>
        <w:pStyle w:val="4"/>
      </w:pPr>
      <w:r>
        <w:rPr>
          <w:rFonts w:hint="eastAsia"/>
        </w:rPr>
        <w:t>施工期噪声</w:t>
      </w:r>
      <w:r>
        <w:t>污染</w:t>
      </w:r>
      <w:r>
        <w:rPr>
          <w:rFonts w:hint="eastAsia"/>
        </w:rPr>
        <w:t>防治</w:t>
      </w:r>
      <w:r>
        <w:t>措施</w:t>
      </w:r>
    </w:p>
    <w:p>
      <w:pPr>
        <w:pStyle w:val="40"/>
        <w:ind w:firstLine="480"/>
      </w:pPr>
      <w:r>
        <w:rPr>
          <w:rFonts w:hint="eastAsia"/>
        </w:rPr>
        <w:t>施工期相对运营期而言其噪声影响是短暂的，一旦施工活动结束，施工噪声也将随之结束。为保证项目周边敏感点声环境不受过分的影响，施工单位务必规范施工行为，采取如下污染防范措施：</w:t>
      </w:r>
    </w:p>
    <w:p>
      <w:pPr>
        <w:pStyle w:val="40"/>
        <w:ind w:firstLine="480"/>
      </w:pPr>
      <w:r>
        <w:rPr>
          <w:rFonts w:hint="eastAsia"/>
        </w:rPr>
        <w:t>（1）施工期噪声主要来自不同的施工阶段所使用的不同施工机械的非连续性噪声，施工噪声的特点具有阶段性、临时性和不固定性，所以在施工场地严格按照《建筑施工场界环境噪声排放标准》（GB12523-2011）标准的规定，加强管理，文明施工。</w:t>
      </w:r>
    </w:p>
    <w:p>
      <w:pPr>
        <w:pStyle w:val="40"/>
        <w:ind w:firstLine="480"/>
      </w:pPr>
      <w:r>
        <w:rPr>
          <w:rFonts w:hint="eastAsia"/>
        </w:rPr>
        <w:t>（2）从声源上控制：建设单位在与施工单位签订合同时，应要求其使用的主要机械设备为低噪声机械设备。同时在施工过程中施工单位应设专人对设备进行定期保养和维护，并负责对现场工作人员进行培训，严格按操作规范使用各类机械。</w:t>
      </w:r>
    </w:p>
    <w:p>
      <w:pPr>
        <w:pStyle w:val="40"/>
        <w:ind w:firstLine="480"/>
      </w:pPr>
      <w:r>
        <w:rPr>
          <w:rFonts w:hint="eastAsia"/>
        </w:rPr>
        <w:t>（3）合理安排施工时间：施工单位应严格遵守相关规章制度，合理安排好施工时间，除工程必须，并取得环保部门批准外，严禁夜间施工（夜间22：00～06：00）。</w:t>
      </w:r>
    </w:p>
    <w:p>
      <w:pPr>
        <w:pStyle w:val="40"/>
        <w:ind w:firstLine="480"/>
      </w:pPr>
      <w:r>
        <w:rPr>
          <w:rFonts w:hint="eastAsia"/>
        </w:rPr>
        <w:t>（4）从施工管理上严格控制人为噪声，进入施工现场不得高声喊叫，无故甩打模板和钢筋，最大限度减少噪声污染。</w:t>
      </w:r>
    </w:p>
    <w:p>
      <w:pPr>
        <w:pStyle w:val="40"/>
        <w:ind w:firstLine="480"/>
      </w:pPr>
      <w:r>
        <w:rPr>
          <w:rFonts w:hint="eastAsia"/>
        </w:rPr>
        <w:t>总之，建设单位必须加强工地管理工作，对施工人员除进行安全生产教育外，还应加强环保教育，提高全体施工人员环保意识，降低人为因素造成的噪声污染，共同搞好工地的环保工作；建设单位在施工前应张贴施工告示与说明，取得当地居民的理解与谅解；工地的污染防治工作，要有专人分工负责，提高污染防治效果，防止或缓解对环境的污染。</w:t>
      </w:r>
    </w:p>
    <w:p>
      <w:pPr>
        <w:pStyle w:val="4"/>
      </w:pPr>
      <w:r>
        <w:rPr>
          <w:rFonts w:hint="eastAsia"/>
        </w:rPr>
        <w:t>施工期</w:t>
      </w:r>
      <w:r>
        <w:t>固体废物污染防治措施</w:t>
      </w:r>
    </w:p>
    <w:p>
      <w:pPr>
        <w:pStyle w:val="40"/>
        <w:ind w:firstLine="480"/>
      </w:pPr>
      <w:r>
        <w:rPr>
          <w:rFonts w:hint="eastAsia"/>
        </w:rPr>
        <w:t>项目施工期固体废物为建筑垃圾和施工人员生活垃圾，建筑垃圾收集后运到指定的地点填埋，生活垃圾收集后与附近村庄生活垃圾一起处理。采取以上措施后，施工期固体废物对周围环境影响较小。</w:t>
      </w:r>
    </w:p>
    <w:p>
      <w:pPr>
        <w:pStyle w:val="3"/>
      </w:pPr>
      <w:bookmarkStart w:id="81" w:name="_Toc113260445"/>
      <w:r>
        <w:rPr>
          <w:rFonts w:hint="eastAsia"/>
        </w:rPr>
        <w:t>运营期</w:t>
      </w:r>
      <w:r>
        <w:t>污染防治措施</w:t>
      </w:r>
      <w:bookmarkEnd w:id="81"/>
    </w:p>
    <w:p>
      <w:pPr>
        <w:pStyle w:val="4"/>
      </w:pPr>
      <w:r>
        <w:rPr>
          <w:rFonts w:hint="eastAsia"/>
        </w:rPr>
        <w:t>废气</w:t>
      </w:r>
      <w:r>
        <w:t>污染防治措施可行性分析</w:t>
      </w:r>
    </w:p>
    <w:p>
      <w:pPr>
        <w:pStyle w:val="40"/>
        <w:ind w:firstLine="480"/>
        <w:rPr>
          <w:highlight w:val="yellow"/>
        </w:rPr>
      </w:pPr>
      <w:r>
        <w:rPr>
          <w:rFonts w:hint="eastAsia"/>
        </w:rPr>
        <w:t>项目运营期的废气主要为天然气锅炉废气、污水处理站废气、食堂燃料废气、食堂油烟、停车场废气、备用发电机燃油废气以及中药煎药废气等</w:t>
      </w:r>
      <w:r>
        <w:t>。</w:t>
      </w:r>
    </w:p>
    <w:p>
      <w:pPr>
        <w:pStyle w:val="5"/>
      </w:pPr>
      <w:r>
        <w:rPr>
          <w:rFonts w:hint="eastAsia"/>
        </w:rPr>
        <w:t>燃气</w:t>
      </w:r>
      <w:r>
        <w:t>锅炉</w:t>
      </w:r>
      <w:r>
        <w:rPr>
          <w:rFonts w:hint="eastAsia"/>
        </w:rPr>
        <w:t>废气</w:t>
      </w:r>
      <w:r>
        <w:t>污染防治</w:t>
      </w:r>
      <w:r>
        <w:rPr>
          <w:rFonts w:hint="eastAsia"/>
        </w:rPr>
        <w:t>措施</w:t>
      </w:r>
    </w:p>
    <w:p>
      <w:pPr>
        <w:pStyle w:val="40"/>
        <w:ind w:firstLine="480"/>
      </w:pPr>
      <w:r>
        <w:rPr>
          <w:rFonts w:hint="eastAsia"/>
        </w:rPr>
        <w:t>医院设置</w:t>
      </w:r>
      <w:r>
        <w:rPr>
          <w:color w:val="FF0000"/>
        </w:rPr>
        <w:t>2</w:t>
      </w:r>
      <w:r>
        <w:rPr>
          <w:rFonts w:hint="eastAsia"/>
          <w:color w:val="FF0000"/>
        </w:rPr>
        <w:t>台</w:t>
      </w:r>
      <w:r>
        <w:rPr>
          <w:color w:val="FF0000"/>
        </w:rPr>
        <w:t>4t/h的燃气</w:t>
      </w:r>
      <w:r>
        <w:rPr>
          <w:rFonts w:hint="eastAsia"/>
          <w:color w:val="FF0000"/>
        </w:rPr>
        <w:t>热水</w:t>
      </w:r>
      <w:r>
        <w:rPr>
          <w:color w:val="FF0000"/>
        </w:rPr>
        <w:t>锅炉</w:t>
      </w:r>
      <w:r>
        <w:rPr>
          <w:rFonts w:hint="eastAsia"/>
          <w:color w:val="FF0000"/>
        </w:rPr>
        <w:t>为</w:t>
      </w:r>
      <w:r>
        <w:rPr>
          <w:color w:val="FF0000"/>
        </w:rPr>
        <w:t>医院提供冬季采暖</w:t>
      </w:r>
      <w:r>
        <w:rPr>
          <w:rFonts w:hint="eastAsia"/>
          <w:color w:val="FF0000"/>
        </w:rPr>
        <w:t>，1</w:t>
      </w:r>
      <w:r>
        <w:rPr>
          <w:color w:val="FF0000"/>
        </w:rPr>
        <w:t>台1.5</w:t>
      </w:r>
      <w:r>
        <w:rPr>
          <w:rFonts w:hint="eastAsia"/>
          <w:color w:val="FF0000"/>
        </w:rPr>
        <w:t>t/h燃气热水锅炉为医院</w:t>
      </w:r>
      <w:r>
        <w:rPr>
          <w:color w:val="FF0000"/>
        </w:rPr>
        <w:t>提供平时</w:t>
      </w:r>
      <w:r>
        <w:rPr>
          <w:rFonts w:hint="eastAsia"/>
          <w:color w:val="FF0000"/>
        </w:rPr>
        <w:t>的生活</w:t>
      </w:r>
      <w:r>
        <w:rPr>
          <w:color w:val="FF0000"/>
        </w:rPr>
        <w:t>热水</w:t>
      </w:r>
      <w:r>
        <w:rPr>
          <w:rFonts w:hint="eastAsia"/>
        </w:rPr>
        <w:t>，</w:t>
      </w:r>
      <w:r>
        <w:t>共设置</w:t>
      </w:r>
      <w:r>
        <w:rPr>
          <w:rFonts w:hint="eastAsia"/>
        </w:rPr>
        <w:t>锅炉</w:t>
      </w:r>
      <w:r>
        <w:t>3</w:t>
      </w:r>
      <w:r>
        <w:rPr>
          <w:rFonts w:hint="eastAsia"/>
        </w:rPr>
        <w:t>台。</w:t>
      </w:r>
    </w:p>
    <w:p>
      <w:pPr>
        <w:pStyle w:val="40"/>
        <w:ind w:firstLine="480"/>
        <w:rPr>
          <w:highlight w:val="yellow"/>
        </w:rPr>
      </w:pPr>
      <w:r>
        <w:rPr>
          <w:rFonts w:hint="eastAsia"/>
          <w:color w:val="FF0000"/>
        </w:rPr>
        <w:t>其中2台</w:t>
      </w:r>
      <w:r>
        <w:rPr>
          <w:color w:val="FF0000"/>
        </w:rPr>
        <w:t>4t/h的</w:t>
      </w:r>
      <w:r>
        <w:rPr>
          <w:rFonts w:hint="eastAsia"/>
          <w:color w:val="FF0000"/>
        </w:rPr>
        <w:t>采暖锅炉运行时间为4个月（120天），每天运行12小时；热水锅炉供生活热水，全年运行，每天运行12小时</w:t>
      </w:r>
      <w:r>
        <w:rPr>
          <w:rFonts w:hint="eastAsia"/>
        </w:rPr>
        <w:t>。</w:t>
      </w:r>
    </w:p>
    <w:p>
      <w:pPr>
        <w:pStyle w:val="40"/>
        <w:ind w:firstLine="480"/>
        <w:rPr>
          <w:bCs/>
        </w:rPr>
      </w:pPr>
      <w:r>
        <w:rPr>
          <w:rFonts w:hint="eastAsia" w:cs="Times New Roman"/>
          <w:szCs w:val="24"/>
        </w:rPr>
        <w:t>根据</w:t>
      </w:r>
      <w:r>
        <w:rPr>
          <w:rFonts w:cs="Times New Roman"/>
          <w:szCs w:val="24"/>
        </w:rPr>
        <w:t>工程分析，</w:t>
      </w:r>
      <w:r>
        <w:rPr>
          <w:rFonts w:hint="eastAsia" w:cs="Times New Roman"/>
          <w:szCs w:val="24"/>
        </w:rPr>
        <w:t>天然气</w:t>
      </w:r>
      <w:r>
        <w:rPr>
          <w:rFonts w:cs="Times New Roman"/>
          <w:szCs w:val="24"/>
        </w:rPr>
        <w:t>锅炉</w:t>
      </w:r>
      <w:r>
        <w:rPr>
          <w:rFonts w:hint="eastAsia" w:cs="Times New Roman"/>
          <w:szCs w:val="24"/>
        </w:rPr>
        <w:t>废气采用</w:t>
      </w:r>
      <w:r>
        <w:rPr>
          <w:rFonts w:cs="Times New Roman"/>
          <w:szCs w:val="24"/>
        </w:rPr>
        <w:t>低氮燃烧技术，废气</w:t>
      </w:r>
      <w:r>
        <w:rPr>
          <w:rFonts w:hint="eastAsia" w:cs="Times New Roman"/>
          <w:szCs w:val="24"/>
        </w:rPr>
        <w:t>分别</w:t>
      </w:r>
      <w:r>
        <w:rPr>
          <w:rFonts w:cs="Times New Roman"/>
          <w:szCs w:val="24"/>
        </w:rPr>
        <w:t>经</w:t>
      </w:r>
      <w:r>
        <w:rPr>
          <w:rFonts w:cs="Times New Roman"/>
          <w:color w:val="FF0000"/>
          <w:szCs w:val="24"/>
        </w:rPr>
        <w:t>60m</w:t>
      </w:r>
      <w:r>
        <w:rPr>
          <w:rFonts w:cs="Times New Roman"/>
          <w:szCs w:val="24"/>
        </w:rPr>
        <w:t>高排气筒</w:t>
      </w:r>
      <w:r>
        <w:rPr>
          <w:rFonts w:hint="eastAsia" w:cs="Times New Roman"/>
          <w:szCs w:val="24"/>
        </w:rPr>
        <w:t>（P1-P</w:t>
      </w:r>
      <w:r>
        <w:rPr>
          <w:rFonts w:cs="Times New Roman"/>
          <w:szCs w:val="24"/>
        </w:rPr>
        <w:t>3</w:t>
      </w:r>
      <w:r>
        <w:rPr>
          <w:rFonts w:hint="eastAsia" w:cs="Times New Roman"/>
          <w:szCs w:val="24"/>
        </w:rPr>
        <w:t>）</w:t>
      </w:r>
      <w:r>
        <w:rPr>
          <w:rFonts w:cs="Times New Roman"/>
          <w:szCs w:val="24"/>
        </w:rPr>
        <w:t>排放，</w:t>
      </w:r>
      <w:r>
        <w:rPr>
          <w:rFonts w:hint="eastAsia" w:cs="Times New Roman"/>
          <w:szCs w:val="24"/>
        </w:rPr>
        <w:t>SO</w:t>
      </w:r>
      <w:r>
        <w:rPr>
          <w:rFonts w:hint="eastAsia" w:cs="Times New Roman"/>
          <w:szCs w:val="24"/>
          <w:vertAlign w:val="subscript"/>
        </w:rPr>
        <w:t>2</w:t>
      </w:r>
      <w:r>
        <w:rPr>
          <w:rFonts w:hint="eastAsia" w:cs="Times New Roman"/>
          <w:szCs w:val="24"/>
        </w:rPr>
        <w:t>、NO</w:t>
      </w:r>
      <w:r>
        <w:rPr>
          <w:rFonts w:hint="eastAsia" w:cs="Times New Roman"/>
          <w:szCs w:val="24"/>
          <w:vertAlign w:val="subscript"/>
        </w:rPr>
        <w:t>x</w:t>
      </w:r>
      <w:r>
        <w:rPr>
          <w:rFonts w:hint="eastAsia" w:cs="Times New Roman"/>
          <w:szCs w:val="24"/>
        </w:rPr>
        <w:t>和烟尘排放浓度</w:t>
      </w:r>
      <w:r>
        <w:rPr>
          <w:rFonts w:cs="Times New Roman"/>
          <w:szCs w:val="24"/>
        </w:rPr>
        <w:t>分别为</w:t>
      </w:r>
      <w:r>
        <w:rPr>
          <w:rFonts w:hint="eastAsia" w:cs="Times New Roman"/>
          <w:szCs w:val="24"/>
        </w:rPr>
        <w:t>1</w:t>
      </w:r>
      <w:r>
        <w:rPr>
          <w:rFonts w:cs="Times New Roman"/>
          <w:szCs w:val="24"/>
        </w:rPr>
        <w:t>8.56mg/m</w:t>
      </w:r>
      <w:r>
        <w:rPr>
          <w:rFonts w:cs="Times New Roman"/>
          <w:szCs w:val="24"/>
          <w:vertAlign w:val="superscript"/>
        </w:rPr>
        <w:t>3</w:t>
      </w:r>
      <w:r>
        <w:rPr>
          <w:rFonts w:hint="eastAsia" w:cs="Times New Roman"/>
          <w:szCs w:val="24"/>
        </w:rPr>
        <w:t>，</w:t>
      </w:r>
      <w:r>
        <w:rPr>
          <w:rFonts w:cs="Times New Roman"/>
          <w:szCs w:val="24"/>
        </w:rPr>
        <w:t>28.12 mg/m</w:t>
      </w:r>
      <w:r>
        <w:rPr>
          <w:rFonts w:cs="Times New Roman"/>
          <w:szCs w:val="24"/>
          <w:vertAlign w:val="superscript"/>
        </w:rPr>
        <w:t>3</w:t>
      </w:r>
      <w:r>
        <w:rPr>
          <w:rFonts w:hint="eastAsia" w:cs="Times New Roman"/>
          <w:szCs w:val="24"/>
        </w:rPr>
        <w:t>，1</w:t>
      </w:r>
      <w:r>
        <w:rPr>
          <w:rFonts w:cs="Times New Roman"/>
          <w:szCs w:val="24"/>
        </w:rPr>
        <w:t>1.14 mg/m</w:t>
      </w:r>
      <w:r>
        <w:rPr>
          <w:rFonts w:cs="Times New Roman"/>
          <w:szCs w:val="24"/>
          <w:vertAlign w:val="superscript"/>
        </w:rPr>
        <w:t>3</w:t>
      </w:r>
      <w:r>
        <w:rPr>
          <w:rFonts w:hint="eastAsia" w:cs="Times New Roman"/>
          <w:szCs w:val="24"/>
        </w:rPr>
        <w:t>，均满足</w:t>
      </w:r>
      <w:r>
        <w:rPr>
          <w:bCs/>
        </w:rPr>
        <w:t>《锅炉大气污染物排放标准》（DB61/1226-2018）的要求。</w:t>
      </w:r>
    </w:p>
    <w:p>
      <w:pPr>
        <w:pStyle w:val="40"/>
        <w:ind w:firstLine="480"/>
        <w:rPr>
          <w:bCs/>
          <w:color w:val="FF0000"/>
        </w:rPr>
      </w:pPr>
      <w:r>
        <w:rPr>
          <w:rFonts w:hint="eastAsia"/>
          <w:bCs/>
          <w:color w:val="FF0000"/>
        </w:rPr>
        <w:t>项目燃气</w:t>
      </w:r>
      <w:r>
        <w:rPr>
          <w:bCs/>
          <w:color w:val="FF0000"/>
        </w:rPr>
        <w:t>锅炉房排气筒高度</w:t>
      </w:r>
      <w:r>
        <w:rPr>
          <w:rFonts w:hint="eastAsia"/>
          <w:bCs/>
          <w:color w:val="FF0000"/>
        </w:rPr>
        <w:t>60</w:t>
      </w:r>
      <w:r>
        <w:rPr>
          <w:bCs/>
          <w:color w:val="FF0000"/>
        </w:rPr>
        <w:t>m，</w:t>
      </w:r>
      <w:r>
        <w:rPr>
          <w:rFonts w:hint="eastAsia"/>
          <w:bCs/>
          <w:color w:val="FF0000"/>
        </w:rPr>
        <w:t>烟囱高度满足</w:t>
      </w:r>
      <w:r>
        <w:rPr>
          <w:bCs/>
          <w:color w:val="FF0000"/>
        </w:rPr>
        <w:t>满足</w:t>
      </w:r>
      <w:r>
        <w:rPr>
          <w:rFonts w:hint="eastAsia"/>
          <w:bCs/>
          <w:color w:val="FF0000"/>
        </w:rPr>
        <w:t>《锅炉大气污染物排放标准》（GB13271-2014）“4.5条燃气锅炉烟囱不低于8m的要求。</w:t>
      </w:r>
      <w:r>
        <w:rPr>
          <w:bCs/>
          <w:color w:val="FF0000"/>
        </w:rPr>
        <w:t>新建</w:t>
      </w:r>
      <w:r>
        <w:rPr>
          <w:rFonts w:hint="eastAsia"/>
          <w:bCs/>
          <w:color w:val="FF0000"/>
        </w:rPr>
        <w:t>锅炉房</w:t>
      </w:r>
      <w:r>
        <w:rPr>
          <w:bCs/>
          <w:color w:val="FF0000"/>
        </w:rPr>
        <w:t>的烟囱周围半径</w:t>
      </w:r>
      <w:r>
        <w:rPr>
          <w:rFonts w:hint="eastAsia"/>
          <w:bCs/>
          <w:color w:val="FF0000"/>
        </w:rPr>
        <w:t>200</w:t>
      </w:r>
      <w:r>
        <w:rPr>
          <w:bCs/>
          <w:color w:val="FF0000"/>
        </w:rPr>
        <w:t>m</w:t>
      </w:r>
      <w:r>
        <w:rPr>
          <w:rFonts w:hint="eastAsia"/>
          <w:bCs/>
          <w:color w:val="FF0000"/>
        </w:rPr>
        <w:t>距离</w:t>
      </w:r>
      <w:r>
        <w:rPr>
          <w:bCs/>
          <w:color w:val="FF0000"/>
        </w:rPr>
        <w:t>内有建筑物时</w:t>
      </w:r>
      <w:r>
        <w:rPr>
          <w:rFonts w:hint="eastAsia"/>
          <w:bCs/>
          <w:color w:val="FF0000"/>
        </w:rPr>
        <w:t>，其</w:t>
      </w:r>
      <w:r>
        <w:rPr>
          <w:bCs/>
          <w:color w:val="FF0000"/>
        </w:rPr>
        <w:t>烟囱应高出最高建筑物</w:t>
      </w:r>
      <w:r>
        <w:rPr>
          <w:rFonts w:hint="eastAsia"/>
          <w:bCs/>
          <w:color w:val="FF0000"/>
        </w:rPr>
        <w:t>3</w:t>
      </w:r>
      <w:r>
        <w:rPr>
          <w:bCs/>
          <w:color w:val="FF0000"/>
        </w:rPr>
        <w:t>m以上</w:t>
      </w:r>
      <w:r>
        <w:rPr>
          <w:rFonts w:hint="eastAsia"/>
          <w:bCs/>
          <w:color w:val="FF0000"/>
        </w:rPr>
        <w:t>”。</w:t>
      </w:r>
    </w:p>
    <w:p>
      <w:pPr>
        <w:pStyle w:val="40"/>
        <w:ind w:firstLine="480"/>
      </w:pPr>
      <w:r>
        <w:rPr>
          <w:rFonts w:hint="eastAsia"/>
        </w:rPr>
        <w:t>综上</w:t>
      </w:r>
      <w:r>
        <w:t>，项目天然气锅炉污染防治措施可行。</w:t>
      </w:r>
    </w:p>
    <w:p>
      <w:pPr>
        <w:pStyle w:val="5"/>
      </w:pPr>
      <w:r>
        <w:rPr>
          <w:rFonts w:hint="eastAsia"/>
        </w:rPr>
        <w:t>污水</w:t>
      </w:r>
      <w:r>
        <w:t>处理站恶臭</w:t>
      </w:r>
    </w:p>
    <w:p>
      <w:pPr>
        <w:pStyle w:val="40"/>
        <w:ind w:firstLine="480"/>
        <w:rPr>
          <w:rFonts w:cs="Times New Roman"/>
          <w:szCs w:val="24"/>
        </w:rPr>
      </w:pPr>
      <w:r>
        <w:rPr>
          <w:rFonts w:hint="eastAsia"/>
        </w:rPr>
        <w:t>医院污水处理站主体设施采用</w:t>
      </w:r>
      <w:r>
        <w:t>地埋式</w:t>
      </w:r>
      <w:r>
        <w:rPr>
          <w:rFonts w:hint="eastAsia"/>
        </w:rPr>
        <w:t>设计</w:t>
      </w:r>
      <w:r>
        <w:t>，</w:t>
      </w:r>
      <w:r>
        <w:rPr>
          <w:rFonts w:hint="eastAsia"/>
        </w:rPr>
        <w:t>基本采用全封闭，</w:t>
      </w:r>
      <w:r>
        <w:rPr>
          <w:rFonts w:cs="Times New Roman"/>
          <w:szCs w:val="24"/>
        </w:rPr>
        <w:t>采用</w:t>
      </w:r>
      <w:r>
        <w:rPr>
          <w:rFonts w:hint="eastAsia" w:cs="Times New Roman"/>
          <w:szCs w:val="24"/>
        </w:rPr>
        <w:t>处理</w:t>
      </w:r>
      <w:r>
        <w:rPr>
          <w:rFonts w:cs="Times New Roman"/>
          <w:szCs w:val="24"/>
        </w:rPr>
        <w:t>工艺采用</w:t>
      </w:r>
      <w:r>
        <w:rPr>
          <w:rFonts w:hint="eastAsia" w:cs="Times New Roman"/>
          <w:szCs w:val="24"/>
        </w:rPr>
        <w:t>“混凝沉淀+次氯酸钠</w:t>
      </w:r>
      <w:r>
        <w:rPr>
          <w:rFonts w:cs="Times New Roman"/>
          <w:szCs w:val="24"/>
        </w:rPr>
        <w:t>消毒</w:t>
      </w:r>
      <w:r>
        <w:rPr>
          <w:rFonts w:hint="eastAsia" w:cs="Times New Roman"/>
          <w:szCs w:val="24"/>
        </w:rPr>
        <w:t>”，污水</w:t>
      </w:r>
      <w:r>
        <w:rPr>
          <w:rFonts w:cs="Times New Roman"/>
          <w:szCs w:val="24"/>
        </w:rPr>
        <w:t>处理站</w:t>
      </w:r>
      <w:r>
        <w:rPr>
          <w:rFonts w:hint="eastAsia" w:cs="Times New Roman"/>
          <w:szCs w:val="24"/>
        </w:rPr>
        <w:t>运行过程中会产生恶臭气体，主要成分为NH</w:t>
      </w:r>
      <w:r>
        <w:rPr>
          <w:rFonts w:hint="eastAsia" w:cs="Times New Roman"/>
          <w:szCs w:val="24"/>
          <w:vertAlign w:val="subscript"/>
        </w:rPr>
        <w:t>3</w:t>
      </w:r>
      <w:r>
        <w:rPr>
          <w:rFonts w:hint="eastAsia" w:cs="Times New Roman"/>
          <w:szCs w:val="24"/>
        </w:rPr>
        <w:t>、H</w:t>
      </w:r>
      <w:r>
        <w:rPr>
          <w:rFonts w:hint="eastAsia" w:cs="Times New Roman"/>
          <w:szCs w:val="24"/>
          <w:vertAlign w:val="subscript"/>
        </w:rPr>
        <w:t>2</w:t>
      </w:r>
      <w:r>
        <w:rPr>
          <w:rFonts w:hint="eastAsia" w:cs="Times New Roman"/>
          <w:szCs w:val="24"/>
        </w:rPr>
        <w:t>S。</w:t>
      </w:r>
    </w:p>
    <w:p>
      <w:pPr>
        <w:pStyle w:val="40"/>
        <w:ind w:firstLine="480"/>
      </w:pPr>
      <w:r>
        <w:rPr>
          <w:rFonts w:hint="eastAsia"/>
        </w:rPr>
        <w:t>项目</w:t>
      </w:r>
      <w:r>
        <w:t>污水处理站</w:t>
      </w:r>
      <w:r>
        <w:rPr>
          <w:rFonts w:hint="eastAsia"/>
        </w:rPr>
        <w:t>采用地埋式建设，处理设备采用活动盖板密封，并定期投放除臭剂，污水处理站处理规模较小，产生的恶臭气体</w:t>
      </w:r>
      <w:r>
        <w:rPr>
          <w:rFonts w:hint="eastAsia" w:cs="Times New Roman"/>
          <w:kern w:val="0"/>
        </w:rPr>
        <w:t>NH</w:t>
      </w:r>
      <w:r>
        <w:rPr>
          <w:rFonts w:hint="eastAsia" w:cs="Times New Roman"/>
          <w:kern w:val="0"/>
          <w:vertAlign w:val="subscript"/>
        </w:rPr>
        <w:t>3</w:t>
      </w:r>
      <w:r>
        <w:rPr>
          <w:rFonts w:hint="eastAsia" w:cs="Times New Roman"/>
          <w:kern w:val="0"/>
        </w:rPr>
        <w:t>和H</w:t>
      </w:r>
      <w:r>
        <w:rPr>
          <w:rFonts w:hint="eastAsia" w:cs="Times New Roman"/>
          <w:kern w:val="0"/>
          <w:vertAlign w:val="subscript"/>
        </w:rPr>
        <w:t>2</w:t>
      </w:r>
      <w:r>
        <w:rPr>
          <w:rFonts w:hint="eastAsia" w:cs="Times New Roman"/>
          <w:kern w:val="0"/>
        </w:rPr>
        <w:t>S较少</w:t>
      </w:r>
      <w:r>
        <w:rPr>
          <w:rFonts w:cs="Times New Roman"/>
          <w:kern w:val="0"/>
        </w:rPr>
        <w:t>，</w:t>
      </w:r>
      <w:r>
        <w:rPr>
          <w:rFonts w:hint="eastAsia" w:cs="Times New Roman"/>
          <w:kern w:val="0"/>
        </w:rPr>
        <w:t>本次</w:t>
      </w:r>
      <w:r>
        <w:rPr>
          <w:rFonts w:cs="Times New Roman"/>
          <w:kern w:val="0"/>
        </w:rPr>
        <w:t>环评要求</w:t>
      </w:r>
      <w:r>
        <w:rPr>
          <w:rFonts w:hint="eastAsia" w:cs="Times New Roman"/>
          <w:kern w:val="0"/>
        </w:rPr>
        <w:t>加强污水处理站的运行操作管理，</w:t>
      </w:r>
      <w:r>
        <w:rPr>
          <w:rFonts w:hint="eastAsia"/>
        </w:rPr>
        <w:t>保证设备的正常运行，</w:t>
      </w:r>
      <w:r>
        <w:rPr>
          <w:rFonts w:hint="eastAsia" w:cs="Times New Roman"/>
          <w:kern w:val="0"/>
        </w:rPr>
        <w:t>定期</w:t>
      </w:r>
      <w:r>
        <w:rPr>
          <w:rFonts w:cs="Times New Roman"/>
          <w:kern w:val="0"/>
        </w:rPr>
        <w:t>喷洒生物除臭剂，</w:t>
      </w:r>
      <w:r>
        <w:rPr>
          <w:rFonts w:hint="eastAsia" w:cs="Times New Roman"/>
          <w:kern w:val="0"/>
        </w:rPr>
        <w:t>污泥要及时外运，防止恶臭形成。同时，污水处理站四周设计有绿化带，可起到吸收恶臭的效果。</w:t>
      </w:r>
      <w:r>
        <w:rPr>
          <w:rFonts w:hint="eastAsia"/>
        </w:rPr>
        <w:t>以确保一体化污水处理站周边氨、硫化氢等大气污染物达到《医疗机构水污染物排放标准》（GB18466-2005）表3要求。</w:t>
      </w:r>
    </w:p>
    <w:p>
      <w:pPr>
        <w:pStyle w:val="5"/>
      </w:pPr>
      <w:r>
        <w:rPr>
          <w:rFonts w:hint="eastAsia"/>
        </w:rPr>
        <w:t>食堂燃料</w:t>
      </w:r>
      <w:r>
        <w:t>废气及油烟</w:t>
      </w:r>
    </w:p>
    <w:p>
      <w:pPr>
        <w:pStyle w:val="40"/>
        <w:ind w:firstLine="480"/>
      </w:pPr>
      <w:r>
        <w:rPr>
          <w:rFonts w:hint="eastAsia"/>
        </w:rPr>
        <w:t>项目食堂燃气采用天然气。天然气属于清洁能源，炊事燃烧废气产生量较小并且能够及时得到扩散，预计燃用天然气产生的燃气废气不会对周围环境空气产生显著影响。</w:t>
      </w:r>
    </w:p>
    <w:p>
      <w:pPr>
        <w:pStyle w:val="40"/>
        <w:ind w:firstLine="480"/>
      </w:pPr>
      <w:r>
        <w:rPr>
          <w:rFonts w:hint="eastAsia"/>
        </w:rPr>
        <w:t>项目食堂油烟通过安装净化效率</w:t>
      </w:r>
      <w:r>
        <w:t>75</w:t>
      </w:r>
      <w:r>
        <w:rPr>
          <w:rFonts w:hint="eastAsia"/>
        </w:rPr>
        <w:t>% 以上的油烟净化装置达标后经烟道引至楼顶排放，排放口高出建筑顶部，油烟排放口与周围环境敏感目标距离均满足不小于20m 的规定要求，可以满足《饮食业油烟排放标准（试行）》（GB18483-2001）和《饮食业环境保护技术规范》（HJ554-2010）中的相关规定，油烟对周围环境影响较小。</w:t>
      </w:r>
    </w:p>
    <w:p>
      <w:pPr>
        <w:pStyle w:val="40"/>
        <w:ind w:firstLine="480"/>
      </w:pPr>
      <w:r>
        <w:rPr>
          <w:rFonts w:hint="eastAsia"/>
        </w:rPr>
        <w:t>综上，食堂油烟废气措施可行。</w:t>
      </w:r>
    </w:p>
    <w:p>
      <w:pPr>
        <w:pStyle w:val="5"/>
      </w:pPr>
      <w:r>
        <w:rPr>
          <w:rFonts w:hint="eastAsia"/>
        </w:rPr>
        <w:t>停车场</w:t>
      </w:r>
      <w:r>
        <w:t>废气</w:t>
      </w:r>
    </w:p>
    <w:p>
      <w:pPr>
        <w:pStyle w:val="40"/>
        <w:ind w:firstLine="480"/>
        <w:rPr>
          <w:highlight w:val="yellow"/>
        </w:rPr>
      </w:pPr>
      <w:r>
        <w:rPr>
          <w:rFonts w:hint="eastAsia"/>
        </w:rPr>
        <w:t>项目共设地上停车场</w:t>
      </w:r>
      <w:r>
        <w:t>100</w:t>
      </w:r>
      <w:r>
        <w:rPr>
          <w:rFonts w:hint="eastAsia"/>
        </w:rPr>
        <w:t>个，由于地面停车位为开放区域，进出车辆多为小型车，在医院内行驶距离较短，汽车尾气排放量相对较小，污染物在空气中稀释扩散较快，对环境空气影响较小。同时，项目有针对性的进行绿化美化环境的同时将对机动车产生尾气起到有效地吸附降解作用，因此，地面停车位所带来的大气污染影响较小。</w:t>
      </w:r>
    </w:p>
    <w:p>
      <w:pPr>
        <w:pStyle w:val="5"/>
      </w:pPr>
      <w:r>
        <w:rPr>
          <w:rFonts w:hint="eastAsia"/>
        </w:rPr>
        <w:t>备用</w:t>
      </w:r>
      <w:r>
        <w:t>发电机废气</w:t>
      </w:r>
    </w:p>
    <w:p>
      <w:pPr>
        <w:pStyle w:val="40"/>
        <w:ind w:firstLine="480"/>
      </w:pPr>
      <w:r>
        <w:rPr>
          <w:rFonts w:hint="eastAsia"/>
        </w:rPr>
        <w:t>本项目拟设置一台</w:t>
      </w:r>
      <w:r>
        <w:t>800</w:t>
      </w:r>
      <w:r>
        <w:rPr>
          <w:rFonts w:hint="eastAsia"/>
        </w:rPr>
        <w:t>kw柴油发电机组，备用发电机设烟气收集系统，废气经专用</w:t>
      </w:r>
      <w:r>
        <w:t>烟道引至楼顶排放</w:t>
      </w:r>
      <w:r>
        <w:rPr>
          <w:rFonts w:hint="eastAsia"/>
        </w:rPr>
        <w:t>，背向人群易聚集处，此外发电机很少运行，只有在停电的时候才运行，所以间歇性排放少量污染物对环境影响是微弱的。</w:t>
      </w:r>
    </w:p>
    <w:p>
      <w:pPr>
        <w:pStyle w:val="40"/>
        <w:ind w:firstLine="480"/>
      </w:pPr>
      <w:r>
        <w:rPr>
          <w:rFonts w:hint="eastAsia"/>
        </w:rPr>
        <w:t>经上述措施治理后，本项目产生的大气污染可以得到有效防治，对周围环境的影响较小，其治理措施是可行的。</w:t>
      </w:r>
    </w:p>
    <w:p>
      <w:pPr>
        <w:pStyle w:val="4"/>
      </w:pPr>
      <w:r>
        <w:rPr>
          <w:rFonts w:hint="eastAsia"/>
        </w:rPr>
        <w:t>废水</w:t>
      </w:r>
      <w:r>
        <w:t>污染防治措施可行性分析</w:t>
      </w:r>
    </w:p>
    <w:p>
      <w:pPr>
        <w:pStyle w:val="40"/>
        <w:ind w:firstLine="480"/>
      </w:pPr>
      <w:r>
        <w:rPr>
          <w:rFonts w:hint="eastAsia"/>
        </w:rPr>
        <w:t>根据工程分析，项目主要外排废水为医疗废水和生活污水，经</w:t>
      </w:r>
      <w:r>
        <w:t>自建污水处理站处理后的</w:t>
      </w:r>
      <w:r>
        <w:rPr>
          <w:rFonts w:hint="eastAsia"/>
        </w:rPr>
        <w:t>排放量为</w:t>
      </w:r>
      <w:r>
        <w:t>195.32m</w:t>
      </w:r>
      <w:r>
        <w:rPr>
          <w:vertAlign w:val="superscript"/>
        </w:rPr>
        <w:t>3</w:t>
      </w:r>
      <w:r>
        <w:rPr>
          <w:rFonts w:hint="eastAsia"/>
        </w:rPr>
        <w:t>/d，</w:t>
      </w:r>
      <w:r>
        <w:t>71291.8m</w:t>
      </w:r>
      <w:r>
        <w:rPr>
          <w:vertAlign w:val="superscript"/>
        </w:rPr>
        <w:t>3</w:t>
      </w:r>
      <w:r>
        <w:rPr>
          <w:rFonts w:hint="eastAsia"/>
        </w:rPr>
        <w:t>/a，其中的主要污染物为COD、BOD</w:t>
      </w:r>
      <w:r>
        <w:rPr>
          <w:rFonts w:hint="eastAsia"/>
          <w:vertAlign w:val="subscript"/>
        </w:rPr>
        <w:t>5</w:t>
      </w:r>
      <w:r>
        <w:rPr>
          <w:rFonts w:hint="eastAsia"/>
        </w:rPr>
        <w:t>、SS、氨氮和粪大肠菌群等。</w:t>
      </w:r>
    </w:p>
    <w:p>
      <w:pPr>
        <w:pStyle w:val="5"/>
      </w:pPr>
      <w:r>
        <w:rPr>
          <w:rFonts w:hint="eastAsia"/>
        </w:rPr>
        <w:t>废水</w:t>
      </w:r>
      <w:r>
        <w:t>处理措施</w:t>
      </w:r>
    </w:p>
    <w:p>
      <w:pPr>
        <w:pStyle w:val="40"/>
        <w:ind w:firstLine="480"/>
      </w:pPr>
      <w:r>
        <w:rPr>
          <w:rFonts w:hint="eastAsia"/>
        </w:rPr>
        <w:t>1、分类收集</w:t>
      </w:r>
    </w:p>
    <w:p>
      <w:pPr>
        <w:pStyle w:val="40"/>
        <w:ind w:firstLine="480"/>
      </w:pPr>
      <w:r>
        <w:rPr>
          <w:rFonts w:hint="eastAsia"/>
        </w:rPr>
        <w:t>项目采用雨、污分流。项目内雨水汇流入雨水管收集系统，就近排至市政雨水管网。同时对生活污水、医疗废水也要求分别收集。</w:t>
      </w:r>
    </w:p>
    <w:p>
      <w:pPr>
        <w:pStyle w:val="40"/>
        <w:ind w:firstLine="480"/>
      </w:pPr>
      <w:r>
        <w:rPr>
          <w:rFonts w:hint="eastAsia"/>
        </w:rPr>
        <w:t>2、综合废水处理措施</w:t>
      </w:r>
    </w:p>
    <w:p>
      <w:pPr>
        <w:pStyle w:val="40"/>
        <w:ind w:firstLine="480"/>
      </w:pPr>
      <w:r>
        <w:rPr>
          <w:rFonts w:hint="eastAsia"/>
        </w:rPr>
        <w:t>项目综合废水包括医疗废水和生活污水，医疗废水须按照《医院废水处理技术规范》落实处理措施，出水达到《医疗机构水污染物排放标准》（GB18466-2005）的预处理排放标准后，方可排入城市污水管网。</w:t>
      </w:r>
    </w:p>
    <w:p>
      <w:pPr>
        <w:pStyle w:val="40"/>
        <w:ind w:firstLine="480"/>
      </w:pPr>
      <w:r>
        <w:rPr>
          <w:rFonts w:hint="eastAsia"/>
        </w:rPr>
        <w:t>项目职工生活污水经化粪池预处理后，与医疗废水一同排入自建污水处理站进行处理，经 “一级</w:t>
      </w:r>
      <w:r>
        <w:t>强化</w:t>
      </w:r>
      <w:r>
        <w:rPr>
          <w:rFonts w:hint="eastAsia"/>
        </w:rPr>
        <w:t>”工艺进行预处理，出水经消毒后达到《医疗机构水污染物排放标准》（GB18466-2005）表2综合医疗机构和其他医疗机构预处理标准后，排入市政污水管网，最终进入安康市恒口示范区污水处理厂，处理达标后最终汇入月河。具体污水处理采用“混凝沉淀+次氯酸钠消毒”工艺，处理规模为</w:t>
      </w:r>
      <w:r>
        <w:t>250</w:t>
      </w:r>
      <w:r>
        <w:rPr>
          <w:rFonts w:hint="eastAsia"/>
        </w:rPr>
        <w:t>m</w:t>
      </w:r>
      <w:r>
        <w:rPr>
          <w:rFonts w:hint="eastAsia"/>
          <w:vertAlign w:val="superscript"/>
        </w:rPr>
        <w:t>3</w:t>
      </w:r>
      <w:r>
        <w:rPr>
          <w:rFonts w:hint="eastAsia"/>
        </w:rPr>
        <w:t>/d。污水处理站设置于项目东北侧，项目区污水可通过区域内的污水管网自流进入污水处理站。</w:t>
      </w:r>
    </w:p>
    <w:p>
      <w:pPr>
        <w:pStyle w:val="5"/>
      </w:pPr>
      <w:r>
        <w:rPr>
          <w:rFonts w:hint="eastAsia"/>
        </w:rPr>
        <w:t>具体</w:t>
      </w:r>
      <w:r>
        <w:t>工艺流程</w:t>
      </w:r>
    </w:p>
    <w:p>
      <w:pPr>
        <w:pStyle w:val="40"/>
        <w:ind w:firstLine="480"/>
        <w:rPr>
          <w:color w:val="000000" w:themeColor="text1"/>
          <w14:textFill>
            <w14:solidFill>
              <w14:schemeClr w14:val="tx1"/>
            </w14:solidFill>
          </w14:textFill>
        </w:rPr>
      </w:pPr>
      <w:r>
        <w:rPr>
          <w:rFonts w:hint="eastAsia"/>
        </w:rPr>
        <w:t>根据《医院污水处理技术指南》（环发[2003]197号）及《医院污水处理工程技术规范》（HJ2029-2013）要求，医院污水处理所用工艺必须确保处理出水达标，主要采用的三种工艺有：加强处理效果的一级处理、二级处理和简易生化处理。对于非传染病医院污水，</w:t>
      </w:r>
      <w:r>
        <w:rPr>
          <w:rFonts w:hint="eastAsia"/>
          <w:color w:val="000000" w:themeColor="text1"/>
          <w14:textFill>
            <w14:solidFill>
              <w14:schemeClr w14:val="tx1"/>
            </w14:solidFill>
          </w14:textFill>
        </w:rPr>
        <w:t>若处理出水排入终端已建有正常运行的二级污水处理厂的城市污水管网时，可采用一级强化处理+消毒工艺。</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根据项目设计单位提供的资料，污水处理站一级处理工艺采用“混凝</w:t>
      </w:r>
      <w:r>
        <w:rPr>
          <w:color w:val="000000" w:themeColor="text1"/>
          <w14:textFill>
            <w14:solidFill>
              <w14:schemeClr w14:val="tx1"/>
            </w14:solidFill>
          </w14:textFill>
        </w:rPr>
        <w:t>沉淀</w:t>
      </w:r>
      <w:r>
        <w:rPr>
          <w:rFonts w:hint="eastAsia"/>
          <w:color w:val="000000" w:themeColor="text1"/>
          <w14:textFill>
            <w14:solidFill>
              <w14:schemeClr w14:val="tx1"/>
            </w14:solidFill>
          </w14:textFill>
        </w:rPr>
        <w:t>+次氯酸钠</w:t>
      </w:r>
      <w:r>
        <w:rPr>
          <w:color w:val="000000" w:themeColor="text1"/>
          <w14:textFill>
            <w14:solidFill>
              <w14:schemeClr w14:val="tx1"/>
            </w14:solidFill>
          </w14:textFill>
        </w:rPr>
        <w:t>消毒</w:t>
      </w:r>
      <w:r>
        <w:rPr>
          <w:rFonts w:hint="eastAsia"/>
          <w:color w:val="000000" w:themeColor="text1"/>
          <w14:textFill>
            <w14:solidFill>
              <w14:schemeClr w14:val="tx1"/>
            </w14:solidFill>
          </w14:textFill>
        </w:rPr>
        <w:t>”工艺。工艺流程见图</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.2-1。</w:t>
      </w:r>
    </w:p>
    <w:p>
      <w:pPr>
        <w:rPr>
          <w:highlight w:val="yellow"/>
        </w:rPr>
      </w:pPr>
    </w:p>
    <w:p>
      <w:pPr>
        <w:pStyle w:val="22"/>
        <w:rPr>
          <w:highlight w:val="yellow"/>
        </w:rPr>
      </w:pPr>
      <w:r>
        <w:object>
          <v:shape id="_x0000_i1044" o:spt="75" type="#_x0000_t75" style="height:151.15pt;width:446.25pt;" o:ole="t" filled="f" o:preferrelative="t" stroked="f" coordsize="21600,21600">
            <v:path/>
            <v:fill on="f" focussize="0,0"/>
            <v:stroke on="f" joinstyle="miter"/>
            <v:imagedata r:id="rId108" o:title=""/>
            <o:lock v:ext="edit" aspectratio="t"/>
            <w10:wrap type="none"/>
            <w10:anchorlock/>
          </v:shape>
          <o:OLEObject Type="Embed" ProgID="Visio.Drawing.11" ShapeID="_x0000_i1044" DrawAspect="Content" ObjectID="_1468075744" r:id="rId107">
            <o:LockedField>false</o:LockedField>
          </o:OLEObject>
        </w:object>
      </w:r>
    </w:p>
    <w:p>
      <w:pPr>
        <w:pStyle w:val="22"/>
        <w:rPr>
          <w:color w:val="000000" w:themeColor="text1"/>
          <w14:textFill>
            <w14:solidFill>
              <w14:schemeClr w14:val="tx1"/>
            </w14:solidFill>
          </w14:textFill>
        </w:rPr>
      </w:pPr>
      <w:r>
        <w:rPr>
          <w:rFonts w:hint="eastAsia"/>
          <w:color w:val="000000" w:themeColor="text1"/>
          <w14:textFill>
            <w14:solidFill>
              <w14:schemeClr w14:val="tx1"/>
            </w14:solidFill>
          </w14:textFill>
        </w:rPr>
        <w:t>图8.2-1  项目</w:t>
      </w:r>
      <w:r>
        <w:rPr>
          <w:color w:val="000000" w:themeColor="text1"/>
          <w14:textFill>
            <w14:solidFill>
              <w14:schemeClr w14:val="tx1"/>
            </w14:solidFill>
          </w14:textFill>
        </w:rPr>
        <w:t>污水处理站工艺流程</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工艺</w:t>
      </w:r>
      <w:r>
        <w:rPr>
          <w:rFonts w:ascii="Times New Roman" w:hAnsi="Times New Roman" w:eastAsia="宋体" w:cs="Times New Roman"/>
          <w:color w:val="000000" w:themeColor="text1"/>
          <w:sz w:val="24"/>
          <w:szCs w:val="24"/>
          <w14:textFill>
            <w14:solidFill>
              <w14:schemeClr w14:val="tx1"/>
            </w14:solidFill>
          </w14:textFill>
        </w:rPr>
        <w:t>流程</w:t>
      </w:r>
      <w:r>
        <w:rPr>
          <w:rFonts w:hint="eastAsia" w:ascii="Times New Roman" w:hAnsi="Times New Roman" w:eastAsia="宋体" w:cs="Times New Roman"/>
          <w:color w:val="000000" w:themeColor="text1"/>
          <w:sz w:val="24"/>
          <w:szCs w:val="24"/>
          <w14:textFill>
            <w14:solidFill>
              <w14:schemeClr w14:val="tx1"/>
            </w14:solidFill>
          </w14:textFill>
        </w:rPr>
        <w:t>说明</w:t>
      </w:r>
      <w:r>
        <w:rPr>
          <w:rFonts w:ascii="Times New Roman" w:hAnsi="Times New Roman" w:eastAsia="宋体" w:cs="Times New Roman"/>
          <w:color w:val="000000" w:themeColor="text1"/>
          <w:sz w:val="24"/>
          <w:szCs w:val="24"/>
          <w14:textFill>
            <w14:solidFill>
              <w14:schemeClr w14:val="tx1"/>
            </w14:solidFill>
          </w14:textFill>
        </w:rPr>
        <w:t>：</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（1）化粪池</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生活污水经化粪池处理后</w:t>
      </w:r>
      <w:r>
        <w:rPr>
          <w:rFonts w:hint="eastAsia"/>
          <w:color w:val="000000" w:themeColor="text1"/>
          <w14:textFill>
            <w14:solidFill>
              <w14:schemeClr w14:val="tx1"/>
            </w14:solidFill>
          </w14:textFill>
        </w:rPr>
        <w:t>再</w:t>
      </w:r>
      <w:r>
        <w:rPr>
          <w:color w:val="000000" w:themeColor="text1"/>
          <w14:textFill>
            <w14:solidFill>
              <w14:schemeClr w14:val="tx1"/>
            </w14:solidFill>
          </w14:textFill>
        </w:rPr>
        <w:t>进入污水处理</w:t>
      </w:r>
      <w:r>
        <w:rPr>
          <w:rFonts w:hint="eastAsia"/>
          <w:color w:val="000000" w:themeColor="text1"/>
          <w14:textFill>
            <w14:solidFill>
              <w14:schemeClr w14:val="tx1"/>
            </w14:solidFill>
          </w14:textFill>
        </w:rPr>
        <w:t>系统</w:t>
      </w:r>
      <w:r>
        <w:rPr>
          <w:color w:val="000000" w:themeColor="text1"/>
          <w14:textFill>
            <w14:solidFill>
              <w14:schemeClr w14:val="tx1"/>
            </w14:solidFill>
          </w14:textFill>
        </w:rPr>
        <w:t>进行处理。</w:t>
      </w:r>
    </w:p>
    <w:p>
      <w:pPr>
        <w:pStyle w:val="40"/>
        <w:adjustRightInd w:val="0"/>
        <w:snapToGrid w:val="0"/>
        <w:ind w:firstLine="480"/>
        <w:rPr>
          <w:color w:val="FF0000"/>
        </w:rPr>
      </w:pPr>
      <w:r>
        <w:rPr>
          <w:rFonts w:hint="eastAsia"/>
          <w:color w:val="000000" w:themeColor="text1"/>
          <w14:textFill>
            <w14:solidFill>
              <w14:schemeClr w14:val="tx1"/>
            </w14:solidFill>
          </w14:textFill>
        </w:rPr>
        <w:t>根据《医院污水</w:t>
      </w:r>
      <w:r>
        <w:rPr>
          <w:color w:val="000000" w:themeColor="text1"/>
          <w14:textFill>
            <w14:solidFill>
              <w14:schemeClr w14:val="tx1"/>
            </w14:solidFill>
          </w14:textFill>
        </w:rPr>
        <w:t>处理技术指南</w:t>
      </w:r>
      <w:r>
        <w:rPr>
          <w:rFonts w:hint="eastAsia"/>
          <w:color w:val="000000" w:themeColor="text1"/>
          <w14:textFill>
            <w14:solidFill>
              <w14:schemeClr w14:val="tx1"/>
            </w14:solidFill>
          </w14:textFill>
        </w:rPr>
        <w:t>》（环</w:t>
      </w:r>
      <w:r>
        <w:rPr>
          <w:color w:val="000000" w:themeColor="text1"/>
          <w14:textFill>
            <w14:solidFill>
              <w14:schemeClr w14:val="tx1"/>
            </w14:solidFill>
          </w14:textFill>
        </w:rPr>
        <w:t>发[2003]197</w:t>
      </w:r>
      <w:r>
        <w:rPr>
          <w:rFonts w:hint="eastAsia"/>
          <w:color w:val="000000" w:themeColor="text1"/>
          <w14:textFill>
            <w14:solidFill>
              <w14:schemeClr w14:val="tx1"/>
            </w14:solidFill>
          </w14:textFill>
        </w:rPr>
        <w:t>号），污水</w:t>
      </w:r>
      <w:r>
        <w:rPr>
          <w:color w:val="000000" w:themeColor="text1"/>
          <w14:textFill>
            <w14:solidFill>
              <w14:schemeClr w14:val="tx1"/>
            </w14:solidFill>
          </w14:textFill>
        </w:rPr>
        <w:t>在化粪池</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的停留时间</w:t>
      </w:r>
      <w:r>
        <w:rPr>
          <w:rFonts w:hint="eastAsia"/>
          <w:color w:val="000000" w:themeColor="text1"/>
          <w14:textFill>
            <w14:solidFill>
              <w14:schemeClr w14:val="tx1"/>
            </w14:solidFill>
          </w14:textFill>
        </w:rPr>
        <w:t>不宜</w:t>
      </w:r>
      <w:r>
        <w:rPr>
          <w:color w:val="000000" w:themeColor="text1"/>
          <w14:textFill>
            <w14:solidFill>
              <w14:schemeClr w14:val="tx1"/>
            </w14:solidFill>
          </w14:textFill>
        </w:rPr>
        <w:t>小于</w:t>
      </w:r>
      <w:r>
        <w:rPr>
          <w:rFonts w:hint="eastAsia"/>
          <w:color w:val="000000" w:themeColor="text1"/>
          <w14:textFill>
            <w14:solidFill>
              <w14:schemeClr w14:val="tx1"/>
            </w14:solidFill>
          </w14:textFill>
        </w:rPr>
        <w:t>36</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根据</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排污</w:t>
      </w:r>
      <w:r>
        <w:rPr>
          <w:color w:val="000000" w:themeColor="text1"/>
          <w14:textFill>
            <w14:solidFill>
              <w14:schemeClr w14:val="tx1"/>
            </w14:solidFill>
          </w14:textFill>
        </w:rPr>
        <w:t>许可申请与核发技术规范</w:t>
      </w:r>
      <w:r>
        <w:rPr>
          <w:rFonts w:hint="eastAsia"/>
          <w:color w:val="000000" w:themeColor="text1"/>
          <w14:textFill>
            <w14:solidFill>
              <w14:schemeClr w14:val="tx1"/>
            </w14:solidFill>
          </w14:textFill>
        </w:rPr>
        <w:t xml:space="preserve"> 医疗</w:t>
      </w:r>
      <w:r>
        <w:rPr>
          <w:color w:val="000000" w:themeColor="text1"/>
          <w14:textFill>
            <w14:solidFill>
              <w14:schemeClr w14:val="tx1"/>
            </w14:solidFill>
          </w14:textFill>
        </w:rPr>
        <w:t>机构》</w:t>
      </w:r>
      <w:r>
        <w:rPr>
          <w:rFonts w:hint="eastAsia"/>
          <w:color w:val="000000" w:themeColor="text1"/>
          <w14:textFill>
            <w14:solidFill>
              <w14:schemeClr w14:val="tx1"/>
            </w14:solidFill>
          </w14:textFill>
        </w:rPr>
        <w:t>（HJ</w:t>
      </w:r>
      <w:r>
        <w:rPr>
          <w:color w:val="000000" w:themeColor="text1"/>
          <w14:textFill>
            <w14:solidFill>
              <w14:schemeClr w14:val="tx1"/>
            </w14:solidFill>
          </w14:textFill>
        </w:rPr>
        <w:t>1105-2020</w:t>
      </w:r>
      <w:r>
        <w:rPr>
          <w:rFonts w:hint="eastAsia"/>
          <w:color w:val="000000" w:themeColor="text1"/>
          <w14:textFill>
            <w14:solidFill>
              <w14:schemeClr w14:val="tx1"/>
            </w14:solidFill>
          </w14:textFill>
        </w:rPr>
        <w:t>）化粪池应按最高日排水量设计，停留时间为24-36 h，</w:t>
      </w:r>
      <w:r>
        <w:rPr>
          <w:color w:val="000000" w:themeColor="text1"/>
          <w14:textFill>
            <w14:solidFill>
              <w14:schemeClr w14:val="tx1"/>
            </w14:solidFill>
          </w14:textFill>
        </w:rPr>
        <w:t>本次环评以最大值</w:t>
      </w:r>
      <w:r>
        <w:rPr>
          <w:rFonts w:hint="eastAsia"/>
          <w:color w:val="000000" w:themeColor="text1"/>
          <w14:textFill>
            <w14:solidFill>
              <w14:schemeClr w14:val="tx1"/>
            </w14:solidFill>
          </w14:textFill>
        </w:rPr>
        <w:t>36</w:t>
      </w:r>
      <w:r>
        <w:rPr>
          <w:color w:val="000000" w:themeColor="text1"/>
          <w14:textFill>
            <w14:solidFill>
              <w14:schemeClr w14:val="tx1"/>
            </w14:solidFill>
          </w14:textFill>
        </w:rPr>
        <w:t>h进行计算，项目废水产生量</w:t>
      </w:r>
      <w:r>
        <w:rPr>
          <w:rFonts w:cs="Times New Roman"/>
          <w:szCs w:val="24"/>
        </w:rPr>
        <w:t>195.32m</w:t>
      </w:r>
      <w:r>
        <w:rPr>
          <w:rFonts w:cs="Times New Roman"/>
          <w:szCs w:val="24"/>
          <w:vertAlign w:val="superscript"/>
        </w:rPr>
        <w:t>3</w:t>
      </w:r>
      <w:r>
        <w:rPr>
          <w:rFonts w:cs="Times New Roman"/>
          <w:szCs w:val="24"/>
        </w:rPr>
        <w:t>/d</w:t>
      </w:r>
      <w:r>
        <w:rPr>
          <w:rFonts w:hint="eastAsia" w:cs="Times New Roman"/>
          <w:szCs w:val="24"/>
        </w:rPr>
        <w:t>，环评</w:t>
      </w:r>
      <w:r>
        <w:rPr>
          <w:rFonts w:cs="Times New Roman"/>
          <w:szCs w:val="24"/>
        </w:rPr>
        <w:t>要求化粪池容积不小于300m</w:t>
      </w:r>
      <w:r>
        <w:rPr>
          <w:rFonts w:cs="Times New Roman"/>
          <w:szCs w:val="24"/>
          <w:vertAlign w:val="superscript"/>
        </w:rPr>
        <w:t>3</w:t>
      </w:r>
      <w:r>
        <w:rPr>
          <w:rFonts w:cs="Times New Roman"/>
          <w:szCs w:val="24"/>
        </w:rPr>
        <w:t>。</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）格栅</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在污水处理系统或水泵前设置格栅，栅渣与水处理产生污泥等一同集中消毒，外运交</w:t>
      </w:r>
      <w:r>
        <w:rPr>
          <w:color w:val="000000" w:themeColor="text1"/>
          <w14:textFill>
            <w14:solidFill>
              <w14:schemeClr w14:val="tx1"/>
            </w14:solidFill>
          </w14:textFill>
        </w:rPr>
        <w:t>由资质单位</w:t>
      </w:r>
      <w:r>
        <w:rPr>
          <w:rFonts w:hint="eastAsia"/>
          <w:color w:val="000000" w:themeColor="text1"/>
          <w14:textFill>
            <w14:solidFill>
              <w14:schemeClr w14:val="tx1"/>
            </w14:solidFill>
          </w14:textFill>
        </w:rPr>
        <w:t>处置，消毒采用投加石灰。</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）调节池</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由于医院污水水质、水量随时间波动的特点，故医院污水处理应设调节池，用以进行水量的调节和水质的均合。提供对有机物负荷的缓冲能力，防止处理系统负荷的急剧变化，使处理设施稳定均衡。防止高浓度物质直接进入处理系统。封闭结构，设排风口和水下搅污拌器，以备污水站发生事故时抢修。</w:t>
      </w:r>
    </w:p>
    <w:p>
      <w:pPr>
        <w:pStyle w:val="40"/>
        <w:adjustRightInd w:val="0"/>
        <w:snapToGrid w:val="0"/>
        <w:ind w:firstLine="480"/>
        <w:rPr>
          <w:color w:val="000000" w:themeColor="text1"/>
          <w14:textFill>
            <w14:solidFill>
              <w14:schemeClr w14:val="tx1"/>
            </w14:solidFill>
          </w14:textFill>
        </w:rPr>
      </w:pPr>
      <w:r>
        <w:rPr>
          <w:rFonts w:hint="eastAsia" w:cs="Times New Roman"/>
          <w:color w:val="000000" w:themeColor="text1"/>
          <w:szCs w:val="24"/>
          <w14:textFill>
            <w14:solidFill>
              <w14:schemeClr w14:val="tx1"/>
            </w14:solidFill>
          </w14:textFill>
        </w:rPr>
        <w:t>（</w:t>
      </w:r>
      <w:r>
        <w:rPr>
          <w:rFonts w:cs="Times New Roman"/>
          <w:color w:val="000000" w:themeColor="text1"/>
          <w:szCs w:val="24"/>
          <w14:textFill>
            <w14:solidFill>
              <w14:schemeClr w14:val="tx1"/>
            </w14:solidFill>
          </w14:textFill>
        </w:rPr>
        <w:t>4</w:t>
      </w:r>
      <w:r>
        <w:rPr>
          <w:rFonts w:hint="eastAsia" w:cs="Times New Roman"/>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混凝</w:t>
      </w:r>
      <w:r>
        <w:rPr>
          <w:color w:val="000000" w:themeColor="text1"/>
          <w14:textFill>
            <w14:solidFill>
              <w14:schemeClr w14:val="tx1"/>
            </w14:solidFill>
          </w14:textFill>
        </w:rPr>
        <w:t>沉淀池</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混凝沉淀原理：在混凝剂的作用下，使废水中的胶体和细微悬浮物凝聚成絮凝体，然后予以分离除去的水处理法。混凝澄清法在水处理中的应用是非常广泛的，它既可以降低原水的浊度、色度等水质的感观指标，又可以去除多种有毒有害污染物。根据《医院污水处理工程技术规范》（HJ2029-2013），医院污水的一级强化处理宜采用混凝沉淀工艺。混凝剂一般采用聚丙烯酰胺（PAM）、聚合氯化铝（PAC）、聚合硫酸铁（PFS）等。</w:t>
      </w:r>
    </w:p>
    <w:p>
      <w:pPr>
        <w:pStyle w:val="40"/>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混凝沉淀所产生污泥经过消毒后与栅渣一同委托外运处理</w:t>
      </w:r>
      <w:r>
        <w:rPr>
          <w:rFonts w:hint="eastAsia" w:hAnsi="宋体" w:cs="Times New Roman"/>
          <w:color w:val="000000" w:themeColor="text1"/>
          <w:kern w:val="0"/>
          <w:szCs w:val="20"/>
          <w14:textFill>
            <w14:solidFill>
              <w14:schemeClr w14:val="tx1"/>
            </w14:solidFill>
          </w14:textFill>
        </w:rPr>
        <w:t>。</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（5）污水</w:t>
      </w:r>
      <w:r>
        <w:rPr>
          <w:rFonts w:ascii="Times New Roman" w:hAnsi="Times New Roman" w:eastAsia="宋体" w:cs="Times New Roman"/>
          <w:color w:val="000000" w:themeColor="text1"/>
          <w:sz w:val="24"/>
          <w:szCs w:val="24"/>
          <w14:textFill>
            <w14:solidFill>
              <w14:schemeClr w14:val="tx1"/>
            </w14:solidFill>
          </w14:textFill>
        </w:rPr>
        <w:t>消毒与排放</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医疗污水消毒是医院污水处理的重要工艺过程，其目的是杀灭污水中的各种致病菌。医疗污水消毒常用的消毒工艺有氯消毒（如氯气、二氧化氯、次氯酸钠）、氧化剂消毒(如臭氧、过氧乙酸)、辐射消毒(如紫外线、γ射线)。通过对常用消毒法的优缺点进行归纳和比较见表</w:t>
      </w:r>
      <w:r>
        <w:rPr>
          <w:rFonts w:ascii="Times New Roman" w:hAnsi="Times New Roman" w:eastAsia="宋体" w:cs="Times New Roman"/>
          <w:color w:val="000000" w:themeColor="text1"/>
          <w:sz w:val="24"/>
          <w:szCs w:val="24"/>
          <w14:textFill>
            <w14:solidFill>
              <w14:schemeClr w14:val="tx1"/>
            </w14:solidFill>
          </w14:textFill>
        </w:rPr>
        <w:t>8</w:t>
      </w:r>
      <w:r>
        <w:rPr>
          <w:rFonts w:hint="eastAsia" w:ascii="Times New Roman" w:hAnsi="Times New Roman" w:eastAsia="宋体" w:cs="Times New Roman"/>
          <w:color w:val="000000" w:themeColor="text1"/>
          <w:sz w:val="24"/>
          <w:szCs w:val="24"/>
          <w14:textFill>
            <w14:solidFill>
              <w14:schemeClr w14:val="tx1"/>
            </w14:solidFill>
          </w14:textFill>
        </w:rPr>
        <w:t>.2-</w:t>
      </w: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p>
    <w:p>
      <w:pPr>
        <w:adjustRightInd w:val="0"/>
        <w:snapToGrid w:val="0"/>
        <w:jc w:val="center"/>
        <w:rPr>
          <w:rFonts w:ascii="Times New Roman" w:hAnsi="Times New Roman" w:eastAsia="宋体" w:cstheme="majorBidi"/>
          <w:b/>
          <w:bCs/>
          <w:color w:val="000000" w:themeColor="text1"/>
          <w:sz w:val="24"/>
          <w:szCs w:val="32"/>
          <w14:textFill>
            <w14:solidFill>
              <w14:schemeClr w14:val="tx1"/>
            </w14:solidFill>
          </w14:textFill>
        </w:rPr>
      </w:pPr>
      <w:r>
        <w:rPr>
          <w:rFonts w:ascii="Times New Roman" w:hAnsi="Times New Roman" w:eastAsia="宋体" w:cstheme="majorBidi"/>
          <w:b/>
          <w:bCs/>
          <w:color w:val="000000" w:themeColor="text1"/>
          <w:sz w:val="24"/>
          <w:szCs w:val="32"/>
          <w14:textFill>
            <w14:solidFill>
              <w14:schemeClr w14:val="tx1"/>
            </w14:solidFill>
          </w14:textFill>
        </w:rPr>
        <w:t>表8</w:t>
      </w:r>
      <w:r>
        <w:rPr>
          <w:rFonts w:hint="eastAsia" w:ascii="Times New Roman" w:hAnsi="Times New Roman" w:eastAsia="宋体" w:cstheme="majorBidi"/>
          <w:b/>
          <w:bCs/>
          <w:color w:val="000000" w:themeColor="text1"/>
          <w:sz w:val="24"/>
          <w:szCs w:val="32"/>
          <w14:textFill>
            <w14:solidFill>
              <w14:schemeClr w14:val="tx1"/>
            </w14:solidFill>
          </w14:textFill>
        </w:rPr>
        <w:t>.2-</w:t>
      </w:r>
      <w:r>
        <w:rPr>
          <w:rFonts w:ascii="Times New Roman" w:hAnsi="Times New Roman" w:eastAsia="宋体" w:cstheme="majorBidi"/>
          <w:b/>
          <w:bCs/>
          <w:color w:val="000000" w:themeColor="text1"/>
          <w:sz w:val="24"/>
          <w:szCs w:val="32"/>
          <w14:textFill>
            <w14:solidFill>
              <w14:schemeClr w14:val="tx1"/>
            </w14:solidFill>
          </w14:textFill>
        </w:rPr>
        <w:t>2  常用消毒方法比较</w:t>
      </w:r>
    </w:p>
    <w:tbl>
      <w:tblPr>
        <w:tblStyle w:val="25"/>
        <w:tblW w:w="88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71"/>
        <w:gridCol w:w="2001"/>
        <w:gridCol w:w="2734"/>
        <w:gridCol w:w="1215"/>
        <w:gridCol w:w="2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方法</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优点</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缺点</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消毒效果</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适用条件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氯</w:t>
            </w:r>
          </w:p>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Cl</w:t>
            </w:r>
            <w:r>
              <w:rPr>
                <w:rFonts w:ascii="Times New Roman" w:hAnsi="Times New Roman" w:eastAsia="宋体" w:cs="宋体"/>
                <w:color w:val="000000" w:themeColor="text1"/>
                <w:vertAlign w:val="subscript"/>
                <w14:textFill>
                  <w14:solidFill>
                    <w14:schemeClr w14:val="tx1"/>
                  </w14:solidFill>
                </w14:textFill>
              </w:rPr>
              <w:t>2</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具有持续消毒作用；工艺简单，技术成熟；操作简单，投量准确。</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产生具致癌、致畸作用的有机氯化物(THMs)；处理水有氯或氯酚味；氯气腐蚀性强；运行管理有一定的危险性。</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能有效杀菌，但杀灭病毒效果较差。</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远离人口聚居区的规模较大（&gt;1000床）且管理水平较高的医院污水处理系统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次氯酸钠</w:t>
            </w:r>
          </w:p>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NaClO</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无毒，运行、管理无危险性。</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产生具致癌、致畸作用的有机氯化物(THMs)；使水的pH值升高。</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与Cl</w:t>
            </w:r>
            <w:r>
              <w:rPr>
                <w:rFonts w:ascii="Times New Roman" w:hAnsi="Times New Roman" w:eastAsia="宋体" w:cs="宋体"/>
                <w:color w:val="000000" w:themeColor="text1"/>
                <w:vertAlign w:val="subscript"/>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杀菌效果相同。</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Times New Roman"/>
                <w:color w:val="FF0000"/>
              </w:rPr>
              <w:t>适用于各类规模医院污水的消毒处理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二氧化氯</w:t>
            </w:r>
          </w:p>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ClO</w:t>
            </w:r>
            <w:r>
              <w:rPr>
                <w:rFonts w:ascii="Times New Roman" w:hAnsi="Times New Roman" w:eastAsia="宋体" w:cs="宋体"/>
                <w:color w:val="000000" w:themeColor="text1"/>
                <w:vertAlign w:val="subscript"/>
                <w14:textFill>
                  <w14:solidFill>
                    <w14:schemeClr w14:val="tx1"/>
                  </w14:solidFill>
                </w14:textFill>
              </w:rPr>
              <w:t>2</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具有强烈的氧化作用，不产生有机氯化物(THMs)；投放简单方便；不受pH影响。</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ClO</w:t>
            </w:r>
            <w:r>
              <w:rPr>
                <w:rFonts w:ascii="Times New Roman" w:hAnsi="Times New Roman" w:eastAsia="宋体" w:cs="宋体"/>
                <w:color w:val="000000" w:themeColor="text1"/>
                <w:vertAlign w:val="subscript"/>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运行、管理技术成熟，但只能就地生产，就地使用；制取设备复杂；操作管理要求高。</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较Cl</w:t>
            </w:r>
            <w:r>
              <w:rPr>
                <w:rFonts w:ascii="Times New Roman" w:hAnsi="Times New Roman" w:eastAsia="宋体" w:cs="宋体"/>
                <w:color w:val="000000" w:themeColor="text1"/>
                <w:vertAlign w:val="subscript"/>
                <w14:textFill>
                  <w14:solidFill>
                    <w14:schemeClr w14:val="tx1"/>
                  </w14:solidFill>
                </w14:textFill>
              </w:rPr>
              <w:t>2</w:t>
            </w:r>
            <w:r>
              <w:rPr>
                <w:rFonts w:ascii="Times New Roman" w:hAnsi="Times New Roman" w:eastAsia="宋体" w:cs="宋体"/>
                <w:color w:val="000000" w:themeColor="text1"/>
                <w14:textFill>
                  <w14:solidFill>
                    <w14:schemeClr w14:val="tx1"/>
                  </w14:solidFill>
                </w14:textFill>
              </w:rPr>
              <w:t>杀菌效果好。</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适用于各类规模医院污水的消毒处理，但要求管理水平较高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臭氧</w:t>
            </w:r>
          </w:p>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O</w:t>
            </w:r>
            <w:r>
              <w:rPr>
                <w:rFonts w:ascii="Times New Roman" w:hAnsi="Times New Roman" w:eastAsia="宋体" w:cs="宋体"/>
                <w:color w:val="000000" w:themeColor="text1"/>
                <w:vertAlign w:val="subscript"/>
                <w14:textFill>
                  <w14:solidFill>
                    <w14:schemeClr w14:val="tx1"/>
                  </w14:solidFill>
                </w14:textFill>
              </w:rPr>
              <w:t>3</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有强氧化能力，接触时间短；不产生有机氯化物；不受pH影响；能增加水中溶解氧。</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臭氧运行、管理有一定的危险性；操作复杂；制取臭氧的产率低；电能消耗大；基建投资较大；运行成本高。</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杀菌和杀灭病毒的效果均很好。</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传染病医院污水应优先采用臭氧消毒；处理出水再生回用或排入水体对水体和环境造成不良影响时应首选臭氧消毒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7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紫外线</w:t>
            </w:r>
          </w:p>
        </w:tc>
        <w:tc>
          <w:tcPr>
            <w:tcW w:w="2001"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无有害的残余物质；无臭味；操作简单，易实现自动化；运行管理和维修费用低。</w:t>
            </w:r>
          </w:p>
        </w:tc>
        <w:tc>
          <w:tcPr>
            <w:tcW w:w="2734"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电耗大；紫外灯管与石英套管需定期更换；对处理水的水质要求较高；无后续杀菌作用。</w:t>
            </w:r>
          </w:p>
        </w:tc>
        <w:tc>
          <w:tcPr>
            <w:tcW w:w="1215" w:type="dxa"/>
            <w:tcMar>
              <w:top w:w="0" w:type="dxa"/>
              <w:left w:w="108" w:type="dxa"/>
              <w:bottom w:w="0" w:type="dxa"/>
              <w:right w:w="108" w:type="dxa"/>
            </w:tcMar>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宋体"/>
                <w:color w:val="000000" w:themeColor="text1"/>
                <w14:textFill>
                  <w14:solidFill>
                    <w14:schemeClr w14:val="tx1"/>
                  </w14:solidFill>
                </w14:textFill>
              </w:rPr>
              <w:t>效果好，但对悬浮物浓度有要求。</w:t>
            </w:r>
          </w:p>
        </w:tc>
        <w:tc>
          <w:tcPr>
            <w:tcW w:w="2049" w:type="dxa"/>
            <w:vAlign w:val="center"/>
          </w:tcPr>
          <w:p>
            <w:pPr>
              <w:jc w:val="center"/>
              <w:rPr>
                <w:rFonts w:ascii="Times New Roman" w:hAnsi="Times New Roman" w:eastAsia="宋体" w:cs="宋体"/>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当二级处理出水254nm紫外线透射率≥60%、悬浮物浓度&lt;20mg/L时，或特殊要求情况（如排入有特殊要求的水域）可采用紫外线消毒方式</w:t>
            </w:r>
          </w:p>
        </w:tc>
      </w:tr>
    </w:tbl>
    <w:p>
      <w:pPr>
        <w:pStyle w:val="40"/>
        <w:ind w:firstLine="480"/>
        <w:rPr>
          <w:highlight w:val="yellow"/>
        </w:rPr>
      </w:pPr>
      <w:r>
        <w:rPr>
          <w:rFonts w:hint="eastAsia"/>
        </w:rPr>
        <w:t>通过比选评价认为，臭氧发生器、紫外线消毒一次性投资大且运行管理复杂；投加漂粉精、消毒液、漂白粉运行费用太昂贵；投加液氯技术成熟、效果好，但其危险性大，易泄漏，一次性投资也并不比二氧化氯发生器低多少，还易与有机物生成三氯甲烷等有毒物质；</w:t>
      </w:r>
      <w:r>
        <w:rPr>
          <w:rFonts w:hint="eastAsia"/>
          <w:color w:val="000000" w:themeColor="text1"/>
          <w14:textFill>
            <w14:solidFill>
              <w14:schemeClr w14:val="tx1"/>
            </w14:solidFill>
          </w14:textFill>
        </w:rPr>
        <w:t>二氧化氯</w:t>
      </w:r>
      <w:r>
        <w:rPr>
          <w:color w:val="000000" w:themeColor="text1"/>
          <w14:textFill>
            <w14:solidFill>
              <w14:schemeClr w14:val="tx1"/>
            </w14:solidFill>
          </w14:textFill>
        </w:rPr>
        <w:t>消毒杀菌效果较好，</w:t>
      </w:r>
      <w:r>
        <w:rPr>
          <w:rFonts w:hint="eastAsia"/>
          <w:color w:val="000000" w:themeColor="text1"/>
          <w14:textFill>
            <w14:solidFill>
              <w14:schemeClr w14:val="tx1"/>
            </w14:solidFill>
          </w14:textFill>
        </w:rPr>
        <w:t>不产生</w:t>
      </w:r>
      <w:r>
        <w:rPr>
          <w:color w:val="000000" w:themeColor="text1"/>
          <w14:textFill>
            <w14:solidFill>
              <w14:schemeClr w14:val="tx1"/>
            </w14:solidFill>
          </w14:textFill>
        </w:rPr>
        <w:t>有机氯化物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投放简单，但只能就地生产，就地使用；制取设备复杂；操作管理要求高。</w:t>
      </w:r>
      <w:r>
        <w:rPr>
          <w:rFonts w:hint="eastAsia"/>
        </w:rPr>
        <w:t>次氯酸钠</w:t>
      </w:r>
      <w:r>
        <w:t>消毒具有无毒，运行管理无</w:t>
      </w:r>
      <w:r>
        <w:rPr>
          <w:rFonts w:hint="eastAsia"/>
        </w:rPr>
        <w:t>危险</w:t>
      </w:r>
      <w:r>
        <w:t>性等优点，</w:t>
      </w:r>
      <w:r>
        <w:rPr>
          <w:rFonts w:hint="eastAsia"/>
        </w:rPr>
        <w:t>本项目</w:t>
      </w:r>
      <w:r>
        <w:t>拟建</w:t>
      </w:r>
      <w:r>
        <w:rPr>
          <w:rFonts w:hint="eastAsia"/>
        </w:rPr>
        <w:t>医院</w:t>
      </w:r>
      <w:r>
        <w:t>拟采用</w:t>
      </w:r>
      <w:r>
        <w:rPr>
          <w:rFonts w:hint="eastAsia"/>
        </w:rPr>
        <w:t>次氯酸钠</w:t>
      </w:r>
      <w:r>
        <w:t>消毒。</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根据《医疗机构水污染物排放标准》（GB18466-2005）中表2要求，采用含氯消毒剂消毒的工艺控制要求：二级标准：消毒接触池接触时间不小于1h，出口总余氯2~8mg/L。</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（8）污泥</w:t>
      </w:r>
      <w:r>
        <w:rPr>
          <w:color w:val="000000" w:themeColor="text1"/>
          <w14:textFill>
            <w14:solidFill>
              <w14:schemeClr w14:val="tx1"/>
            </w14:solidFill>
          </w14:textFill>
        </w:rPr>
        <w:t>处理</w:t>
      </w:r>
    </w:p>
    <w:p>
      <w:pPr>
        <w:adjustRightInd w:val="0"/>
        <w:snapToGrid w:val="0"/>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混凝沉淀</w:t>
      </w:r>
      <w:r>
        <w:rPr>
          <w:rFonts w:ascii="Times New Roman" w:hAnsi="Times New Roman" w:eastAsia="宋体" w:cs="Times New Roman"/>
          <w:color w:val="000000" w:themeColor="text1"/>
          <w:sz w:val="24"/>
          <w:szCs w:val="24"/>
          <w14:textFill>
            <w14:solidFill>
              <w14:schemeClr w14:val="tx1"/>
            </w14:solidFill>
          </w14:textFill>
        </w:rPr>
        <w:t>的</w:t>
      </w:r>
      <w:r>
        <w:rPr>
          <w:rFonts w:hint="eastAsia" w:ascii="Times New Roman" w:hAnsi="Times New Roman" w:eastAsia="宋体" w:cs="Times New Roman"/>
          <w:color w:val="000000" w:themeColor="text1"/>
          <w:sz w:val="24"/>
          <w:szCs w:val="24"/>
          <w14:textFill>
            <w14:solidFill>
              <w14:schemeClr w14:val="tx1"/>
            </w14:solidFill>
          </w14:textFill>
        </w:rPr>
        <w:t>污泥排入到污泥浓缩池中，污泥浓缩池的浓缩污泥通过潜污泵提升至进行污泥脱水处理并投加</w:t>
      </w:r>
      <w:r>
        <w:rPr>
          <w:rFonts w:ascii="Times New Roman" w:hAnsi="Times New Roman" w:eastAsia="宋体" w:cs="Times New Roman"/>
          <w:color w:val="000000" w:themeColor="text1"/>
          <w:sz w:val="24"/>
          <w:szCs w:val="24"/>
          <w14:textFill>
            <w14:solidFill>
              <w14:schemeClr w14:val="tx1"/>
            </w14:solidFill>
          </w14:textFill>
        </w:rPr>
        <w:t>石灰石消毒</w:t>
      </w:r>
      <w:r>
        <w:rPr>
          <w:rFonts w:hint="eastAsia" w:ascii="Times New Roman" w:hAnsi="Times New Roman" w:eastAsia="宋体" w:cs="Times New Roman"/>
          <w:color w:val="000000" w:themeColor="text1"/>
          <w:sz w:val="24"/>
          <w:szCs w:val="24"/>
          <w14:textFill>
            <w14:solidFill>
              <w14:schemeClr w14:val="tx1"/>
            </w14:solidFill>
          </w14:textFill>
        </w:rPr>
        <w:t>，泥饼定期外运处置，滤液通过管线排至调节池中进行二次处理</w:t>
      </w:r>
      <w:r>
        <w:rPr>
          <w:rFonts w:hint="eastAsia" w:ascii="Times New Roman" w:hAnsi="Times New Roman" w:eastAsia="宋体" w:cs="Times New Roman"/>
          <w:color w:val="000000" w:themeColor="text1"/>
          <w:sz w:val="24"/>
          <w:szCs w:val="24"/>
          <w:lang w:val="zh-CN"/>
          <w14:textFill>
            <w14:solidFill>
              <w14:schemeClr w14:val="tx1"/>
            </w14:solidFill>
          </w14:textFill>
        </w:rPr>
        <w:t>。污泥浓缩池的上清液回流至调节池中。</w:t>
      </w:r>
    </w:p>
    <w:p>
      <w:pPr>
        <w:adjustRightInd w:val="0"/>
        <w:snapToGrid w:val="0"/>
        <w:spacing w:line="360" w:lineRule="auto"/>
        <w:ind w:firstLine="480" w:firstLineChars="200"/>
        <w:rPr>
          <w:rFonts w:ascii="Times New Roman" w:hAnsi="Times New Roman" w:eastAsia="宋体" w:cs="Times New Roman"/>
          <w:bCs/>
          <w:color w:val="000000" w:themeColor="text1"/>
          <w:sz w:val="24"/>
          <w:szCs w:val="24"/>
          <w14:textFill>
            <w14:solidFill>
              <w14:schemeClr w14:val="tx1"/>
            </w14:solidFill>
          </w14:textFill>
        </w:rPr>
      </w:pPr>
      <w:r>
        <w:rPr>
          <w:rFonts w:hint="eastAsia" w:ascii="Times New Roman" w:hAnsi="Times New Roman" w:eastAsia="宋体" w:cs="Times New Roman"/>
          <w:bCs/>
          <w:color w:val="000000" w:themeColor="text1"/>
          <w:sz w:val="24"/>
          <w:szCs w:val="24"/>
          <w14:textFill>
            <w14:solidFill>
              <w14:schemeClr w14:val="tx1"/>
            </w14:solidFill>
          </w14:textFill>
        </w:rPr>
        <w:t>根据《医院污水处理技术指南》（环发[2003]197号）、《医院污水处理工程技术规范》（HJ2029-2013）及《排污许可申请与核发技术规范 医疗机构》（HJ1105-2020）的规定，污水处理站污泥属于危险废物的范畴，必须按医疗废物处理要求进行集中（焚烧）处理。因此</w:t>
      </w:r>
      <w:r>
        <w:rPr>
          <w:rFonts w:ascii="Times New Roman" w:hAnsi="Times New Roman" w:eastAsia="宋体" w:cs="Times New Roman"/>
          <w:bCs/>
          <w:color w:val="000000" w:themeColor="text1"/>
          <w:sz w:val="24"/>
          <w:szCs w:val="24"/>
          <w14:textFill>
            <w14:solidFill>
              <w14:schemeClr w14:val="tx1"/>
            </w14:solidFill>
          </w14:textFill>
        </w:rPr>
        <w:t>，污水处理站定期排放的污泥</w:t>
      </w:r>
      <w:r>
        <w:rPr>
          <w:rFonts w:hint="eastAsia" w:ascii="Times New Roman" w:hAnsi="Times New Roman" w:eastAsia="宋体" w:cs="Times New Roman"/>
          <w:bCs/>
          <w:color w:val="000000" w:themeColor="text1"/>
          <w:sz w:val="24"/>
          <w:szCs w:val="24"/>
          <w14:textFill>
            <w14:solidFill>
              <w14:schemeClr w14:val="tx1"/>
            </w14:solidFill>
          </w14:textFill>
        </w:rPr>
        <w:t>经</w:t>
      </w:r>
      <w:r>
        <w:rPr>
          <w:rFonts w:ascii="Times New Roman" w:hAnsi="Times New Roman" w:eastAsia="宋体" w:cs="Times New Roman"/>
          <w:bCs/>
          <w:color w:val="000000" w:themeColor="text1"/>
          <w:sz w:val="24"/>
          <w:szCs w:val="24"/>
          <w14:textFill>
            <w14:solidFill>
              <w14:schemeClr w14:val="tx1"/>
            </w14:solidFill>
          </w14:textFill>
        </w:rPr>
        <w:t>消毒后，应交由有资质</w:t>
      </w:r>
      <w:r>
        <w:rPr>
          <w:rFonts w:hint="eastAsia" w:ascii="Times New Roman" w:hAnsi="Times New Roman" w:eastAsia="宋体" w:cs="Times New Roman"/>
          <w:bCs/>
          <w:color w:val="000000" w:themeColor="text1"/>
          <w:sz w:val="24"/>
          <w:szCs w:val="24"/>
          <w14:textFill>
            <w14:solidFill>
              <w14:schemeClr w14:val="tx1"/>
            </w14:solidFill>
          </w14:textFill>
        </w:rPr>
        <w:t>单位</w:t>
      </w:r>
      <w:r>
        <w:rPr>
          <w:rFonts w:ascii="Times New Roman" w:hAnsi="Times New Roman" w:eastAsia="宋体" w:cs="Times New Roman"/>
          <w:bCs/>
          <w:color w:val="000000" w:themeColor="text1"/>
          <w:sz w:val="24"/>
          <w:szCs w:val="24"/>
          <w14:textFill>
            <w14:solidFill>
              <w14:schemeClr w14:val="tx1"/>
            </w14:solidFill>
          </w14:textFill>
        </w:rPr>
        <w:t>处理</w:t>
      </w:r>
      <w:r>
        <w:rPr>
          <w:rFonts w:hint="eastAsia" w:ascii="Times New Roman" w:hAnsi="Times New Roman" w:eastAsia="宋体" w:cs="Times New Roman"/>
          <w:bCs/>
          <w:color w:val="000000" w:themeColor="text1"/>
          <w:sz w:val="24"/>
          <w:szCs w:val="24"/>
          <w14:textFill>
            <w14:solidFill>
              <w14:schemeClr w14:val="tx1"/>
            </w14:solidFill>
          </w14:textFill>
        </w:rPr>
        <w:t>，环评</w:t>
      </w:r>
      <w:r>
        <w:rPr>
          <w:rFonts w:ascii="Times New Roman" w:hAnsi="Times New Roman" w:eastAsia="宋体" w:cs="Times New Roman"/>
          <w:bCs/>
          <w:color w:val="000000" w:themeColor="text1"/>
          <w:sz w:val="24"/>
          <w:szCs w:val="24"/>
          <w14:textFill>
            <w14:solidFill>
              <w14:schemeClr w14:val="tx1"/>
            </w14:solidFill>
          </w14:textFill>
        </w:rPr>
        <w:t>要求</w:t>
      </w:r>
      <w:r>
        <w:rPr>
          <w:rFonts w:hint="eastAsia" w:ascii="Times New Roman" w:hAnsi="Times New Roman" w:eastAsia="宋体" w:cs="Times New Roman"/>
          <w:bCs/>
          <w:color w:val="000000" w:themeColor="text1"/>
          <w:sz w:val="24"/>
          <w:szCs w:val="24"/>
          <w14:textFill>
            <w14:solidFill>
              <w14:schemeClr w14:val="tx1"/>
            </w14:solidFill>
          </w14:textFill>
        </w:rPr>
        <w:t>污水处理站污泥定期消毒后及时外运。</w:t>
      </w:r>
    </w:p>
    <w:p>
      <w:pPr>
        <w:pStyle w:val="5"/>
      </w:pPr>
      <w:r>
        <w:rPr>
          <w:rFonts w:hint="eastAsia"/>
        </w:rPr>
        <w:t>达标</w:t>
      </w:r>
      <w:r>
        <w:t>可行性分析</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本项目拟采用“混凝沉淀+次氯酸钠消毒”工艺能够有效的去除废水中部分CODCr、BOD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 xml:space="preserve">和SS等污染物，处理效率可达COD </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 xml:space="preserve">%，BOD5 </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%，SS</w:t>
      </w:r>
      <w:r>
        <w:rPr>
          <w:color w:val="000000" w:themeColor="text1"/>
          <w14:textFill>
            <w14:solidFill>
              <w14:schemeClr w14:val="tx1"/>
            </w14:solidFill>
          </w14:textFill>
        </w:rPr>
        <w:t>80</w:t>
      </w:r>
      <w:r>
        <w:rPr>
          <w:rFonts w:hint="eastAsia"/>
          <w:color w:val="000000" w:themeColor="text1"/>
          <w14:textFill>
            <w14:solidFill>
              <w14:schemeClr w14:val="tx1"/>
            </w14:solidFill>
          </w14:textFill>
        </w:rPr>
        <w:t>%，氨氮</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%。消毒采用次氯酸钠消毒工艺，消毒效果较好，是医疗废水处理的成熟工艺，项目采用该工艺，处理后污水水质为COD</w:t>
      </w:r>
      <w:r>
        <w:rPr>
          <w:color w:val="000000" w:themeColor="text1"/>
          <w14:textFill>
            <w14:solidFill>
              <w14:schemeClr w14:val="tx1"/>
            </w14:solidFill>
          </w14:textFill>
        </w:rPr>
        <w:t>180</w:t>
      </w:r>
      <w:r>
        <w:rPr>
          <w:rFonts w:hint="eastAsia"/>
          <w:color w:val="000000" w:themeColor="text1"/>
          <w14:textFill>
            <w14:solidFill>
              <w14:schemeClr w14:val="tx1"/>
            </w14:solidFill>
          </w14:textFill>
        </w:rPr>
        <w:t>mg/L、BOD</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 xml:space="preserve">mg/L、SS </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mg/L、NH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mg/L、粪大肠菌群500个/L，废水能够达到《医疗机构水污染物排放标准》（GB18466- 2005）表2的预处理标准，排入市政污水管网，经市政管网排入安康市恒口示范区污水处理厂处理达标后，最终收纳水体为月河，对周围水环境影响较小。</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处理</w:t>
      </w:r>
      <w:r>
        <w:rPr>
          <w:color w:val="000000" w:themeColor="text1"/>
          <w14:textFill>
            <w14:solidFill>
              <w14:schemeClr w14:val="tx1"/>
            </w14:solidFill>
          </w14:textFill>
        </w:rPr>
        <w:t>规范相符性</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由于本项目废水经市政管网进入安康市恒口示范区污水处理厂，污水处理工艺采用 “混凝</w:t>
      </w:r>
      <w:r>
        <w:rPr>
          <w:color w:val="000000" w:themeColor="text1"/>
          <w14:textFill>
            <w14:solidFill>
              <w14:schemeClr w14:val="tx1"/>
            </w14:solidFill>
          </w14:textFill>
        </w:rPr>
        <w:t>沉淀</w:t>
      </w:r>
      <w:r>
        <w:rPr>
          <w:rFonts w:hint="eastAsia"/>
          <w:color w:val="000000" w:themeColor="text1"/>
          <w14:textFill>
            <w14:solidFill>
              <w14:schemeClr w14:val="tx1"/>
            </w14:solidFill>
          </w14:textFill>
        </w:rPr>
        <w:t>+次氯酸钠</w:t>
      </w:r>
      <w:r>
        <w:rPr>
          <w:color w:val="000000" w:themeColor="text1"/>
          <w14:textFill>
            <w14:solidFill>
              <w14:schemeClr w14:val="tx1"/>
            </w14:solidFill>
          </w14:textFill>
        </w:rPr>
        <w:t>消毒</w:t>
      </w:r>
      <w:r>
        <w:rPr>
          <w:rFonts w:hint="eastAsia"/>
          <w:color w:val="000000" w:themeColor="text1"/>
          <w14:textFill>
            <w14:solidFill>
              <w14:schemeClr w14:val="tx1"/>
            </w14:solidFill>
          </w14:textFill>
        </w:rPr>
        <w:t>”工艺，处理工艺符合《医疗污水处理工程技术规范》(2029-2013) 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“若处理出水排入终端已建有正常运行的二级污水处理厂的城市污水管网时，可采用一级强化处理+消毒工艺”的要求。</w:t>
      </w:r>
    </w:p>
    <w:p>
      <w:pPr>
        <w:pStyle w:val="5"/>
      </w:pPr>
      <w:r>
        <w:rPr>
          <w:rFonts w:hint="eastAsia"/>
        </w:rPr>
        <w:t>收纳</w:t>
      </w:r>
      <w:r>
        <w:t>污水处理厂处理措施可行性论</w:t>
      </w:r>
    </w:p>
    <w:p>
      <w:pPr>
        <w:spacing w:line="360" w:lineRule="auto"/>
        <w:ind w:firstLine="480" w:firstLineChars="200"/>
        <w:rPr>
          <w:rFonts w:ascii="Times New Roman" w:hAnsi="Times New Roman" w:eastAsia="宋体" w:cs="Times New Roman"/>
          <w:color w:val="0C0C0C"/>
          <w:sz w:val="24"/>
          <w:szCs w:val="20"/>
        </w:rPr>
      </w:pPr>
      <w:r>
        <w:rPr>
          <w:rFonts w:ascii="Times New Roman" w:hAnsi="Times New Roman" w:eastAsia="宋体" w:cs="Times New Roman"/>
          <w:color w:val="0C0C0C"/>
          <w:sz w:val="24"/>
          <w:szCs w:val="20"/>
          <w:lang w:val="zh-CN"/>
        </w:rPr>
        <w:t>安康市恒口示范区污水处理厂</w:t>
      </w:r>
      <w:r>
        <w:rPr>
          <w:rFonts w:hint="eastAsia" w:ascii="Times New Roman" w:hAnsi="Times New Roman" w:eastAsia="宋体" w:cs="Times New Roman"/>
          <w:color w:val="0C0C0C"/>
          <w:sz w:val="24"/>
          <w:szCs w:val="20"/>
          <w:lang w:val="zh-CN"/>
        </w:rPr>
        <w:t>位于</w:t>
      </w:r>
      <w:r>
        <w:rPr>
          <w:rFonts w:hint="eastAsia" w:ascii="Times New Roman" w:hAnsi="Times New Roman" w:eastAsia="宋体" w:cs="Times New Roman"/>
          <w:color w:val="0C0C0C"/>
          <w:sz w:val="24"/>
          <w:szCs w:val="20"/>
        </w:rPr>
        <w:t>安康市</w:t>
      </w:r>
      <w:r>
        <w:rPr>
          <w:rFonts w:ascii="Times New Roman" w:hAnsi="Times New Roman" w:eastAsia="宋体" w:cs="Times New Roman"/>
          <w:color w:val="0C0C0C"/>
          <w:sz w:val="24"/>
          <w:szCs w:val="20"/>
        </w:rPr>
        <w:t>恒口示范区大同镇王家台村3</w:t>
      </w:r>
      <w:r>
        <w:rPr>
          <w:rFonts w:hint="eastAsia" w:ascii="Times New Roman" w:hAnsi="Times New Roman" w:eastAsia="宋体" w:cs="Times New Roman"/>
          <w:color w:val="0C0C0C"/>
          <w:sz w:val="24"/>
          <w:szCs w:val="20"/>
        </w:rPr>
        <w:t>组，污水</w:t>
      </w:r>
      <w:r>
        <w:rPr>
          <w:rFonts w:ascii="Times New Roman" w:hAnsi="Times New Roman" w:eastAsia="宋体" w:cs="Times New Roman"/>
          <w:color w:val="0C0C0C"/>
          <w:sz w:val="24"/>
          <w:szCs w:val="20"/>
        </w:rPr>
        <w:t>管网</w:t>
      </w:r>
      <w:r>
        <w:rPr>
          <w:rFonts w:hint="eastAsia" w:ascii="Times New Roman" w:hAnsi="Times New Roman" w:eastAsia="宋体" w:cs="Times New Roman"/>
          <w:color w:val="0C0C0C"/>
          <w:sz w:val="24"/>
          <w:szCs w:val="20"/>
        </w:rPr>
        <w:t>管网总长约90.754km，污水管网分为四个排水分区：月河以南为第一排水分区；月河以北恒河以西为第二排水分区；月河以北恒河以东，农科所-庆丰村以西为第三排水分区；月河以北，农科所-庆丰村以东的大同片区为第四排水分区。采用A</w:t>
      </w:r>
      <w:r>
        <w:rPr>
          <w:rFonts w:hint="eastAsia" w:ascii="Times New Roman" w:hAnsi="Times New Roman" w:eastAsia="宋体" w:cs="Times New Roman"/>
          <w:color w:val="0C0C0C"/>
          <w:sz w:val="24"/>
          <w:szCs w:val="20"/>
          <w:vertAlign w:val="superscript"/>
        </w:rPr>
        <w:t>2</w:t>
      </w:r>
      <w:r>
        <w:rPr>
          <w:rFonts w:hint="eastAsia" w:ascii="Times New Roman" w:hAnsi="Times New Roman" w:eastAsia="宋体" w:cs="Times New Roman"/>
          <w:color w:val="0C0C0C"/>
          <w:sz w:val="24"/>
          <w:szCs w:val="20"/>
        </w:rPr>
        <w:t>/O+混凝沉淀工艺，设计规模为近期</w:t>
      </w:r>
      <w:r>
        <w:rPr>
          <w:rFonts w:ascii="Times New Roman" w:hAnsi="Times New Roman" w:eastAsia="宋体" w:cs="Times New Roman"/>
          <w:color w:val="0C0C0C"/>
          <w:sz w:val="24"/>
          <w:szCs w:val="20"/>
        </w:rPr>
        <w:t>（</w:t>
      </w:r>
      <w:r>
        <w:rPr>
          <w:rFonts w:hint="eastAsia" w:ascii="Times New Roman" w:hAnsi="Times New Roman" w:eastAsia="宋体" w:cs="Times New Roman"/>
          <w:color w:val="0C0C0C"/>
          <w:sz w:val="24"/>
          <w:szCs w:val="20"/>
        </w:rPr>
        <w:t>2015年</w:t>
      </w:r>
      <w:r>
        <w:rPr>
          <w:rFonts w:ascii="Times New Roman" w:hAnsi="Times New Roman" w:eastAsia="宋体" w:cs="Times New Roman"/>
          <w:color w:val="0C0C0C"/>
          <w:sz w:val="24"/>
          <w:szCs w:val="20"/>
        </w:rPr>
        <w:t>）</w:t>
      </w:r>
      <w:r>
        <w:rPr>
          <w:rFonts w:hint="eastAsia" w:ascii="Times New Roman" w:hAnsi="Times New Roman" w:eastAsia="宋体" w:cs="Times New Roman"/>
          <w:color w:val="0C0C0C"/>
          <w:sz w:val="24"/>
          <w:szCs w:val="20"/>
        </w:rPr>
        <w:t>日处理污水</w:t>
      </w:r>
      <w:r>
        <w:rPr>
          <w:rFonts w:ascii="Times New Roman" w:hAnsi="Times New Roman" w:eastAsia="宋体" w:cs="Times New Roman"/>
          <w:color w:val="0C0C0C"/>
          <w:sz w:val="24"/>
          <w:szCs w:val="20"/>
        </w:rPr>
        <w:t>2</w:t>
      </w:r>
      <w:r>
        <w:rPr>
          <w:rFonts w:hint="eastAsia" w:ascii="Times New Roman" w:hAnsi="Times New Roman" w:eastAsia="宋体" w:cs="Times New Roman"/>
          <w:color w:val="0C0C0C"/>
          <w:sz w:val="24"/>
          <w:szCs w:val="20"/>
        </w:rPr>
        <w:t>万t/d，远期</w:t>
      </w:r>
      <w:r>
        <w:rPr>
          <w:rFonts w:ascii="Times New Roman" w:hAnsi="Times New Roman" w:eastAsia="宋体" w:cs="Times New Roman"/>
          <w:color w:val="0C0C0C"/>
          <w:sz w:val="24"/>
          <w:szCs w:val="20"/>
        </w:rPr>
        <w:t>（</w:t>
      </w:r>
      <w:r>
        <w:rPr>
          <w:rFonts w:hint="eastAsia" w:ascii="Times New Roman" w:hAnsi="Times New Roman" w:eastAsia="宋体" w:cs="Times New Roman"/>
          <w:color w:val="0C0C0C"/>
          <w:sz w:val="24"/>
          <w:szCs w:val="20"/>
        </w:rPr>
        <w:t>2020年</w:t>
      </w:r>
      <w:r>
        <w:rPr>
          <w:rFonts w:ascii="Times New Roman" w:hAnsi="Times New Roman" w:eastAsia="宋体" w:cs="Times New Roman"/>
          <w:color w:val="0C0C0C"/>
          <w:sz w:val="24"/>
          <w:szCs w:val="20"/>
        </w:rPr>
        <w:t>）</w:t>
      </w:r>
      <w:r>
        <w:rPr>
          <w:rFonts w:hint="eastAsia" w:ascii="Times New Roman" w:hAnsi="Times New Roman" w:eastAsia="宋体" w:cs="Times New Roman"/>
          <w:color w:val="0C0C0C"/>
          <w:sz w:val="24"/>
          <w:szCs w:val="20"/>
        </w:rPr>
        <w:t>30000</w:t>
      </w:r>
      <w:r>
        <w:rPr>
          <w:rFonts w:ascii="Times New Roman" w:hAnsi="Times New Roman" w:eastAsia="宋体" w:cs="Times New Roman"/>
          <w:color w:val="0C0C0C"/>
          <w:sz w:val="24"/>
          <w:szCs w:val="20"/>
        </w:rPr>
        <w:t>m</w:t>
      </w:r>
      <w:r>
        <w:rPr>
          <w:rFonts w:ascii="Times New Roman" w:hAnsi="Times New Roman" w:eastAsia="宋体" w:cs="Times New Roman"/>
          <w:color w:val="0C0C0C"/>
          <w:sz w:val="24"/>
          <w:szCs w:val="20"/>
          <w:vertAlign w:val="superscript"/>
        </w:rPr>
        <w:t>3</w:t>
      </w:r>
      <w:r>
        <w:rPr>
          <w:rFonts w:ascii="Times New Roman" w:hAnsi="Times New Roman" w:eastAsia="宋体" w:cs="Times New Roman"/>
          <w:color w:val="0C0C0C"/>
          <w:sz w:val="24"/>
          <w:szCs w:val="20"/>
        </w:rPr>
        <w:t>/d，</w:t>
      </w:r>
      <w:r>
        <w:rPr>
          <w:rFonts w:hint="eastAsia" w:ascii="Times New Roman" w:hAnsi="Times New Roman" w:eastAsia="宋体" w:cs="Times New Roman"/>
          <w:color w:val="0C0C0C"/>
          <w:sz w:val="24"/>
          <w:szCs w:val="20"/>
        </w:rPr>
        <w:t>实际</w:t>
      </w:r>
      <w:r>
        <w:rPr>
          <w:rFonts w:ascii="Times New Roman" w:hAnsi="Times New Roman" w:eastAsia="宋体" w:cs="Times New Roman"/>
          <w:color w:val="0C0C0C"/>
          <w:sz w:val="24"/>
          <w:szCs w:val="20"/>
        </w:rPr>
        <w:t>处</w:t>
      </w:r>
      <w:r>
        <w:rPr>
          <w:rFonts w:ascii="Times New Roman" w:hAnsi="Times New Roman" w:eastAsia="宋体" w:cs="Times New Roman"/>
          <w:sz w:val="24"/>
          <w:szCs w:val="20"/>
        </w:rPr>
        <w:t>理量</w:t>
      </w:r>
      <w:r>
        <w:rPr>
          <w:rFonts w:hint="eastAsia" w:ascii="Times New Roman" w:hAnsi="Times New Roman" w:eastAsia="宋体" w:cs="Times New Roman"/>
          <w:sz w:val="24"/>
          <w:szCs w:val="20"/>
        </w:rPr>
        <w:t>8000</w:t>
      </w:r>
      <w:r>
        <w:rPr>
          <w:rFonts w:ascii="Times New Roman" w:hAnsi="Times New Roman" w:eastAsia="宋体" w:cs="Times New Roman"/>
          <w:sz w:val="24"/>
          <w:szCs w:val="20"/>
        </w:rPr>
        <w:t>~9000m</w:t>
      </w:r>
      <w:r>
        <w:rPr>
          <w:rFonts w:ascii="Times New Roman" w:hAnsi="Times New Roman" w:eastAsia="宋体" w:cs="Times New Roman"/>
          <w:sz w:val="24"/>
          <w:szCs w:val="20"/>
          <w:vertAlign w:val="superscript"/>
        </w:rPr>
        <w:t>3</w:t>
      </w:r>
      <w:r>
        <w:rPr>
          <w:rFonts w:ascii="Times New Roman" w:hAnsi="Times New Roman" w:eastAsia="宋体" w:cs="Times New Roman"/>
          <w:sz w:val="24"/>
          <w:szCs w:val="20"/>
        </w:rPr>
        <w:t>/d</w:t>
      </w:r>
      <w:r>
        <w:rPr>
          <w:rFonts w:ascii="Times New Roman" w:hAnsi="Times New Roman" w:eastAsia="宋体" w:cs="Times New Roman"/>
          <w:color w:val="0C0C0C"/>
          <w:sz w:val="24"/>
          <w:szCs w:val="20"/>
        </w:rPr>
        <w:t>，</w:t>
      </w:r>
      <w:r>
        <w:rPr>
          <w:rFonts w:ascii="Times New Roman" w:hAnsi="Times New Roman" w:eastAsia="宋体" w:cs="Times New Roman"/>
          <w:color w:val="0C0C0C"/>
          <w:sz w:val="24"/>
          <w:szCs w:val="20"/>
          <w:lang w:val="zh-CN"/>
        </w:rPr>
        <w:t>经处理后出水水质达到《城镇污水处理厂污染物排放标准》（GB18918-2002）一级A标准。</w:t>
      </w:r>
      <w:r>
        <w:rPr>
          <w:rFonts w:ascii="Times New Roman" w:hAnsi="Times New Roman" w:eastAsia="宋体" w:cs="Times New Roman"/>
          <w:color w:val="0C0C0C"/>
          <w:sz w:val="24"/>
          <w:szCs w:val="20"/>
        </w:rPr>
        <w:t>本项目</w:t>
      </w:r>
      <w:r>
        <w:rPr>
          <w:rFonts w:hint="eastAsia" w:ascii="Times New Roman" w:hAnsi="Times New Roman" w:eastAsia="宋体" w:cs="Times New Roman"/>
          <w:color w:val="0C0C0C"/>
          <w:sz w:val="24"/>
          <w:szCs w:val="20"/>
        </w:rPr>
        <w:t>位于</w:t>
      </w:r>
      <w:r>
        <w:rPr>
          <w:rFonts w:ascii="Times New Roman" w:hAnsi="Times New Roman" w:eastAsia="宋体" w:cs="Times New Roman"/>
          <w:color w:val="0C0C0C"/>
          <w:sz w:val="24"/>
          <w:szCs w:val="20"/>
        </w:rPr>
        <w:t>安康市恒口示范区污水处理厂</w:t>
      </w:r>
      <w:r>
        <w:rPr>
          <w:rFonts w:hint="eastAsia" w:ascii="Times New Roman" w:hAnsi="Times New Roman" w:eastAsia="宋体" w:cs="Times New Roman"/>
          <w:color w:val="0C0C0C"/>
          <w:sz w:val="24"/>
          <w:szCs w:val="20"/>
        </w:rPr>
        <w:t>西南</w:t>
      </w:r>
      <w:r>
        <w:rPr>
          <w:rFonts w:ascii="Times New Roman" w:hAnsi="Times New Roman" w:eastAsia="宋体" w:cs="Times New Roman"/>
          <w:color w:val="0C0C0C"/>
          <w:sz w:val="24"/>
          <w:szCs w:val="20"/>
        </w:rPr>
        <w:t>侧4.2km，属于污水处理厂的收水范围</w:t>
      </w:r>
      <w:r>
        <w:rPr>
          <w:rFonts w:hint="eastAsia" w:ascii="Times New Roman" w:hAnsi="Times New Roman" w:eastAsia="宋体" w:cs="Times New Roman"/>
          <w:color w:val="0C0C0C"/>
          <w:sz w:val="24"/>
          <w:szCs w:val="20"/>
        </w:rPr>
        <w:t>的</w:t>
      </w:r>
      <w:r>
        <w:rPr>
          <w:rFonts w:ascii="Times New Roman" w:hAnsi="Times New Roman" w:eastAsia="宋体" w:cs="Times New Roman"/>
          <w:color w:val="0C0C0C"/>
          <w:sz w:val="24"/>
          <w:szCs w:val="20"/>
        </w:rPr>
        <w:t>第一排水分区，</w:t>
      </w:r>
      <w:r>
        <w:rPr>
          <w:rFonts w:hint="eastAsia" w:ascii="Times New Roman" w:hAnsi="Times New Roman" w:eastAsia="宋体" w:cs="Times New Roman"/>
          <w:color w:val="0C0C0C"/>
          <w:sz w:val="24"/>
          <w:szCs w:val="20"/>
        </w:rPr>
        <w:t>剩余</w:t>
      </w:r>
      <w:r>
        <w:rPr>
          <w:rFonts w:ascii="Times New Roman" w:hAnsi="Times New Roman" w:eastAsia="宋体" w:cs="Times New Roman"/>
          <w:color w:val="0C0C0C"/>
          <w:sz w:val="24"/>
          <w:szCs w:val="20"/>
        </w:rPr>
        <w:t>处理能力约</w:t>
      </w:r>
      <w:r>
        <w:rPr>
          <w:rFonts w:hint="eastAsia" w:ascii="Times New Roman" w:hAnsi="Times New Roman" w:eastAsia="宋体" w:cs="Times New Roman"/>
          <w:sz w:val="24"/>
          <w:szCs w:val="20"/>
        </w:rPr>
        <w:t>11000</w:t>
      </w:r>
      <w:r>
        <w:rPr>
          <w:rFonts w:ascii="Times New Roman" w:hAnsi="Times New Roman" w:eastAsia="宋体" w:cs="Times New Roman"/>
          <w:sz w:val="24"/>
          <w:szCs w:val="20"/>
        </w:rPr>
        <w:t>m</w:t>
      </w:r>
      <w:r>
        <w:rPr>
          <w:rFonts w:ascii="Times New Roman" w:hAnsi="Times New Roman" w:eastAsia="宋体" w:cs="Times New Roman"/>
          <w:sz w:val="24"/>
          <w:szCs w:val="20"/>
          <w:vertAlign w:val="superscript"/>
        </w:rPr>
        <w:t>3</w:t>
      </w:r>
      <w:r>
        <w:rPr>
          <w:rFonts w:ascii="Times New Roman" w:hAnsi="Times New Roman" w:eastAsia="宋体" w:cs="Times New Roman"/>
          <w:sz w:val="24"/>
          <w:szCs w:val="20"/>
        </w:rPr>
        <w:t>/d~12000m</w:t>
      </w:r>
      <w:r>
        <w:rPr>
          <w:rFonts w:ascii="Times New Roman" w:hAnsi="Times New Roman" w:eastAsia="宋体" w:cs="Times New Roman"/>
          <w:sz w:val="24"/>
          <w:szCs w:val="20"/>
          <w:vertAlign w:val="superscript"/>
        </w:rPr>
        <w:t>3</w:t>
      </w:r>
      <w:r>
        <w:rPr>
          <w:rFonts w:ascii="Times New Roman" w:hAnsi="Times New Roman" w:eastAsia="宋体" w:cs="Times New Roman"/>
          <w:sz w:val="24"/>
          <w:szCs w:val="20"/>
        </w:rPr>
        <w:t>/d</w:t>
      </w:r>
      <w:r>
        <w:rPr>
          <w:rFonts w:ascii="Times New Roman" w:hAnsi="Times New Roman" w:eastAsia="宋体" w:cs="Times New Roman"/>
          <w:color w:val="FF0000"/>
          <w:sz w:val="24"/>
          <w:szCs w:val="20"/>
        </w:rPr>
        <w:t>，</w:t>
      </w:r>
      <w:r>
        <w:rPr>
          <w:rFonts w:ascii="Times New Roman" w:hAnsi="Times New Roman" w:eastAsia="宋体" w:cs="Times New Roman"/>
          <w:color w:val="0C0C0C"/>
          <w:sz w:val="24"/>
          <w:szCs w:val="20"/>
        </w:rPr>
        <w:t>且本项目废水量约为195.32</w:t>
      </w:r>
      <w:r>
        <w:rPr>
          <w:rFonts w:ascii="Times New Roman" w:hAnsi="Times New Roman" w:eastAsia="宋体" w:cs="Times New Roman"/>
          <w:color w:val="0C0C0C"/>
          <w:sz w:val="24"/>
          <w:szCs w:val="20"/>
          <w:lang w:val="zh-CN"/>
        </w:rPr>
        <w:t>m</w:t>
      </w:r>
      <w:r>
        <w:rPr>
          <w:rFonts w:ascii="Times New Roman" w:hAnsi="Times New Roman" w:eastAsia="宋体" w:cs="Times New Roman"/>
          <w:color w:val="0C0C0C"/>
          <w:sz w:val="24"/>
          <w:szCs w:val="20"/>
          <w:vertAlign w:val="superscript"/>
        </w:rPr>
        <w:t>3</w:t>
      </w:r>
      <w:r>
        <w:rPr>
          <w:rFonts w:ascii="Times New Roman" w:hAnsi="Times New Roman" w:eastAsia="宋体" w:cs="Times New Roman"/>
          <w:color w:val="0C0C0C"/>
          <w:sz w:val="24"/>
          <w:szCs w:val="20"/>
          <w:lang w:val="zh-CN"/>
        </w:rPr>
        <w:t>/d，</w:t>
      </w:r>
      <w:r>
        <w:rPr>
          <w:rFonts w:ascii="Times New Roman" w:hAnsi="Times New Roman" w:eastAsia="宋体" w:cs="Times New Roman"/>
          <w:color w:val="000000" w:themeColor="text1"/>
          <w:sz w:val="24"/>
          <w:szCs w:val="20"/>
          <w:lang w:val="zh-CN"/>
          <w14:textFill>
            <w14:solidFill>
              <w14:schemeClr w14:val="tx1"/>
            </w14:solidFill>
          </w14:textFill>
        </w:rPr>
        <w:t>约</w:t>
      </w:r>
      <w:r>
        <w:rPr>
          <w:rFonts w:ascii="Times New Roman" w:hAnsi="Times New Roman" w:eastAsia="宋体" w:cs="Times New Roman"/>
          <w:color w:val="000000" w:themeColor="text1"/>
          <w:sz w:val="24"/>
          <w:szCs w:val="20"/>
          <w14:textFill>
            <w14:solidFill>
              <w14:schemeClr w14:val="tx1"/>
            </w14:solidFill>
          </w14:textFill>
        </w:rPr>
        <w:t>占污水处理厂总规模的0.98%，</w:t>
      </w:r>
      <w:r>
        <w:rPr>
          <w:rFonts w:hint="eastAsia" w:ascii="Times New Roman" w:hAnsi="Times New Roman" w:eastAsia="宋体" w:cs="Times New Roman"/>
          <w:color w:val="000000" w:themeColor="text1"/>
          <w:sz w:val="24"/>
          <w:szCs w:val="20"/>
          <w14:textFill>
            <w14:solidFill>
              <w14:schemeClr w14:val="tx1"/>
            </w14:solidFill>
          </w14:textFill>
        </w:rPr>
        <w:t>剩余</w:t>
      </w:r>
      <w:r>
        <w:rPr>
          <w:rFonts w:ascii="Times New Roman" w:hAnsi="Times New Roman" w:eastAsia="宋体" w:cs="Times New Roman"/>
          <w:color w:val="000000" w:themeColor="text1"/>
          <w:sz w:val="24"/>
          <w:szCs w:val="20"/>
          <w14:textFill>
            <w14:solidFill>
              <w14:schemeClr w14:val="tx1"/>
            </w14:solidFill>
          </w14:textFill>
        </w:rPr>
        <w:t>处理规模的</w:t>
      </w:r>
      <w:r>
        <w:rPr>
          <w:rFonts w:hint="eastAsia" w:ascii="Times New Roman" w:hAnsi="Times New Roman" w:eastAsia="宋体" w:cs="Times New Roman"/>
          <w:color w:val="000000" w:themeColor="text1"/>
          <w:sz w:val="24"/>
          <w:szCs w:val="20"/>
          <w14:textFill>
            <w14:solidFill>
              <w14:schemeClr w14:val="tx1"/>
            </w14:solidFill>
          </w14:textFill>
        </w:rPr>
        <w:t>1.63</w:t>
      </w:r>
      <w:r>
        <w:rPr>
          <w:rFonts w:ascii="Times New Roman" w:hAnsi="Times New Roman" w:eastAsia="宋体" w:cs="Times New Roman"/>
          <w:color w:val="000000" w:themeColor="text1"/>
          <w:sz w:val="24"/>
          <w:szCs w:val="20"/>
          <w14:textFill>
            <w14:solidFill>
              <w14:schemeClr w14:val="tx1"/>
            </w14:solidFill>
          </w14:textFill>
        </w:rPr>
        <w:t>%</w:t>
      </w:r>
      <w:r>
        <w:rPr>
          <w:rFonts w:hint="eastAsia" w:ascii="Times New Roman" w:hAnsi="Times New Roman" w:eastAsia="宋体" w:cs="Times New Roman"/>
          <w:color w:val="000000" w:themeColor="text1"/>
          <w:sz w:val="24"/>
          <w:szCs w:val="20"/>
          <w14:textFill>
            <w14:solidFill>
              <w14:schemeClr w14:val="tx1"/>
            </w14:solidFill>
          </w14:textFill>
        </w:rPr>
        <w:t>~</w:t>
      </w:r>
      <w:r>
        <w:rPr>
          <w:rFonts w:ascii="Times New Roman" w:hAnsi="Times New Roman" w:eastAsia="宋体" w:cs="Times New Roman"/>
          <w:color w:val="000000" w:themeColor="text1"/>
          <w:sz w:val="24"/>
          <w:szCs w:val="20"/>
          <w14:textFill>
            <w14:solidFill>
              <w14:schemeClr w14:val="tx1"/>
            </w14:solidFill>
          </w14:textFill>
        </w:rPr>
        <w:t>1.78%</w:t>
      </w:r>
      <w:r>
        <w:rPr>
          <w:rFonts w:hint="eastAsia" w:ascii="Times New Roman" w:hAnsi="Times New Roman" w:eastAsia="宋体" w:cs="Times New Roman"/>
          <w:color w:val="000000" w:themeColor="text1"/>
          <w:sz w:val="24"/>
          <w:szCs w:val="20"/>
          <w14:textFill>
            <w14:solidFill>
              <w14:schemeClr w14:val="tx1"/>
            </w14:solidFill>
          </w14:textFill>
        </w:rPr>
        <w:t>，污水</w:t>
      </w:r>
      <w:r>
        <w:rPr>
          <w:rFonts w:ascii="Times New Roman" w:hAnsi="Times New Roman" w:eastAsia="宋体" w:cs="Times New Roman"/>
          <w:color w:val="000000" w:themeColor="text1"/>
          <w:sz w:val="24"/>
          <w:szCs w:val="20"/>
          <w14:textFill>
            <w14:solidFill>
              <w14:schemeClr w14:val="tx1"/>
            </w14:solidFill>
          </w14:textFill>
        </w:rPr>
        <w:t>处理厂剩余处理量满足本项目水量处理要求，且项目废水经地埋式水池设备处理后，废水中污染物浓度较小，</w:t>
      </w:r>
      <w:r>
        <w:rPr>
          <w:rFonts w:hint="eastAsia" w:ascii="Times New Roman" w:hAnsi="Times New Roman" w:eastAsia="宋体" w:cs="Times New Roman"/>
          <w:color w:val="000000" w:themeColor="text1"/>
          <w:sz w:val="24"/>
          <w:szCs w:val="20"/>
          <w14:textFill>
            <w14:solidFill>
              <w14:schemeClr w14:val="tx1"/>
            </w14:solidFill>
          </w14:textFill>
        </w:rPr>
        <w:t>不会</w:t>
      </w:r>
      <w:r>
        <w:rPr>
          <w:rFonts w:ascii="Times New Roman" w:hAnsi="Times New Roman" w:eastAsia="宋体" w:cs="Times New Roman"/>
          <w:color w:val="000000" w:themeColor="text1"/>
          <w:sz w:val="24"/>
          <w:szCs w:val="20"/>
          <w14:textFill>
            <w14:solidFill>
              <w14:schemeClr w14:val="tx1"/>
            </w14:solidFill>
          </w14:textFill>
        </w:rPr>
        <w:t>对污水处理厂水质造成冲击，故可依托</w:t>
      </w:r>
      <w:r>
        <w:rPr>
          <w:rFonts w:ascii="Times New Roman" w:hAnsi="Times New Roman" w:eastAsia="宋体" w:cs="Times New Roman"/>
          <w:color w:val="0C0C0C"/>
          <w:sz w:val="24"/>
          <w:szCs w:val="20"/>
        </w:rPr>
        <w:t>处理。</w:t>
      </w:r>
    </w:p>
    <w:p>
      <w:pPr>
        <w:spacing w:line="360" w:lineRule="auto"/>
        <w:ind w:firstLine="480" w:firstLineChars="200"/>
        <w:rPr>
          <w:rFonts w:ascii="Times New Roman" w:hAnsi="Times New Roman" w:eastAsia="宋体" w:cs="Times New Roman"/>
          <w:color w:val="0C0C0C"/>
          <w:sz w:val="24"/>
        </w:rPr>
      </w:pPr>
      <w:r>
        <w:rPr>
          <w:rFonts w:ascii="Times New Roman" w:hAnsi="Times New Roman" w:eastAsia="宋体" w:cs="Times New Roman"/>
          <w:color w:val="0C0C0C"/>
          <w:sz w:val="24"/>
          <w:lang w:val="zh-CN"/>
        </w:rPr>
        <w:t>综上，本项目产生的废水经处理后达标排放，对周围水环境影响较小。</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地下水</w:t>
      </w:r>
      <w:r>
        <w:rPr>
          <w:color w:val="000000" w:themeColor="text1"/>
          <w14:textFill>
            <w14:solidFill>
              <w14:schemeClr w14:val="tx1"/>
            </w14:solidFill>
          </w14:textFill>
        </w:rPr>
        <w:t>污染防治措施</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为了将本项目对地下水的影响降至最低限度，建议采取以下措施：</w:t>
      </w:r>
    </w:p>
    <w:p>
      <w:pPr>
        <w:pStyle w:val="40"/>
        <w:ind w:firstLine="480"/>
        <w:rPr>
          <w:color w:val="000000" w:themeColor="text1"/>
          <w14:textFill>
            <w14:solidFill>
              <w14:schemeClr w14:val="tx1"/>
            </w14:solidFill>
          </w14:textFill>
        </w:rPr>
      </w:pPr>
      <w:r>
        <w:rPr>
          <w:color w:val="000000" w:themeColor="text1"/>
          <w14:textFill>
            <w14:solidFill>
              <w14:schemeClr w14:val="tx1"/>
            </w14:solidFill>
          </w14:textFill>
        </w:rPr>
        <w:t>（1）源头控制措施</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① 医疗废物暂存</w:t>
      </w:r>
      <w:r>
        <w:rPr>
          <w:color w:val="000000" w:themeColor="text1"/>
          <w14:textFill>
            <w14:solidFill>
              <w14:schemeClr w14:val="tx1"/>
            </w14:solidFill>
          </w14:textFill>
        </w:rPr>
        <w:t>在</w:t>
      </w:r>
      <w:r>
        <w:rPr>
          <w:rFonts w:hint="eastAsia"/>
          <w:color w:val="000000" w:themeColor="text1"/>
          <w14:textFill>
            <w14:solidFill>
              <w14:schemeClr w14:val="tx1"/>
            </w14:solidFill>
          </w14:textFill>
        </w:rPr>
        <w:t>医疗废物贮存间，</w:t>
      </w:r>
      <w:r>
        <w:rPr>
          <w:color w:val="000000" w:themeColor="text1"/>
          <w14:textFill>
            <w14:solidFill>
              <w14:schemeClr w14:val="tx1"/>
            </w14:solidFill>
          </w14:textFill>
        </w:rPr>
        <w:t>医疗废物</w:t>
      </w:r>
      <w:r>
        <w:rPr>
          <w:rFonts w:hint="eastAsia"/>
          <w:color w:val="000000" w:themeColor="text1"/>
          <w14:textFill>
            <w14:solidFill>
              <w14:schemeClr w14:val="tx1"/>
            </w14:solidFill>
          </w14:textFill>
        </w:rPr>
        <w:t>根据其危险特性进行分类贮存。</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② 医疗</w:t>
      </w:r>
      <w:r>
        <w:rPr>
          <w:color w:val="000000" w:themeColor="text1"/>
          <w14:textFill>
            <w14:solidFill>
              <w14:schemeClr w14:val="tx1"/>
            </w14:solidFill>
          </w14:textFill>
        </w:rPr>
        <w:t>废物的收集、转运、交接、贮存严格按照相应的规程、规范执行。</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③ 各污水处理构筑物均用水泥硬化并全池涂环氧树脂防腐防渗。</w:t>
      </w:r>
    </w:p>
    <w:p>
      <w:pPr>
        <w:pStyle w:val="85"/>
        <w:snapToGrid w:val="0"/>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（2）分区防渗措施</w:t>
      </w:r>
    </w:p>
    <w:p>
      <w:pPr>
        <w:pStyle w:val="85"/>
        <w:snapToGrid w:val="0"/>
        <w:spacing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本次环评根据《环境影响评价技术导则 地下水环境》（HJ610-2016）中分区防控的要求，对厂址区的污染源进行分区防渗，提出防渗要求。</w:t>
      </w:r>
    </w:p>
    <w:p>
      <w:pPr>
        <w:pStyle w:val="85"/>
        <w:snapToGrid w:val="0"/>
        <w:spacing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① 医疗废物</w:t>
      </w:r>
      <w:r>
        <w:rPr>
          <w:rFonts w:ascii="Times New Roman" w:hAnsi="Times New Roman"/>
          <w:color w:val="000000" w:themeColor="text1"/>
          <w14:textFill>
            <w14:solidFill>
              <w14:schemeClr w14:val="tx1"/>
            </w14:solidFill>
          </w14:textFill>
        </w:rPr>
        <w:t>贮存间</w:t>
      </w:r>
    </w:p>
    <w:p>
      <w:pPr>
        <w:tabs>
          <w:tab w:val="left" w:pos="2700"/>
        </w:tabs>
        <w:adjustRightInd w:val="0"/>
        <w:snapToGrid w:val="0"/>
        <w:spacing w:line="348"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按照《危险</w:t>
      </w:r>
      <w:r>
        <w:rPr>
          <w:color w:val="000000" w:themeColor="text1"/>
          <w:sz w:val="24"/>
          <w14:textFill>
            <w14:solidFill>
              <w14:schemeClr w14:val="tx1"/>
            </w14:solidFill>
          </w14:textFill>
        </w:rPr>
        <w:t>废物贮存污染控制标准》</w:t>
      </w:r>
      <w:r>
        <w:rPr>
          <w:rStyle w:val="41"/>
          <w:rFonts w:hint="eastAsia"/>
          <w:color w:val="000000" w:themeColor="text1"/>
          <w14:textFill>
            <w14:solidFill>
              <w14:schemeClr w14:val="tx1"/>
            </w14:solidFill>
          </w14:textFill>
        </w:rPr>
        <w:t>（GB18597-2001</w:t>
      </w:r>
      <w:r>
        <w:rPr>
          <w:rStyle w:val="41"/>
          <w:color w:val="000000" w:themeColor="text1"/>
          <w14:textFill>
            <w14:solidFill>
              <w14:schemeClr w14:val="tx1"/>
            </w14:solidFill>
          </w14:textFill>
        </w:rPr>
        <w:t>）</w:t>
      </w:r>
      <w:r>
        <w:rPr>
          <w:rStyle w:val="41"/>
          <w:rFonts w:hint="eastAsia"/>
          <w:color w:val="000000" w:themeColor="text1"/>
          <w14:textFill>
            <w14:solidFill>
              <w14:schemeClr w14:val="tx1"/>
            </w14:solidFill>
          </w14:textFill>
        </w:rPr>
        <w:t>要求</w:t>
      </w:r>
      <w:r>
        <w:rPr>
          <w:color w:val="000000" w:themeColor="text1"/>
          <w:sz w:val="24"/>
          <w14:textFill>
            <w14:solidFill>
              <w14:schemeClr w14:val="tx1"/>
            </w14:solidFill>
          </w14:textFill>
        </w:rPr>
        <w:t>进行基础防渗。</w:t>
      </w:r>
    </w:p>
    <w:p>
      <w:pPr>
        <w:pStyle w:val="85"/>
        <w:snapToGrid w:val="0"/>
        <w:spacing w:line="360" w:lineRule="auto"/>
        <w:ind w:firstLine="48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② 各污水处理构筑物</w:t>
      </w:r>
    </w:p>
    <w:p>
      <w:pPr>
        <w:pStyle w:val="85"/>
        <w:snapToGrid w:val="0"/>
        <w:spacing w:line="360" w:lineRule="auto"/>
        <w:ind w:firstLine="480"/>
        <w:rPr>
          <w:rFonts w:ascii="Times New Roman" w:hAnsi="Times New Roman"/>
          <w:color w:val="000000" w:themeColor="text1"/>
          <w:lang w:val="zh-CN" w:eastAsia="zh-CN"/>
          <w14:textFill>
            <w14:solidFill>
              <w14:schemeClr w14:val="tx1"/>
            </w14:solidFill>
          </w14:textFill>
        </w:rPr>
      </w:pPr>
      <w:r>
        <w:rPr>
          <w:rFonts w:ascii="Times New Roman" w:hAnsi="Times New Roman"/>
          <w:color w:val="000000" w:themeColor="text1"/>
          <w14:textFill>
            <w14:solidFill>
              <w14:schemeClr w14:val="tx1"/>
            </w14:solidFill>
          </w14:textFill>
        </w:rPr>
        <w:t>项目厂址区包气带防污性能为</w:t>
      </w:r>
      <w:r>
        <w:rPr>
          <w:rFonts w:hint="eastAsia" w:ascii="Times New Roman" w:hAnsi="Times New Roman"/>
          <w:color w:val="000000" w:themeColor="text1"/>
          <w14:textFill>
            <w14:solidFill>
              <w14:schemeClr w14:val="tx1"/>
            </w14:solidFill>
          </w14:textFill>
        </w:rPr>
        <w:t>“弱”</w:t>
      </w:r>
      <w:r>
        <w:rPr>
          <w:rFonts w:ascii="Times New Roman" w:hAnsi="Times New Roman"/>
          <w:color w:val="000000" w:themeColor="text1"/>
          <w14:textFill>
            <w14:solidFill>
              <w14:schemeClr w14:val="tx1"/>
            </w14:solidFill>
          </w14:textFill>
        </w:rPr>
        <w:t>，污染源产生的污废水中的污染物</w:t>
      </w:r>
      <w:r>
        <w:rPr>
          <w:rFonts w:hint="eastAsia" w:ascii="Times New Roman" w:hAnsi="Times New Roman"/>
          <w:color w:val="000000" w:themeColor="text1"/>
          <w14:textFill>
            <w14:solidFill>
              <w14:schemeClr w14:val="tx1"/>
            </w14:solidFill>
          </w14:textFill>
        </w:rPr>
        <w:t>为非持久</w:t>
      </w:r>
      <w:r>
        <w:rPr>
          <w:rFonts w:hint="eastAsia" w:ascii="Times New Roman" w:hAnsi="Times New Roman"/>
          <w:color w:val="000000" w:themeColor="text1"/>
          <w:lang w:val="zh-CN" w:eastAsia="zh-CN"/>
          <w14:textFill>
            <w14:solidFill>
              <w14:schemeClr w14:val="tx1"/>
            </w14:solidFill>
          </w14:textFill>
        </w:rPr>
        <w:t>性有机污染物</w:t>
      </w:r>
      <w:r>
        <w:rPr>
          <w:rFonts w:ascii="Times New Roman" w:hAnsi="Times New Roman"/>
          <w:color w:val="000000" w:themeColor="text1"/>
          <w:lang w:val="zh-CN" w:eastAsia="zh-CN"/>
          <w14:textFill>
            <w14:solidFill>
              <w14:schemeClr w14:val="tx1"/>
            </w14:solidFill>
          </w14:textFill>
        </w:rPr>
        <w:t>，因此，根据《环境影响评价技术导则</w:t>
      </w:r>
      <w:r>
        <w:rPr>
          <w:rFonts w:hint="eastAsia" w:ascii="Times New Roman" w:hAnsi="Times New Roman"/>
          <w:color w:val="000000" w:themeColor="text1"/>
          <w:lang w:val="zh-CN" w:eastAsia="zh-CN"/>
          <w14:textFill>
            <w14:solidFill>
              <w14:schemeClr w14:val="tx1"/>
            </w14:solidFill>
          </w14:textFill>
        </w:rPr>
        <w:t xml:space="preserve"> </w:t>
      </w:r>
      <w:r>
        <w:rPr>
          <w:rFonts w:ascii="Times New Roman" w:hAnsi="Times New Roman"/>
          <w:color w:val="000000" w:themeColor="text1"/>
          <w:lang w:val="zh-CN" w:eastAsia="zh-CN"/>
          <w14:textFill>
            <w14:solidFill>
              <w14:schemeClr w14:val="tx1"/>
            </w14:solidFill>
          </w14:textFill>
        </w:rPr>
        <w:t>地下水环境》（HJ610-2016）表7要求，</w:t>
      </w:r>
      <w:r>
        <w:rPr>
          <w:rFonts w:hint="eastAsia" w:ascii="Times New Roman" w:hAnsi="Times New Roman"/>
          <w:color w:val="000000" w:themeColor="text1"/>
          <w:lang w:val="zh-CN" w:eastAsia="zh-CN"/>
          <w14:textFill>
            <w14:solidFill>
              <w14:schemeClr w14:val="tx1"/>
            </w14:solidFill>
          </w14:textFill>
        </w:rPr>
        <w:t>污染源区域满足一般防渗区的判定条件。本项目具体防渗区域划分见表</w:t>
      </w:r>
      <w:r>
        <w:rPr>
          <w:rFonts w:ascii="Times New Roman" w:hAnsi="Times New Roman"/>
          <w:color w:val="000000" w:themeColor="text1"/>
          <w:lang w:val="zh-CN" w:eastAsia="zh-CN"/>
          <w14:textFill>
            <w14:solidFill>
              <w14:schemeClr w14:val="tx1"/>
            </w14:solidFill>
          </w14:textFill>
        </w:rPr>
        <w:t>8</w:t>
      </w:r>
      <w:r>
        <w:rPr>
          <w:rFonts w:hint="eastAsia" w:ascii="Times New Roman" w:hAnsi="Times New Roman"/>
          <w:color w:val="000000" w:themeColor="text1"/>
          <w:lang w:val="zh-CN" w:eastAsia="zh-CN"/>
          <w14:textFill>
            <w14:solidFill>
              <w14:schemeClr w14:val="tx1"/>
            </w14:solidFill>
          </w14:textFill>
        </w:rPr>
        <w:t>.2-</w:t>
      </w:r>
      <w:r>
        <w:rPr>
          <w:rFonts w:ascii="Times New Roman" w:hAnsi="Times New Roman"/>
          <w:color w:val="000000" w:themeColor="text1"/>
          <w:lang w:val="zh-CN" w:eastAsia="zh-CN"/>
          <w14:textFill>
            <w14:solidFill>
              <w14:schemeClr w14:val="tx1"/>
            </w14:solidFill>
          </w14:textFill>
        </w:rPr>
        <w:t>3</w:t>
      </w:r>
      <w:r>
        <w:rPr>
          <w:rFonts w:hint="eastAsia" w:ascii="Times New Roman" w:hAnsi="Times New Roman"/>
          <w:color w:val="000000" w:themeColor="text1"/>
          <w:lang w:val="zh-CN" w:eastAsia="zh-CN"/>
          <w14:textFill>
            <w14:solidFill>
              <w14:schemeClr w14:val="tx1"/>
            </w14:solidFill>
          </w14:textFill>
        </w:rPr>
        <w:t>。</w:t>
      </w:r>
    </w:p>
    <w:p>
      <w:pPr>
        <w:pStyle w:val="85"/>
        <w:snapToGrid w:val="0"/>
        <w:spacing w:line="240" w:lineRule="auto"/>
        <w:ind w:firstLine="482"/>
        <w:jc w:val="center"/>
        <w:rPr>
          <w:rFonts w:ascii="Times New Roman" w:hAnsi="Times New Roman"/>
          <w:b/>
        </w:rPr>
      </w:pPr>
      <w:r>
        <w:rPr>
          <w:rFonts w:hint="eastAsia" w:ascii="Times New Roman" w:hAnsi="Times New Roman"/>
          <w:b/>
        </w:rPr>
        <w:t>表</w:t>
      </w:r>
      <w:r>
        <w:rPr>
          <w:rFonts w:ascii="Times New Roman" w:hAnsi="Times New Roman"/>
          <w:b/>
        </w:rPr>
        <w:t>8.2-3</w:t>
      </w:r>
      <w:r>
        <w:rPr>
          <w:rFonts w:hint="eastAsia" w:ascii="Times New Roman" w:hAnsi="Times New Roman"/>
          <w:b/>
        </w:rPr>
        <w:t xml:space="preserve">  本项目分区防渗表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2278"/>
        <w:gridCol w:w="1368"/>
        <w:gridCol w:w="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04" w:type="dxa"/>
            <w:shd w:val="clear" w:color="auto" w:fill="auto"/>
            <w:vAlign w:val="center"/>
          </w:tcPr>
          <w:p>
            <w:pPr>
              <w:pStyle w:val="43"/>
            </w:pPr>
            <w:r>
              <w:rPr>
                <w:rFonts w:hint="eastAsia"/>
              </w:rPr>
              <w:t>污染源</w:t>
            </w:r>
            <w:r>
              <w:t>名称</w:t>
            </w:r>
          </w:p>
        </w:tc>
        <w:tc>
          <w:tcPr>
            <w:tcW w:w="2278" w:type="dxa"/>
            <w:shd w:val="clear" w:color="auto" w:fill="auto"/>
            <w:vAlign w:val="center"/>
          </w:tcPr>
          <w:p>
            <w:pPr>
              <w:pStyle w:val="43"/>
            </w:pPr>
            <w:r>
              <w:rPr>
                <w:rFonts w:hint="eastAsia"/>
              </w:rPr>
              <w:t>污染防治</w:t>
            </w:r>
            <w:r>
              <w:t>区域及部位</w:t>
            </w:r>
          </w:p>
        </w:tc>
        <w:tc>
          <w:tcPr>
            <w:tcW w:w="1368" w:type="dxa"/>
            <w:shd w:val="clear" w:color="auto" w:fill="auto"/>
            <w:vAlign w:val="center"/>
          </w:tcPr>
          <w:p>
            <w:pPr>
              <w:pStyle w:val="43"/>
            </w:pPr>
            <w:r>
              <w:t>防治分区</w:t>
            </w:r>
          </w:p>
        </w:tc>
        <w:tc>
          <w:tcPr>
            <w:tcW w:w="3720" w:type="dxa"/>
            <w:shd w:val="clear" w:color="auto" w:fill="auto"/>
            <w:vAlign w:val="center"/>
          </w:tcPr>
          <w:p>
            <w:pPr>
              <w:pStyle w:val="43"/>
            </w:pPr>
            <w: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04" w:type="dxa"/>
            <w:shd w:val="clear" w:color="auto" w:fill="auto"/>
            <w:vAlign w:val="center"/>
          </w:tcPr>
          <w:p>
            <w:pPr>
              <w:pStyle w:val="43"/>
            </w:pPr>
            <w:r>
              <w:rPr>
                <w:rFonts w:hint="eastAsia"/>
              </w:rPr>
              <w:t>医疗废物暂存间</w:t>
            </w:r>
          </w:p>
        </w:tc>
        <w:tc>
          <w:tcPr>
            <w:tcW w:w="2278" w:type="dxa"/>
            <w:shd w:val="clear" w:color="auto" w:fill="auto"/>
            <w:vAlign w:val="center"/>
          </w:tcPr>
          <w:p>
            <w:pPr>
              <w:pStyle w:val="43"/>
            </w:pPr>
            <w:r>
              <w:t>地面</w:t>
            </w:r>
          </w:p>
        </w:tc>
        <w:tc>
          <w:tcPr>
            <w:tcW w:w="1368" w:type="dxa"/>
            <w:shd w:val="clear" w:color="auto" w:fill="auto"/>
            <w:vAlign w:val="center"/>
          </w:tcPr>
          <w:p>
            <w:pPr>
              <w:pStyle w:val="43"/>
            </w:pPr>
            <w:r>
              <w:rPr>
                <w:rFonts w:hint="eastAsia"/>
              </w:rPr>
              <w:t>重点防渗区</w:t>
            </w:r>
          </w:p>
        </w:tc>
        <w:tc>
          <w:tcPr>
            <w:tcW w:w="3720" w:type="dxa"/>
            <w:shd w:val="clear" w:color="auto" w:fill="auto"/>
            <w:vAlign w:val="center"/>
          </w:tcPr>
          <w:p>
            <w:pPr>
              <w:pStyle w:val="43"/>
            </w:pPr>
            <w:r>
              <w:rPr>
                <w:rFonts w:hint="eastAsia"/>
              </w:rPr>
              <w:t>防渗层</w:t>
            </w:r>
            <w:r>
              <w:t>为至少</w:t>
            </w:r>
            <w:r>
              <w:rPr>
                <w:rFonts w:hint="eastAsia"/>
              </w:rPr>
              <w:t>1</w:t>
            </w:r>
            <w:r>
              <w:t>m厚黏土层（</w:t>
            </w:r>
            <w:r>
              <w:rPr>
                <w:rFonts w:hint="eastAsia"/>
              </w:rPr>
              <w:t>渗透</w:t>
            </w:r>
            <w:r>
              <w:t>系数≤10</w:t>
            </w:r>
            <w:r>
              <w:rPr>
                <w:vertAlign w:val="superscript"/>
              </w:rPr>
              <w:t>-7</w:t>
            </w:r>
            <w:r>
              <w:t>cm/s</w:t>
            </w:r>
            <w:r>
              <w:rPr>
                <w:rFonts w:hint="eastAsia"/>
              </w:rPr>
              <w:t>），</w:t>
            </w:r>
            <w:r>
              <w:t>或</w:t>
            </w:r>
            <w:r>
              <w:rPr>
                <w:rFonts w:hint="eastAsia"/>
              </w:rPr>
              <w:t>2</w:t>
            </w:r>
            <w:r>
              <w:t>mm厚高密度聚乙烯，或至少</w:t>
            </w:r>
            <w:r>
              <w:rPr>
                <w:rFonts w:hint="eastAsia"/>
              </w:rPr>
              <w:t>2</w:t>
            </w:r>
            <w:r>
              <w:t>mm厚的其它人工材料，渗透系数≤10</w:t>
            </w:r>
            <w:r>
              <w:rPr>
                <w:vertAlign w:val="superscript"/>
              </w:rPr>
              <w:t>-10</w:t>
            </w:r>
            <w:r>
              <w:t>cm/s</w:t>
            </w:r>
            <w:r>
              <w:rPr>
                <w:rFonts w:hint="eastAsia"/>
              </w:rPr>
              <w:t>；</w:t>
            </w:r>
            <w:r>
              <w:t>具体参照《</w:t>
            </w:r>
            <w:r>
              <w:rPr>
                <w:rFonts w:hint="eastAsia"/>
              </w:rPr>
              <w:t>危险</w:t>
            </w:r>
            <w:r>
              <w:t>废物贮存污染控制标准》</w:t>
            </w:r>
            <w:r>
              <w:rPr>
                <w:rFonts w:hint="eastAsia"/>
              </w:rPr>
              <w:t>（GB18597-2001</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504" w:type="dxa"/>
            <w:shd w:val="clear" w:color="auto" w:fill="auto"/>
            <w:vAlign w:val="center"/>
          </w:tcPr>
          <w:p>
            <w:pPr>
              <w:pStyle w:val="43"/>
            </w:pPr>
            <w:r>
              <w:rPr>
                <w:rFonts w:hint="eastAsia"/>
              </w:rPr>
              <w:t>各污水处理构筑物</w:t>
            </w:r>
          </w:p>
        </w:tc>
        <w:tc>
          <w:tcPr>
            <w:tcW w:w="2278" w:type="dxa"/>
            <w:shd w:val="clear" w:color="auto" w:fill="auto"/>
            <w:vAlign w:val="center"/>
          </w:tcPr>
          <w:p>
            <w:pPr>
              <w:pStyle w:val="43"/>
            </w:pPr>
            <w:r>
              <w:rPr>
                <w:rFonts w:hint="eastAsia"/>
                <w:snapToGrid w:val="0"/>
                <w:szCs w:val="21"/>
              </w:rPr>
              <w:t>底</w:t>
            </w:r>
            <w:r>
              <w:rPr>
                <w:snapToGrid w:val="0"/>
                <w:szCs w:val="21"/>
              </w:rPr>
              <w:t>板及壁板</w:t>
            </w:r>
          </w:p>
        </w:tc>
        <w:tc>
          <w:tcPr>
            <w:tcW w:w="1368" w:type="dxa"/>
            <w:shd w:val="clear" w:color="auto" w:fill="auto"/>
            <w:vAlign w:val="center"/>
          </w:tcPr>
          <w:p>
            <w:pPr>
              <w:pStyle w:val="43"/>
            </w:pPr>
            <w:r>
              <w:rPr>
                <w:rFonts w:hint="eastAsia"/>
              </w:rPr>
              <w:t>一般防渗区</w:t>
            </w:r>
          </w:p>
        </w:tc>
        <w:tc>
          <w:tcPr>
            <w:tcW w:w="3720" w:type="dxa"/>
            <w:shd w:val="clear" w:color="auto" w:fill="auto"/>
            <w:vAlign w:val="center"/>
          </w:tcPr>
          <w:p>
            <w:pPr>
              <w:pStyle w:val="43"/>
            </w:pPr>
            <w:r>
              <w:t>防渗层的防渗性能不应低于1.5m厚渗透系数为10</w:t>
            </w:r>
            <w:r>
              <w:rPr>
                <w:vertAlign w:val="superscript"/>
              </w:rPr>
              <w:t>-7</w:t>
            </w:r>
            <w:r>
              <w:t>cm/s的黏土层的防渗性能</w:t>
            </w:r>
            <w:r>
              <w:rPr>
                <w:rFonts w:hint="eastAsia"/>
              </w:rPr>
              <w:t>；或参照GB16889 执行</w:t>
            </w:r>
          </w:p>
        </w:tc>
      </w:tr>
    </w:tbl>
    <w:p>
      <w:pPr>
        <w:pStyle w:val="40"/>
        <w:ind w:firstLine="480"/>
      </w:pPr>
      <w:r>
        <w:rPr>
          <w:rFonts w:hint="eastAsia"/>
        </w:rPr>
        <w:t>通过上述防治措施，可对项目可能产生的地下水污染进行有效预防，在确保各项防渗措施得以落实，并加强维护和院区环境管理的前提下，可有效避免地下水的污染。</w:t>
      </w:r>
    </w:p>
    <w:p>
      <w:pPr>
        <w:pStyle w:val="4"/>
      </w:pPr>
      <w:r>
        <w:rPr>
          <w:rFonts w:hint="eastAsia"/>
        </w:rPr>
        <w:t>噪声</w:t>
      </w:r>
      <w:r>
        <w:t>污染防治措施</w:t>
      </w:r>
    </w:p>
    <w:p>
      <w:pPr>
        <w:pStyle w:val="40"/>
        <w:ind w:firstLine="480"/>
      </w:pPr>
      <w:r>
        <w:rPr>
          <w:rFonts w:hint="eastAsia"/>
        </w:rPr>
        <w:t>项目运营期噪声源主要为设备噪声以及人群活动噪声和进出医院的车辆交通噪声，设备噪声主要为污水处理站风机、水泵、锅炉房</w:t>
      </w:r>
      <w:r>
        <w:t>水泵、风机、以及</w:t>
      </w:r>
      <w:r>
        <w:rPr>
          <w:rFonts w:hint="eastAsia"/>
        </w:rPr>
        <w:t>备用发电机等，拟采取相应措施从以下方面对噪声污染源进行治理：</w:t>
      </w:r>
    </w:p>
    <w:p>
      <w:pPr>
        <w:pStyle w:val="40"/>
        <w:ind w:firstLine="480"/>
      </w:pPr>
      <w:r>
        <w:rPr>
          <w:rFonts w:hint="eastAsia"/>
        </w:rPr>
        <w:t>（1）污水处理站水泵、风机：布置在地下一层，利用</w:t>
      </w:r>
      <w:r>
        <w:t>建筑物、构筑物来阻隔声波的传播，</w:t>
      </w:r>
      <w:r>
        <w:rPr>
          <w:rFonts w:hint="eastAsia"/>
        </w:rPr>
        <w:t>选用低噪声设备、安装减振底座、风机进口安装消声器；锅炉房</w:t>
      </w:r>
      <w:r>
        <w:t>水泵、</w:t>
      </w:r>
      <w:r>
        <w:rPr>
          <w:rFonts w:hint="eastAsia"/>
        </w:rPr>
        <w:t>风机利用</w:t>
      </w:r>
      <w:r>
        <w:t>建筑物、构筑物来阻隔声波的传播，</w:t>
      </w:r>
      <w:r>
        <w:rPr>
          <w:rFonts w:hint="eastAsia"/>
        </w:rPr>
        <w:t>选用低噪声设备、安装减振底座、风机进口安装消声器；机械设备经以上措施后，其降噪声级达到</w:t>
      </w:r>
      <w:r>
        <w:t>15</w:t>
      </w:r>
      <w:r>
        <w:rPr>
          <w:rFonts w:hint="eastAsia"/>
        </w:rPr>
        <w:t>~2</w:t>
      </w:r>
      <w:r>
        <w:t>0</w:t>
      </w:r>
      <w:r>
        <w:rPr>
          <w:rFonts w:hint="eastAsia"/>
        </w:rPr>
        <w:t>dB(A)。</w:t>
      </w:r>
    </w:p>
    <w:p>
      <w:pPr>
        <w:pStyle w:val="40"/>
        <w:ind w:firstLine="480"/>
      </w:pPr>
      <w:r>
        <w:rPr>
          <w:rFonts w:hint="eastAsia"/>
        </w:rPr>
        <w:t>（2）备用</w:t>
      </w:r>
      <w:r>
        <w:t>发电机采用低噪声设备，基础进行</w:t>
      </w:r>
      <w:r>
        <w:rPr>
          <w:rFonts w:hint="eastAsia"/>
        </w:rPr>
        <w:t>减振</w:t>
      </w:r>
      <w:r>
        <w:t>；</w:t>
      </w:r>
    </w:p>
    <w:p>
      <w:pPr>
        <w:pStyle w:val="40"/>
        <w:ind w:firstLine="480"/>
      </w:pPr>
      <w:r>
        <w:rPr>
          <w:rFonts w:hint="eastAsia"/>
        </w:rPr>
        <w:t>（3）加强设备维护，确保设备处于良好的运转状态，杜绝因设备不正常运转时产生的高噪声现象；</w:t>
      </w:r>
    </w:p>
    <w:p>
      <w:pPr>
        <w:pStyle w:val="40"/>
        <w:ind w:firstLine="480"/>
      </w:pPr>
      <w:r>
        <w:rPr>
          <w:rFonts w:hint="eastAsia"/>
        </w:rPr>
        <w:t>（4）车辆进出行驶噪声：对进出医院的车辆噪声采取加强车辆出入的管理、设置禁鸣、限速等措施。</w:t>
      </w:r>
    </w:p>
    <w:p>
      <w:pPr>
        <w:pStyle w:val="40"/>
        <w:ind w:firstLine="480"/>
        <w:rPr>
          <w:bCs/>
        </w:rPr>
      </w:pPr>
      <w:r>
        <w:rPr>
          <w:rFonts w:hint="eastAsia"/>
          <w:bCs/>
        </w:rPr>
        <w:t>本项目所采用的噪声污染防治措施在国内外已普遍应用，技术上成熟可靠，</w:t>
      </w:r>
      <w:r>
        <w:rPr>
          <w:bCs/>
        </w:rPr>
        <w:t>项目</w:t>
      </w:r>
      <w:r>
        <w:rPr>
          <w:rFonts w:hint="eastAsia"/>
        </w:rPr>
        <w:t>噪声防治措施合理有效，经治理后可使设备噪声排放满足《工业企业厂界环境噪声排放标准》（GB12348-2008）中的2类标准要求。</w:t>
      </w:r>
    </w:p>
    <w:p>
      <w:pPr>
        <w:pStyle w:val="4"/>
      </w:pPr>
      <w:r>
        <w:rPr>
          <w:rFonts w:hint="eastAsia"/>
        </w:rPr>
        <w:t>固体</w:t>
      </w:r>
      <w:r>
        <w:t>废物</w:t>
      </w:r>
      <w:r>
        <w:rPr>
          <w:rFonts w:hint="eastAsia"/>
        </w:rPr>
        <w:t>处置</w:t>
      </w:r>
      <w:r>
        <w:t>措施</w:t>
      </w:r>
    </w:p>
    <w:p>
      <w:pPr>
        <w:pStyle w:val="5"/>
      </w:pPr>
      <w:r>
        <w:rPr>
          <w:rFonts w:hint="eastAsia"/>
        </w:rPr>
        <w:t>固废</w:t>
      </w:r>
      <w:r>
        <w:t>分类收集总体处置要求</w:t>
      </w:r>
    </w:p>
    <w:p>
      <w:pPr>
        <w:pStyle w:val="40"/>
        <w:ind w:firstLine="480"/>
        <w:rPr>
          <w:color w:val="000000" w:themeColor="text1"/>
          <w14:textFill>
            <w14:solidFill>
              <w14:schemeClr w14:val="tx1"/>
            </w14:solidFill>
          </w14:textFill>
        </w:rPr>
      </w:pPr>
      <w:r>
        <w:rPr>
          <w:rFonts w:hint="eastAsia"/>
        </w:rPr>
        <w:t>项目运营期产生的一般固体废物主要是生活垃圾、</w:t>
      </w:r>
      <w:r>
        <w:t>食堂餐厨垃圾及隔油池废油脂、废包装物</w:t>
      </w:r>
      <w:r>
        <w:rPr>
          <w:rFonts w:hint="eastAsia"/>
        </w:rPr>
        <w:t>、</w:t>
      </w:r>
      <w:r>
        <w:t>中药渣</w:t>
      </w:r>
      <w:r>
        <w:rPr>
          <w:rFonts w:hint="eastAsia"/>
        </w:rPr>
        <w:t>、</w:t>
      </w:r>
      <w:r>
        <w:t>废离子交换树脂等</w:t>
      </w:r>
      <w:r>
        <w:rPr>
          <w:rFonts w:hint="eastAsia"/>
        </w:rPr>
        <w:t>；危险废物主要是医疗废物、污水</w:t>
      </w:r>
      <w:r>
        <w:t>处理站污泥及</w:t>
      </w:r>
      <w:r>
        <w:rPr>
          <w:rFonts w:hint="eastAsia"/>
        </w:rPr>
        <w:t>栅渣</w:t>
      </w:r>
      <w:r>
        <w:rPr>
          <w:rFonts w:hint="eastAsia"/>
          <w:color w:val="000000" w:themeColor="text1"/>
          <w14:textFill>
            <w14:solidFill>
              <w14:schemeClr w14:val="tx1"/>
            </w14:solidFill>
          </w14:textFill>
        </w:rPr>
        <w:t>。项目应对各类废物分别进行收集处置，不可将医疗</w:t>
      </w:r>
      <w:r>
        <w:rPr>
          <w:color w:val="000000" w:themeColor="text1"/>
          <w14:textFill>
            <w14:solidFill>
              <w14:schemeClr w14:val="tx1"/>
            </w14:solidFill>
          </w14:textFill>
        </w:rPr>
        <w:t>废物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污泥及栅渣等</w:t>
      </w:r>
      <w:r>
        <w:rPr>
          <w:rFonts w:hint="eastAsia"/>
          <w:color w:val="000000" w:themeColor="text1"/>
          <w14:textFill>
            <w14:solidFill>
              <w14:schemeClr w14:val="tx1"/>
            </w14:solidFill>
          </w14:textFill>
        </w:rPr>
        <w:t>危险废物混入生活垃圾中。项目危险废物须按照《医疗废物管理条例》、《危险废物贮存污染控制标准》（GB18597-2001）中的规定要求落实规范化管理。</w:t>
      </w:r>
    </w:p>
    <w:p>
      <w:pPr>
        <w:pStyle w:val="5"/>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r>
        <w:rPr>
          <w:color w:val="000000" w:themeColor="text1"/>
          <w14:textFill>
            <w14:solidFill>
              <w14:schemeClr w14:val="tx1"/>
            </w14:solidFill>
          </w14:textFill>
        </w:rPr>
        <w:t>处理处置措施</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项目各楼层设有垃圾收集桶，生活垃圾经清洁人员收集后，日产日清，交由环卫部门清运处置。</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餐厨</w:t>
      </w:r>
      <w:r>
        <w:rPr>
          <w:color w:val="000000" w:themeColor="text1"/>
          <w14:textFill>
            <w14:solidFill>
              <w14:schemeClr w14:val="tx1"/>
            </w14:solidFill>
          </w14:textFill>
        </w:rPr>
        <w:t>垃圾及</w:t>
      </w:r>
      <w:r>
        <w:rPr>
          <w:rFonts w:hint="eastAsia"/>
          <w:color w:val="000000" w:themeColor="text1"/>
          <w14:textFill>
            <w14:solidFill>
              <w14:schemeClr w14:val="tx1"/>
            </w14:solidFill>
          </w14:textFill>
        </w:rPr>
        <w:t>食堂废油脂</w:t>
      </w:r>
      <w:r>
        <w:rPr>
          <w:color w:val="000000" w:themeColor="text1"/>
          <w14:textFill>
            <w14:solidFill>
              <w14:schemeClr w14:val="tx1"/>
            </w14:solidFill>
          </w14:textFill>
        </w:rPr>
        <w:t>经专用</w:t>
      </w:r>
      <w:r>
        <w:rPr>
          <w:rFonts w:hint="eastAsia"/>
          <w:color w:val="000000" w:themeColor="text1"/>
          <w14:textFill>
            <w14:solidFill>
              <w14:schemeClr w14:val="tx1"/>
            </w14:solidFill>
          </w14:textFill>
        </w:rPr>
        <w:t>容器</w:t>
      </w:r>
      <w:r>
        <w:rPr>
          <w:color w:val="000000" w:themeColor="text1"/>
          <w14:textFill>
            <w14:solidFill>
              <w14:schemeClr w14:val="tx1"/>
            </w14:solidFill>
          </w14:textFill>
        </w:rPr>
        <w:t>收集后，定期交由回收单位处置</w:t>
      </w:r>
      <w:r>
        <w:rPr>
          <w:rFonts w:hint="eastAsia"/>
          <w:color w:val="000000" w:themeColor="text1"/>
          <w14:textFill>
            <w14:solidFill>
              <w14:schemeClr w14:val="tx1"/>
            </w14:solidFill>
          </w14:textFill>
        </w:rPr>
        <w:t>。</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中药渣经分类</w:t>
      </w:r>
      <w:r>
        <w:rPr>
          <w:color w:val="000000" w:themeColor="text1"/>
          <w14:textFill>
            <w14:solidFill>
              <w14:schemeClr w14:val="tx1"/>
            </w14:solidFill>
          </w14:textFill>
        </w:rPr>
        <w:t>收集后，交环卫部门清运处置。</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废</w:t>
      </w:r>
      <w:r>
        <w:rPr>
          <w:color w:val="000000" w:themeColor="text1"/>
          <w14:textFill>
            <w14:solidFill>
              <w14:schemeClr w14:val="tx1"/>
            </w14:solidFill>
          </w14:textFill>
        </w:rPr>
        <w:t>离子交换树脂由厂家定期更换并回收</w:t>
      </w:r>
      <w:r>
        <w:rPr>
          <w:rFonts w:hint="eastAsia"/>
          <w:color w:val="000000" w:themeColor="text1"/>
          <w14:textFill>
            <w14:solidFill>
              <w14:schemeClr w14:val="tx1"/>
            </w14:solidFill>
          </w14:textFill>
        </w:rPr>
        <w:t>。</w:t>
      </w:r>
    </w:p>
    <w:p>
      <w:pPr>
        <w:pStyle w:val="5"/>
      </w:pPr>
      <w:r>
        <w:rPr>
          <w:rFonts w:hint="eastAsia"/>
        </w:rPr>
        <w:t>医疗</w:t>
      </w:r>
      <w:r>
        <w:t>废物处理处置措施</w:t>
      </w:r>
    </w:p>
    <w:p>
      <w:pPr>
        <w:pStyle w:val="40"/>
        <w:ind w:firstLine="456"/>
        <w:rPr>
          <w:rFonts w:cs="Times New Roman"/>
          <w:color w:val="000000"/>
          <w:spacing w:val="-6"/>
          <w:kern w:val="0"/>
          <w:szCs w:val="24"/>
        </w:rPr>
      </w:pPr>
      <w:r>
        <w:rPr>
          <w:rFonts w:cs="Times New Roman"/>
          <w:color w:val="000000"/>
          <w:spacing w:val="-6"/>
          <w:kern w:val="0"/>
          <w:szCs w:val="24"/>
        </w:rPr>
        <w:t>医疗废物由每层各科室分类收集本单元产生的医疗废物后，并按照类别分置于防渗漏、防锐器穿透的专用包装物或者密闭的容器内，医院内设专门的医疗废物运输通道</w:t>
      </w:r>
      <w:r>
        <w:rPr>
          <w:rFonts w:hint="eastAsia" w:cs="Times New Roman"/>
          <w:color w:val="000000"/>
          <w:spacing w:val="-6"/>
          <w:kern w:val="0"/>
          <w:szCs w:val="24"/>
        </w:rPr>
        <w:t>，医疗</w:t>
      </w:r>
      <w:r>
        <w:rPr>
          <w:rFonts w:cs="Times New Roman"/>
          <w:color w:val="000000"/>
          <w:spacing w:val="-6"/>
          <w:kern w:val="0"/>
          <w:szCs w:val="24"/>
        </w:rPr>
        <w:t>废物经运输通道运输至医疗废物暂存间</w:t>
      </w:r>
      <w:r>
        <w:rPr>
          <w:rFonts w:hint="eastAsia" w:cs="Times New Roman"/>
          <w:color w:val="000000"/>
          <w:spacing w:val="-6"/>
          <w:kern w:val="0"/>
          <w:szCs w:val="24"/>
        </w:rPr>
        <w:t>暂存</w:t>
      </w:r>
      <w:r>
        <w:rPr>
          <w:rFonts w:cs="Times New Roman"/>
          <w:color w:val="000000"/>
          <w:spacing w:val="-6"/>
          <w:kern w:val="0"/>
          <w:szCs w:val="24"/>
        </w:rPr>
        <w:t>，</w:t>
      </w:r>
      <w:r>
        <w:rPr>
          <w:rFonts w:hint="eastAsia" w:cs="Times New Roman"/>
          <w:color w:val="000000"/>
          <w:spacing w:val="-6"/>
          <w:kern w:val="0"/>
          <w:szCs w:val="24"/>
        </w:rPr>
        <w:t>暂存间</w:t>
      </w:r>
      <w:r>
        <w:rPr>
          <w:rFonts w:cs="Times New Roman"/>
          <w:color w:val="000000"/>
          <w:spacing w:val="-6"/>
          <w:kern w:val="0"/>
          <w:szCs w:val="24"/>
        </w:rPr>
        <w:t>位于</w:t>
      </w:r>
      <w:r>
        <w:rPr>
          <w:rFonts w:hint="eastAsia" w:cs="Times New Roman"/>
          <w:szCs w:val="20"/>
        </w:rPr>
        <w:t>住院楼</w:t>
      </w:r>
      <w:r>
        <w:rPr>
          <w:rFonts w:hint="eastAsia" w:cs="Times New Roman"/>
          <w:color w:val="000000"/>
          <w:spacing w:val="-6"/>
          <w:kern w:val="0"/>
          <w:szCs w:val="24"/>
        </w:rPr>
        <w:t>地下</w:t>
      </w:r>
      <w:r>
        <w:rPr>
          <w:rFonts w:cs="Times New Roman"/>
          <w:color w:val="000000"/>
          <w:spacing w:val="-6"/>
          <w:kern w:val="0"/>
          <w:szCs w:val="24"/>
        </w:rPr>
        <w:t>一层</w:t>
      </w:r>
      <w:r>
        <w:rPr>
          <w:rFonts w:hint="eastAsia" w:cs="Times New Roman"/>
          <w:color w:val="000000"/>
          <w:spacing w:val="-6"/>
          <w:kern w:val="0"/>
          <w:szCs w:val="24"/>
        </w:rPr>
        <w:t>，</w:t>
      </w:r>
      <w:r>
        <w:rPr>
          <w:rFonts w:cs="Times New Roman"/>
          <w:color w:val="000000"/>
          <w:spacing w:val="-6"/>
          <w:kern w:val="0"/>
          <w:szCs w:val="24"/>
        </w:rPr>
        <w:t>面积约40</w:t>
      </w:r>
      <w:r>
        <w:rPr>
          <w:rFonts w:hint="eastAsia" w:cs="Times New Roman"/>
          <w:color w:val="000000"/>
          <w:spacing w:val="-6"/>
          <w:kern w:val="0"/>
          <w:szCs w:val="24"/>
        </w:rPr>
        <w:t>.66</w:t>
      </w:r>
      <w:r>
        <w:rPr>
          <w:rFonts w:cs="Times New Roman"/>
          <w:color w:val="000000"/>
          <w:spacing w:val="-6"/>
          <w:kern w:val="0"/>
          <w:szCs w:val="24"/>
        </w:rPr>
        <w:t>m</w:t>
      </w:r>
      <w:r>
        <w:rPr>
          <w:rFonts w:cs="Times New Roman"/>
          <w:color w:val="000000"/>
          <w:spacing w:val="-6"/>
          <w:kern w:val="0"/>
          <w:szCs w:val="24"/>
          <w:vertAlign w:val="superscript"/>
        </w:rPr>
        <w:t>2</w:t>
      </w:r>
      <w:r>
        <w:rPr>
          <w:rFonts w:hint="eastAsia" w:cs="Times New Roman"/>
          <w:color w:val="000000"/>
          <w:spacing w:val="-6"/>
          <w:kern w:val="0"/>
          <w:szCs w:val="24"/>
        </w:rPr>
        <w:t>，医疗废物日产日清，</w:t>
      </w:r>
      <w:r>
        <w:rPr>
          <w:rFonts w:cs="Times New Roman"/>
          <w:color w:val="000000"/>
          <w:spacing w:val="-6"/>
          <w:kern w:val="0"/>
          <w:szCs w:val="24"/>
        </w:rPr>
        <w:t>交由</w:t>
      </w:r>
      <w:r>
        <w:rPr>
          <w:rFonts w:hint="eastAsia" w:cs="Times New Roman"/>
          <w:color w:val="000000"/>
          <w:spacing w:val="-6"/>
          <w:kern w:val="0"/>
          <w:szCs w:val="24"/>
        </w:rPr>
        <w:t>有资质</w:t>
      </w:r>
      <w:r>
        <w:rPr>
          <w:rFonts w:cs="Times New Roman"/>
          <w:color w:val="000000"/>
          <w:spacing w:val="-6"/>
          <w:kern w:val="0"/>
          <w:szCs w:val="24"/>
        </w:rPr>
        <w:t>单位</w:t>
      </w:r>
      <w:r>
        <w:rPr>
          <w:rFonts w:hint="eastAsia" w:cs="Times New Roman"/>
          <w:color w:val="000000"/>
          <w:spacing w:val="-6"/>
          <w:kern w:val="0"/>
          <w:szCs w:val="24"/>
        </w:rPr>
        <w:t>处置</w:t>
      </w:r>
      <w:r>
        <w:rPr>
          <w:rFonts w:cs="Times New Roman"/>
          <w:color w:val="000000"/>
          <w:spacing w:val="-6"/>
          <w:kern w:val="0"/>
          <w:szCs w:val="24"/>
        </w:rPr>
        <w:t>。</w:t>
      </w:r>
      <w:r>
        <w:rPr>
          <w:rFonts w:hint="eastAsia" w:cs="Times New Roman"/>
          <w:color w:val="000000"/>
          <w:spacing w:val="-6"/>
          <w:kern w:val="0"/>
          <w:szCs w:val="24"/>
        </w:rPr>
        <w:t>按照《医疗废物管理条例》（国务院令第380号）、《医疗卫生机构医疗废物管理办法》，本项目医疗废物的收集、搬运、暂存提出以下要求：</w:t>
      </w:r>
    </w:p>
    <w:p>
      <w:pPr>
        <w:pStyle w:val="6"/>
        <w:rPr>
          <w:rFonts w:cs="Times New Roman"/>
          <w:color w:val="000000"/>
          <w:spacing w:val="-6"/>
          <w:kern w:val="0"/>
          <w:szCs w:val="24"/>
        </w:rPr>
      </w:pPr>
      <w:r>
        <w:t>医疗废物收集采取的措施</w:t>
      </w:r>
    </w:p>
    <w:p>
      <w:pPr>
        <w:pStyle w:val="40"/>
        <w:ind w:firstLine="480"/>
        <w:rPr>
          <w:rFonts w:cs="Times New Roman"/>
          <w:color w:val="000000"/>
          <w:kern w:val="0"/>
          <w:szCs w:val="24"/>
        </w:rPr>
      </w:pPr>
      <w:r>
        <w:t>项目应根据收集点医疗废物的产生量、类别及后处理工艺，选择合适的收集容器类型、尺寸及数量，在医疗废物产生场地就根据《医疗废物分类目录</w:t>
      </w:r>
      <w:r>
        <w:rPr>
          <w:rFonts w:hint="eastAsia"/>
        </w:rPr>
        <w:t>（2021版）</w:t>
      </w:r>
      <w:r>
        <w:t>》对医疗废物实施分类管理。根据医疗废物的类别，将医疗废物分置于符合《医疗废物专用包装物、容器的标准和警示标识的规定》的包装物或者容器内，不能混合收集。收集废物使用</w:t>
      </w:r>
      <w:r>
        <w:rPr>
          <w:kern w:val="0"/>
        </w:rPr>
        <w:t>的容器主要是塑料袋、锐器容器和废物箱等。</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①</w:t>
      </w:r>
      <w:r>
        <w:rPr>
          <w:rFonts w:ascii="Times New Roman" w:hAnsi="Times New Roman" w:eastAsia="宋体" w:cs="Times New Roman"/>
          <w:color w:val="000000"/>
          <w:kern w:val="0"/>
          <w:sz w:val="24"/>
          <w:szCs w:val="24"/>
        </w:rPr>
        <w:t xml:space="preserve"> 在盛装医疗废物前，应当对医疗废物包装物或者容器进行认真检查，确保无破损、渗漏和其它缺陷；</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②</w:t>
      </w:r>
      <w:r>
        <w:rPr>
          <w:rFonts w:ascii="Times New Roman" w:hAnsi="Times New Roman" w:eastAsia="宋体" w:cs="Times New Roman"/>
          <w:color w:val="000000"/>
          <w:kern w:val="0"/>
          <w:sz w:val="24"/>
          <w:szCs w:val="24"/>
        </w:rPr>
        <w:t xml:space="preserve"> 感染性废物、病理性废物、损伤性废物、药物性废物及化学性废物不能混合收集。少量的药物性废物可以混入感染性废物，但应当在标签上注明；</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③</w:t>
      </w:r>
      <w:r>
        <w:rPr>
          <w:rFonts w:ascii="Times New Roman" w:hAnsi="Times New Roman" w:eastAsia="宋体" w:cs="Times New Roman"/>
          <w:color w:val="000000"/>
          <w:kern w:val="0"/>
          <w:sz w:val="24"/>
          <w:szCs w:val="24"/>
        </w:rPr>
        <w:t xml:space="preserve"> 废弃的麻醉、精神、放射性、毒性等药品及其相关的废物的管理，依照有关法律、行政法规和国家有关规定、标准执行；</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④</w:t>
      </w:r>
      <w:r>
        <w:rPr>
          <w:rFonts w:ascii="Times New Roman" w:hAnsi="Times New Roman" w:eastAsia="宋体" w:cs="Times New Roman"/>
          <w:color w:val="000000"/>
          <w:kern w:val="0"/>
          <w:sz w:val="24"/>
          <w:szCs w:val="24"/>
        </w:rPr>
        <w:t xml:space="preserve"> 化学性废物中批量的废化学试剂、废消毒剂应当交由专门机构处置； </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⑤</w:t>
      </w:r>
      <w:r>
        <w:rPr>
          <w:rFonts w:ascii="Times New Roman" w:hAnsi="Times New Roman" w:eastAsia="宋体" w:cs="Times New Roman"/>
          <w:color w:val="000000"/>
          <w:kern w:val="0"/>
          <w:sz w:val="24"/>
          <w:szCs w:val="24"/>
        </w:rPr>
        <w:t xml:space="preserve"> 批量的含有汞的体温计、血压计等医疗器具报废时，应当交由专门机构处置；</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⑥</w:t>
      </w:r>
      <w:r>
        <w:rPr>
          <w:rFonts w:ascii="Times New Roman" w:hAnsi="Times New Roman" w:eastAsia="宋体" w:cs="Times New Roman"/>
          <w:color w:val="000000"/>
          <w:kern w:val="0"/>
          <w:sz w:val="24"/>
          <w:szCs w:val="24"/>
        </w:rPr>
        <w:t xml:space="preserve"> 医疗废物中病原体的培养基、标本和菌种、毒种保存液等高危险废物，应当首先在产生地点进行压力蒸汽灭菌或者化学消毒处理，然后按感染性废物收集处理；</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⑦</w:t>
      </w:r>
      <w:r>
        <w:rPr>
          <w:rFonts w:ascii="Times New Roman" w:hAnsi="Times New Roman" w:eastAsia="宋体" w:cs="Times New Roman"/>
          <w:color w:val="000000"/>
          <w:kern w:val="0"/>
          <w:sz w:val="24"/>
          <w:szCs w:val="24"/>
        </w:rPr>
        <w:t xml:space="preserve"> 放入包装物或者容器内的感染性废物、病理性废物、损伤性废物不得取出；</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⑧</w:t>
      </w:r>
      <w:r>
        <w:rPr>
          <w:rFonts w:ascii="Times New Roman" w:hAnsi="Times New Roman" w:eastAsia="宋体" w:cs="Times New Roman"/>
          <w:color w:val="000000"/>
          <w:kern w:val="0"/>
          <w:sz w:val="24"/>
          <w:szCs w:val="24"/>
        </w:rPr>
        <w:t xml:space="preserve"> 所有非损伤性废物应收集在垃圾袋中，盛装的医疗废物达到包装物或者容器的 时，应当使用有效的封口方式，使包装物或者容器的封口紧实、严密。高密封袋可用带子将袋口扎紧，低密封袋可用自动塑料风口机封口，禁止使用订书机封口。医疗废物警示警示标示可以事先印在塑料袋上，也可以用事先印好的纸带、不干胶标示或标签，并有废物类型的文字说明。损伤性废物应置于黄色利器容器中，封口后同样要有警示标示及文字说明。高危区的医疗废物建议使用双层废物箱，如隔离区、手术室，产房等，装满之后应立即封闭；</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⑨</w:t>
      </w:r>
      <w:r>
        <w:rPr>
          <w:rFonts w:ascii="Times New Roman" w:hAnsi="Times New Roman" w:eastAsia="宋体" w:cs="Times New Roman"/>
          <w:color w:val="000000"/>
          <w:kern w:val="0"/>
          <w:sz w:val="24"/>
          <w:szCs w:val="24"/>
        </w:rPr>
        <w:t>包装物或者容器的外表面被感染性废物污染时，应当对被污染处进行消毒处理或者增加一层包装；</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⑩</w:t>
      </w:r>
      <w:r>
        <w:rPr>
          <w:rFonts w:ascii="Times New Roman" w:hAnsi="Times New Roman" w:eastAsia="宋体" w:cs="Times New Roman"/>
          <w:color w:val="000000"/>
          <w:kern w:val="0"/>
          <w:sz w:val="24"/>
          <w:szCs w:val="24"/>
        </w:rPr>
        <w:t xml:space="preserve"> 盛装医疗废物的每个包装物、容器外表面应当有警示标识，在每个包装物、容器上应当系中文标签，中文标签的内容应当包括：医疗废物产生单位、产生日期、类别及需要的特别说明等。</w:t>
      </w:r>
    </w:p>
    <w:p>
      <w:pPr>
        <w:pStyle w:val="6"/>
      </w:pPr>
      <w:r>
        <w:t>收集容器的搬运与集中</w:t>
      </w:r>
    </w:p>
    <w:p>
      <w:pPr>
        <w:spacing w:line="360" w:lineRule="auto"/>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运送人员每天从医疗废物产生地点将分类包装的医疗废物按照规定的时间和路线运送至内部指定的暂时贮存地点；运送人员在运送医疗废物前，应当检查包装物或者容器的标识、标签及封口是否符合要求，不得将不符合要求的医疗废物运送至暂时贮存地点；运送人员在运送医疗废物时，应当防止造成包装物或容器破损和医疗废物的流失、泄漏和扩散，并防止医疗废物直接接触身体。</w:t>
      </w:r>
    </w:p>
    <w:p>
      <w:pPr>
        <w:spacing w:line="360" w:lineRule="auto"/>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运送医疗废物应当使用防渗漏、防遗撒、无锐利边角、易于装卸和清洁的专用运送工具；医院内废物应在病区、科室与废物中心存放地之间涉及规定转运路径，以缩短医院内废物通过病区与其它清洁区的路线；使用专用的手推车将废物袋（箱）运至废物中心存放地。手推车应是专门设计的，外形美观，装卸方便；有任何泄露时均应彻底清洁与消毒。</w:t>
      </w:r>
    </w:p>
    <w:p>
      <w:pPr>
        <w:spacing w:line="360" w:lineRule="auto"/>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用于医院内转运废物的手推车设计制造应满足如下要求：</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①</w:t>
      </w:r>
      <w:r>
        <w:rPr>
          <w:rFonts w:ascii="Times New Roman" w:hAnsi="Times New Roman" w:eastAsia="宋体" w:cs="Times New Roman"/>
          <w:color w:val="000000"/>
          <w:kern w:val="0"/>
          <w:sz w:val="24"/>
          <w:szCs w:val="24"/>
        </w:rPr>
        <w:t xml:space="preserve"> 没有锐利的边缘，以免在装卸废物时将废物袋划破；</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②</w:t>
      </w:r>
      <w:r>
        <w:rPr>
          <w:rFonts w:ascii="Times New Roman" w:hAnsi="Times New Roman" w:eastAsia="宋体" w:cs="Times New Roman"/>
          <w:color w:val="000000"/>
          <w:kern w:val="0"/>
          <w:sz w:val="24"/>
          <w:szCs w:val="24"/>
        </w:rPr>
        <w:t xml:space="preserve"> 倘若发生废物袋破裂时不会发生泄漏；</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③</w:t>
      </w:r>
      <w:r>
        <w:rPr>
          <w:rFonts w:ascii="Times New Roman" w:hAnsi="Times New Roman" w:eastAsia="宋体" w:cs="Times New Roman"/>
          <w:color w:val="000000"/>
          <w:kern w:val="0"/>
          <w:sz w:val="24"/>
          <w:szCs w:val="24"/>
        </w:rPr>
        <w:t xml:space="preserve"> 易于清洁和消毒；</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宋体" w:hAnsi="宋体" w:eastAsia="宋体" w:cs="宋体"/>
          <w:color w:val="000000"/>
          <w:kern w:val="0"/>
          <w:sz w:val="24"/>
          <w:szCs w:val="24"/>
        </w:rPr>
        <w:t>④</w:t>
      </w:r>
      <w:r>
        <w:rPr>
          <w:rFonts w:ascii="Times New Roman" w:hAnsi="Times New Roman" w:eastAsia="宋体" w:cs="Times New Roman"/>
          <w:color w:val="000000"/>
          <w:kern w:val="0"/>
          <w:sz w:val="24"/>
          <w:szCs w:val="24"/>
        </w:rPr>
        <w:t xml:space="preserve"> 易于装卸，运送安全。</w:t>
      </w:r>
    </w:p>
    <w:p>
      <w:pPr>
        <w:spacing w:line="360" w:lineRule="auto"/>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每天运送工作结束后，应当对运送工具及时进行清洁和消毒。</w:t>
      </w:r>
    </w:p>
    <w:p>
      <w:pPr>
        <w:pStyle w:val="6"/>
      </w:pPr>
      <w:r>
        <w:rPr>
          <w:rFonts w:hint="eastAsia"/>
        </w:rPr>
        <w:t>医疗</w:t>
      </w:r>
      <w:r>
        <w:t>废物暂存间</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（1）卫生要求</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医疗废物暂时贮存柜（箱）应每天消毒一次。</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（2）存放地的容量</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存放地应有足够的面积和容量，要考虑节假日期间废物的存放了，至少应有能容纳2天的废物量。</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（3）暂时贮存时间</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应防止医疗废物在暂存间和专用暂时贮存柜（箱）中腐败散发恶臭，尽量做到日产日清。</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确定不能做到日产日清，且当地最高气温高于25℃时，应将医疗废物低温暂时贮存，暂时贮存温度应低于20℃，时间最长不超过48小时。</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（4）易腐败生物废物的存放</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易腐败的生物废物如胎盘等，可在中心存放地或病室设置冰箱、冰柜，将其暂存入冰箱冰柜内。</w:t>
      </w:r>
    </w:p>
    <w:p>
      <w:pPr>
        <w:spacing w:line="360" w:lineRule="auto"/>
        <w:ind w:firstLine="480" w:firstLineChars="200"/>
        <w:jc w:val="left"/>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rPr>
        <w:t>（5）对废物存放点应定时消毒，相关人员应做必要的防护，定时体检，防治感染。污水处理站产生的污泥应在污泥池内妥善消毒，脱水后外运。</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hint="eastAsia" w:ascii="Times New Roman" w:hAnsi="Times New Roman" w:eastAsia="宋体" w:cs="Times New Roman"/>
          <w:color w:val="000000"/>
          <w:kern w:val="0"/>
          <w:sz w:val="24"/>
          <w:szCs w:val="24"/>
        </w:rPr>
        <w:t>（6）</w:t>
      </w:r>
      <w:r>
        <w:rPr>
          <w:rFonts w:ascii="Times New Roman" w:hAnsi="Times New Roman" w:eastAsia="宋体" w:cs="Times New Roman"/>
          <w:kern w:val="0"/>
          <w:sz w:val="24"/>
          <w:szCs w:val="20"/>
        </w:rPr>
        <w:t>医疗废物的暂存</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按照《医疗废物集中处置技术规范(试行)》（环发([2003]206号）建立专门的医疗废物储存间，并应满足下述要求：</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a．必须与生活垃圾存放地分开，有防雨淋的装置，地基高度应确保设施内不受雨洪冲击或浸泡；</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b．必须与医疗区、食品加工区和人员活动密集区隔开，方便医疗废物的装卸、装卸人员及运送车辆的出入；</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c．应有严密的封闭措施，设专人管理，避免非工作人员进出，以及防鼠、防蚊蝇、防蟑螂、防盗以及预防儿童接触等安全措施；</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d．地面和1.0m高的墙裙须进行防渗处理，地面有良好的排水性能，易于清洁和消毒，产生的废水应采用管道直接排入本院的污水处理站，禁止将产生的废水直接排入外环境；</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e．库房外宜设有供水龙头，以供暂时储存库房的清洗用；避免阳光直射库内，应有良好的照明设备和通风条件；库房内应张贴“禁止吸烟、饮食”的警示标识；</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f．按《环境保护图形标志—固体废物储存(处置)场》(GB15562.2-1995)卫生、环保部门制定的专用医疗废物警示标识要求，在库房外的明显处同时设置危险废物和医疗废物的警示标识</w:t>
      </w:r>
      <w:r>
        <w:rPr>
          <w:rFonts w:hint="eastAsia" w:ascii="Times New Roman" w:hAnsi="Times New Roman" w:eastAsia="宋体" w:cs="Times New Roman"/>
          <w:kern w:val="0"/>
          <w:sz w:val="24"/>
          <w:szCs w:val="20"/>
        </w:rPr>
        <w:t>，</w:t>
      </w:r>
      <w:r>
        <w:rPr>
          <w:rFonts w:ascii="Times New Roman" w:hAnsi="Times New Roman" w:eastAsia="宋体" w:cs="Times New Roman"/>
          <w:kern w:val="0"/>
          <w:sz w:val="24"/>
          <w:szCs w:val="20"/>
        </w:rPr>
        <w:t>样式如图</w:t>
      </w:r>
      <w:r>
        <w:rPr>
          <w:rFonts w:hint="eastAsia" w:ascii="Times New Roman" w:hAnsi="Times New Roman" w:eastAsia="宋体" w:cs="Times New Roman"/>
          <w:kern w:val="0"/>
          <w:sz w:val="24"/>
          <w:szCs w:val="20"/>
        </w:rPr>
        <w:t>8.2-2。</w:t>
      </w:r>
    </w:p>
    <w:p>
      <w:pPr>
        <w:pStyle w:val="64"/>
        <w:ind w:firstLine="525"/>
        <w:jc w:val="center"/>
      </w:pPr>
      <w:r>
        <w:drawing>
          <wp:inline distT="0" distB="0" distL="0" distR="0">
            <wp:extent cx="1295400" cy="997585"/>
            <wp:effectExtent l="0" t="0" r="0" b="0"/>
            <wp:docPr id="517" name="图片 517" descr="C:\Users\Administrator\Desktop\8644ebf81a4c510fb6590ad76159252dd52aa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C:\Users\Administrator\Desktop\8644ebf81a4c510fb6590ad76159252dd52aa55a.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295400" cy="997585"/>
                    </a:xfrm>
                    <a:prstGeom prst="rect">
                      <a:avLst/>
                    </a:prstGeom>
                    <a:noFill/>
                    <a:ln>
                      <a:noFill/>
                    </a:ln>
                  </pic:spPr>
                </pic:pic>
              </a:graphicData>
            </a:graphic>
          </wp:inline>
        </w:drawing>
      </w:r>
    </w:p>
    <w:p>
      <w:pPr>
        <w:pStyle w:val="22"/>
        <w:ind w:firstLine="480"/>
      </w:pPr>
      <w:r>
        <w:t>图8.2-2  医疗废物标示牌</w:t>
      </w:r>
    </w:p>
    <w:p>
      <w:pPr>
        <w:adjustRightInd w:val="0"/>
        <w:snapToGrid w:val="0"/>
        <w:spacing w:line="348" w:lineRule="auto"/>
        <w:ind w:firstLine="480" w:firstLineChars="200"/>
        <w:textAlignment w:val="baseline"/>
        <w:rPr>
          <w:rFonts w:ascii="Times New Roman" w:hAnsi="Times New Roman" w:eastAsia="宋体" w:cs="Times New Roman"/>
          <w:kern w:val="0"/>
          <w:sz w:val="24"/>
          <w:szCs w:val="20"/>
        </w:rPr>
      </w:pPr>
      <w:r>
        <w:rPr>
          <w:rFonts w:ascii="Times New Roman" w:hAnsi="Times New Roman" w:eastAsia="宋体" w:cs="Times New Roman"/>
          <w:kern w:val="0"/>
          <w:sz w:val="24"/>
          <w:szCs w:val="20"/>
        </w:rPr>
        <w:t>g．医疗废物暂存间每天应在废物清运之后消毒冲洗，冲洗液排入本院的医疗废水消毒、处理系统。</w:t>
      </w:r>
    </w:p>
    <w:p>
      <w:pPr>
        <w:pStyle w:val="40"/>
        <w:ind w:firstLine="480"/>
      </w:pPr>
      <w:r>
        <w:rPr>
          <w:rFonts w:hint="eastAsia"/>
        </w:rPr>
        <w:t>（7）</w:t>
      </w:r>
      <w:r>
        <w:t>医疗废物的</w:t>
      </w:r>
      <w:r>
        <w:rPr>
          <w:rFonts w:hint="eastAsia"/>
        </w:rPr>
        <w:t>转移</w:t>
      </w:r>
      <w:r>
        <w:t>联</w:t>
      </w:r>
      <w:r>
        <w:rPr>
          <w:rFonts w:hint="eastAsia"/>
        </w:rPr>
        <w:t>管理</w:t>
      </w:r>
    </w:p>
    <w:p>
      <w:pPr>
        <w:pStyle w:val="40"/>
        <w:ind w:firstLine="480"/>
      </w:pPr>
      <w:r>
        <w:t>医疗废物转移联单的目的在于记录医疗废物从产生到运输到处理的全过程，在这个过程中应当对医疗废物进行登记，登记内容应当包括医疗废物的来源，种类，重量或者数量、交接时间、处置方法、最终去向及经办人签名等项目。登记资料至少保存3年。</w:t>
      </w:r>
    </w:p>
    <w:p>
      <w:pPr>
        <w:adjustRightInd w:val="0"/>
        <w:snapToGrid w:val="0"/>
        <w:spacing w:line="348" w:lineRule="auto"/>
        <w:ind w:firstLine="456" w:firstLineChars="200"/>
        <w:textAlignment w:val="baseline"/>
        <w:rPr>
          <w:rFonts w:ascii="Times New Roman" w:hAnsi="Times New Roman" w:eastAsia="宋体" w:cs="Times New Roman"/>
          <w:kern w:val="0"/>
          <w:sz w:val="24"/>
          <w:szCs w:val="20"/>
          <w:highlight w:val="yellow"/>
        </w:rPr>
      </w:pPr>
      <w:r>
        <w:rPr>
          <w:rFonts w:ascii="Times New Roman" w:hAnsi="Times New Roman" w:eastAsia="宋体" w:cs="Times New Roman"/>
          <w:color w:val="000000"/>
          <w:spacing w:val="-6"/>
          <w:kern w:val="0"/>
          <w:sz w:val="24"/>
          <w:szCs w:val="24"/>
        </w:rPr>
        <w:t>在医疗废物运输交接过程中，必须严格执行转移联单制度，填写医疗废物处置三联单。</w:t>
      </w:r>
    </w:p>
    <w:p>
      <w:pPr>
        <w:pStyle w:val="5"/>
      </w:pPr>
      <w:r>
        <w:rPr>
          <w:rFonts w:hint="eastAsia"/>
        </w:rPr>
        <w:t>污水</w:t>
      </w:r>
      <w:r>
        <w:t>处理站污泥及柵渣</w:t>
      </w:r>
    </w:p>
    <w:p>
      <w:pPr>
        <w:pStyle w:val="40"/>
        <w:ind w:firstLine="480"/>
        <w:rPr>
          <w:highlight w:val="yellow"/>
        </w:rPr>
      </w:pPr>
      <w:r>
        <w:rPr>
          <w:rFonts w:hint="eastAsia"/>
        </w:rPr>
        <w:t>根据《医院污水处理工程技术规范》（HJ2029-2013）中规定，栅渣与污泥一同集中消毒、处理、处置，项目采用生石灰对污泥及栅渣进行消毒，消毒</w:t>
      </w:r>
      <w:r>
        <w:t>后的污泥采用离心式脱水机（或叠螺式污泥脱水机）进行脱水，脱水污泥含水率应小于80%。</w:t>
      </w:r>
      <w:r>
        <w:rPr>
          <w:rFonts w:hint="eastAsia"/>
        </w:rPr>
        <w:t>项目产生的污</w:t>
      </w:r>
      <w:r>
        <w:rPr>
          <w:rFonts w:hint="eastAsia"/>
          <w:color w:val="000000" w:themeColor="text1"/>
          <w14:textFill>
            <w14:solidFill>
              <w14:schemeClr w14:val="tx1"/>
            </w14:solidFill>
          </w14:textFill>
        </w:rPr>
        <w:t>泥脱水</w:t>
      </w:r>
      <w:r>
        <w:rPr>
          <w:color w:val="000000" w:themeColor="text1"/>
          <w14:textFill>
            <w14:solidFill>
              <w14:schemeClr w14:val="tx1"/>
            </w14:solidFill>
          </w14:textFill>
        </w:rPr>
        <w:t>后</w:t>
      </w:r>
      <w:r>
        <w:rPr>
          <w:rFonts w:hint="eastAsia"/>
          <w:color w:val="000000" w:themeColor="text1"/>
          <w14:textFill>
            <w14:solidFill>
              <w14:schemeClr w14:val="tx1"/>
            </w14:solidFill>
          </w14:textFill>
        </w:rPr>
        <w:t>及时外运</w:t>
      </w:r>
      <w:r>
        <w:rPr>
          <w:color w:val="000000" w:themeColor="text1"/>
          <w14:textFill>
            <w14:solidFill>
              <w14:schemeClr w14:val="tx1"/>
            </w14:solidFill>
          </w14:textFill>
        </w:rPr>
        <w:t>。</w:t>
      </w:r>
    </w:p>
    <w:p>
      <w:pPr>
        <w:pStyle w:val="4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污泥每次清掏前应进行监测，需达到《医疗机构水污染物排放标准》(GB18466-2005)表4标准要求（粪大肠菌群数≤100MPN/g，蛔虫卵死亡率＞95%）。</w:t>
      </w:r>
    </w:p>
    <w:p>
      <w:pPr>
        <w:spacing w:line="360" w:lineRule="auto"/>
        <w:ind w:firstLine="456" w:firstLineChars="200"/>
        <w:jc w:val="left"/>
        <w:rPr>
          <w:rFonts w:ascii="Times New Roman" w:hAnsi="Times New Roman" w:eastAsia="宋体" w:cs="Times New Roman"/>
          <w:color w:val="000000"/>
          <w:spacing w:val="-6"/>
          <w:kern w:val="0"/>
          <w:sz w:val="24"/>
          <w:szCs w:val="24"/>
        </w:rPr>
      </w:pPr>
      <w:r>
        <w:rPr>
          <w:rFonts w:hint="eastAsia" w:ascii="Times New Roman" w:hAnsi="Times New Roman" w:eastAsia="宋体" w:cs="Times New Roman"/>
          <w:color w:val="000000"/>
          <w:spacing w:val="-6"/>
          <w:kern w:val="0"/>
          <w:sz w:val="24"/>
          <w:szCs w:val="24"/>
        </w:rPr>
        <w:t>医院</w:t>
      </w:r>
      <w:r>
        <w:rPr>
          <w:rFonts w:ascii="Times New Roman" w:hAnsi="Times New Roman" w:eastAsia="宋体" w:cs="Times New Roman"/>
          <w:color w:val="000000"/>
          <w:spacing w:val="-6"/>
          <w:kern w:val="0"/>
          <w:sz w:val="24"/>
          <w:szCs w:val="24"/>
        </w:rPr>
        <w:t>废水处理过程中产生的栅渣、化粪池和污水处理站污泥属于危险废物，其收集、储存、运输按照《医疗废物分类目录</w:t>
      </w:r>
      <w:r>
        <w:rPr>
          <w:rFonts w:hint="eastAsia" w:ascii="Times New Roman" w:hAnsi="Times New Roman" w:eastAsia="宋体" w:cs="Times New Roman"/>
          <w:color w:val="000000"/>
          <w:spacing w:val="-6"/>
          <w:kern w:val="0"/>
          <w:sz w:val="24"/>
          <w:szCs w:val="24"/>
        </w:rPr>
        <w:t>（2021版）</w:t>
      </w:r>
      <w:r>
        <w:rPr>
          <w:rFonts w:ascii="Times New Roman" w:hAnsi="Times New Roman" w:eastAsia="宋体" w:cs="Times New Roman"/>
          <w:color w:val="000000"/>
          <w:spacing w:val="-6"/>
          <w:kern w:val="0"/>
          <w:sz w:val="24"/>
          <w:szCs w:val="24"/>
        </w:rPr>
        <w:t>》及《医院污水处理工程技术规范》的要求进行管理，按照《危险废物转移联单管理办法》建立危险废物转移五联单管理制度。尽量做到日产日清，暂存时间最长不超过48小时。</w:t>
      </w:r>
    </w:p>
    <w:p>
      <w:pPr>
        <w:spacing w:line="360" w:lineRule="auto"/>
        <w:ind w:firstLine="456" w:firstLineChars="200"/>
        <w:jc w:val="left"/>
        <w:rPr>
          <w:rFonts w:ascii="Times New Roman" w:hAnsi="Times New Roman" w:eastAsia="宋体" w:cs="Times New Roman"/>
          <w:color w:val="000000"/>
          <w:spacing w:val="-6"/>
          <w:kern w:val="0"/>
          <w:sz w:val="24"/>
          <w:szCs w:val="24"/>
        </w:rPr>
      </w:pPr>
      <w:r>
        <w:rPr>
          <w:rFonts w:ascii="Times New Roman" w:hAnsi="Times New Roman" w:eastAsia="宋体" w:cs="Times New Roman"/>
          <w:color w:val="000000"/>
          <w:spacing w:val="-6"/>
          <w:kern w:val="0"/>
          <w:sz w:val="24"/>
          <w:szCs w:val="24"/>
        </w:rPr>
        <w:t>综上所述，本项目产生的固体废物在采取环评要求的治理措施后均得到妥善处置，对环境影响较小。</w:t>
      </w:r>
    </w:p>
    <w:p>
      <w:pPr>
        <w:pStyle w:val="4"/>
      </w:pPr>
      <w:r>
        <w:rPr>
          <w:rFonts w:hint="eastAsia"/>
        </w:rPr>
        <w:t>环境</w:t>
      </w:r>
      <w:r>
        <w:t>保护投入分析</w:t>
      </w:r>
    </w:p>
    <w:p>
      <w:pPr>
        <w:pStyle w:val="40"/>
        <w:ind w:firstLine="480"/>
        <w:rPr>
          <w:highlight w:val="yellow"/>
        </w:rPr>
      </w:pPr>
      <w:r>
        <w:rPr>
          <w:rFonts w:hint="eastAsia"/>
        </w:rPr>
        <w:t>本项目环保投资总额（建设费用）共计</w:t>
      </w:r>
      <w:r>
        <w:rPr>
          <w:color w:val="FF0000"/>
        </w:rPr>
        <w:t>93</w:t>
      </w:r>
      <w:r>
        <w:rPr>
          <w:rFonts w:hint="eastAsia"/>
          <w:color w:val="FF0000"/>
        </w:rPr>
        <w:t>万元</w:t>
      </w:r>
      <w:r>
        <w:t>，</w:t>
      </w:r>
      <w:r>
        <w:rPr>
          <w:rFonts w:hint="eastAsia"/>
        </w:rPr>
        <w:t>约占总投资（</w:t>
      </w:r>
      <w:r>
        <w:t>42503.55</w:t>
      </w:r>
      <w:r>
        <w:rPr>
          <w:rFonts w:hint="eastAsia"/>
        </w:rPr>
        <w:t>万元）的</w:t>
      </w:r>
      <w:r>
        <w:rPr>
          <w:color w:val="FF0000"/>
        </w:rPr>
        <w:t>0.22</w:t>
      </w:r>
      <w:r>
        <w:rPr>
          <w:rFonts w:hint="eastAsia"/>
          <w:color w:val="FF0000"/>
        </w:rPr>
        <w:t>%，</w:t>
      </w:r>
      <w:r>
        <w:rPr>
          <w:rFonts w:hint="eastAsia"/>
        </w:rPr>
        <w:t>责任主体为建设单位，实施时段贯穿整个运营期。环保设施运行费、维护费、监测费分别为</w:t>
      </w:r>
      <w:r>
        <w:t>7</w:t>
      </w:r>
      <w:r>
        <w:rPr>
          <w:rFonts w:hint="eastAsia"/>
        </w:rPr>
        <w:t>万元/a、</w:t>
      </w:r>
      <w:r>
        <w:t>3</w:t>
      </w:r>
      <w:r>
        <w:rPr>
          <w:rFonts w:hint="eastAsia"/>
        </w:rPr>
        <w:t>万元/a，</w:t>
      </w:r>
      <w:r>
        <w:t>9</w:t>
      </w:r>
      <w:r>
        <w:rPr>
          <w:rFonts w:hint="eastAsia"/>
        </w:rPr>
        <w:t>万元/a。</w:t>
      </w:r>
    </w:p>
    <w:p>
      <w:pPr>
        <w:rPr>
          <w:highlight w:val="yellow"/>
        </w:rPr>
      </w:pPr>
    </w:p>
    <w:p>
      <w:pPr>
        <w:rPr>
          <w:highlight w:val="yellow"/>
        </w:rPr>
      </w:pPr>
    </w:p>
    <w:p>
      <w:pPr>
        <w:rPr>
          <w:highlight w:val="yellow"/>
        </w:rPr>
        <w:sectPr>
          <w:headerReference r:id="rId52" w:type="default"/>
          <w:headerReference r:id="rId53" w:type="even"/>
          <w:pgSz w:w="11906" w:h="16838"/>
          <w:pgMar w:top="1418" w:right="1418" w:bottom="1418" w:left="1588" w:header="851" w:footer="992" w:gutter="0"/>
          <w:pgNumType w:fmt="numberInDash"/>
          <w:cols w:space="425" w:num="1"/>
          <w:docGrid w:type="linesAndChars" w:linePitch="312" w:charSpace="0"/>
        </w:sectPr>
      </w:pPr>
    </w:p>
    <w:p>
      <w:pPr>
        <w:adjustRightInd w:val="0"/>
        <w:snapToGrid w:val="0"/>
        <w:jc w:val="center"/>
        <w:rPr>
          <w:rFonts w:ascii="Times New Roman" w:hAnsi="宋体" w:eastAsia="宋体" w:cs="Times New Roman"/>
          <w:b/>
          <w:sz w:val="24"/>
          <w:szCs w:val="24"/>
        </w:rPr>
      </w:pPr>
      <w:r>
        <w:rPr>
          <w:rFonts w:ascii="Times New Roman" w:hAnsi="宋体" w:eastAsia="宋体" w:cs="Times New Roman"/>
          <w:b/>
          <w:sz w:val="24"/>
          <w:szCs w:val="24"/>
        </w:rPr>
        <w:t xml:space="preserve">表8.2-4  </w:t>
      </w:r>
      <w:r>
        <w:rPr>
          <w:rFonts w:hint="eastAsia" w:ascii="Times New Roman" w:hAnsi="宋体" w:eastAsia="宋体" w:cs="Times New Roman"/>
          <w:b/>
          <w:sz w:val="24"/>
          <w:szCs w:val="24"/>
        </w:rPr>
        <w:t xml:space="preserve"> </w:t>
      </w:r>
      <w:r>
        <w:rPr>
          <w:rFonts w:ascii="Times New Roman" w:hAnsi="宋体" w:eastAsia="宋体" w:cs="Times New Roman"/>
          <w:b/>
          <w:sz w:val="24"/>
          <w:szCs w:val="24"/>
        </w:rPr>
        <w:t>项目环保</w:t>
      </w:r>
      <w:r>
        <w:rPr>
          <w:rFonts w:hint="eastAsia" w:ascii="Times New Roman" w:hAnsi="宋体" w:eastAsia="宋体" w:cs="Times New Roman"/>
          <w:b/>
          <w:sz w:val="24"/>
          <w:szCs w:val="24"/>
        </w:rPr>
        <w:t>投入</w:t>
      </w:r>
      <w:r>
        <w:rPr>
          <w:rFonts w:ascii="Times New Roman" w:hAnsi="宋体" w:eastAsia="宋体" w:cs="Times New Roman"/>
          <w:b/>
          <w:sz w:val="24"/>
          <w:szCs w:val="24"/>
        </w:rPr>
        <w:t>估算表</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011"/>
        <w:gridCol w:w="4350"/>
        <w:gridCol w:w="1548"/>
        <w:gridCol w:w="696"/>
        <w:gridCol w:w="1115"/>
        <w:gridCol w:w="1322"/>
        <w:gridCol w:w="1274"/>
        <w:gridCol w:w="12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437" w:type="dxa"/>
            <w:gridSpan w:val="2"/>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污染源</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环保设施名称</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处理</w:t>
            </w:r>
            <w:r>
              <w:rPr>
                <w:rFonts w:ascii="Times New Roman" w:hAnsi="Times New Roman" w:eastAsia="宋体" w:cstheme="majorBidi"/>
                <w:bCs/>
                <w:kern w:val="28"/>
                <w:szCs w:val="32"/>
              </w:rPr>
              <w:t>效率</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数量</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建设费</w:t>
            </w:r>
          </w:p>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（万元）</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运行费</w:t>
            </w:r>
          </w:p>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（万元/a）</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维护费</w:t>
            </w:r>
          </w:p>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（万元/a）</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监测费</w:t>
            </w:r>
          </w:p>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（万元/a）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废气</w:t>
            </w: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天然气</w:t>
            </w:r>
            <w:r>
              <w:rPr>
                <w:rFonts w:ascii="Times New Roman" w:hAnsi="Times New Roman" w:eastAsia="宋体" w:cstheme="majorBidi"/>
                <w:bCs/>
                <w:kern w:val="28"/>
                <w:szCs w:val="32"/>
              </w:rPr>
              <w:t>锅炉</w:t>
            </w:r>
            <w:r>
              <w:rPr>
                <w:rFonts w:hint="eastAsia" w:ascii="Times New Roman" w:hAnsi="Times New Roman" w:eastAsia="宋体" w:cstheme="majorBidi"/>
                <w:bCs/>
                <w:kern w:val="28"/>
                <w:szCs w:val="32"/>
              </w:rPr>
              <w:t>废气</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低氮</w:t>
            </w:r>
            <w:r>
              <w:rPr>
                <w:rFonts w:ascii="Times New Roman" w:hAnsi="Times New Roman" w:eastAsia="宋体" w:cstheme="majorBidi"/>
                <w:bCs/>
                <w:kern w:val="28"/>
                <w:szCs w:val="32"/>
              </w:rPr>
              <w:t>燃烧</w:t>
            </w:r>
            <w:r>
              <w:rPr>
                <w:rFonts w:hint="eastAsia" w:ascii="Times New Roman" w:hAnsi="Times New Roman" w:eastAsia="宋体" w:cstheme="majorBidi"/>
                <w:bCs/>
                <w:kern w:val="28"/>
                <w:szCs w:val="32"/>
              </w:rPr>
              <w:t>+</w:t>
            </w:r>
            <w:r>
              <w:rPr>
                <w:rFonts w:ascii="Times New Roman" w:hAnsi="Times New Roman" w:eastAsia="宋体" w:cstheme="majorBidi"/>
                <w:bCs/>
                <w:color w:val="FF0000"/>
                <w:kern w:val="28"/>
                <w:szCs w:val="32"/>
              </w:rPr>
              <w:t>60m高</w:t>
            </w:r>
            <w:r>
              <w:rPr>
                <w:rFonts w:hint="eastAsia" w:ascii="Times New Roman" w:hAnsi="Times New Roman" w:eastAsia="宋体" w:cstheme="majorBidi"/>
                <w:bCs/>
                <w:color w:val="FF0000"/>
                <w:kern w:val="28"/>
                <w:szCs w:val="32"/>
              </w:rPr>
              <w:t>排气筒</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3</w:t>
            </w:r>
            <w:r>
              <w:rPr>
                <w:rFonts w:hint="eastAsia" w:ascii="Times New Roman" w:hAnsi="Times New Roman" w:eastAsia="宋体" w:cstheme="majorBidi"/>
                <w:bCs/>
                <w:color w:val="FF0000"/>
                <w:kern w:val="28"/>
                <w:szCs w:val="32"/>
              </w:rPr>
              <w:t>套</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color w:val="FF0000"/>
                <w:kern w:val="28"/>
                <w:szCs w:val="32"/>
              </w:rPr>
              <w:t>30</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食堂</w:t>
            </w:r>
            <w:r>
              <w:rPr>
                <w:rFonts w:ascii="Times New Roman" w:hAnsi="Times New Roman" w:eastAsia="宋体" w:cstheme="majorBidi"/>
                <w:bCs/>
                <w:color w:val="000000" w:themeColor="text1"/>
                <w:kern w:val="28"/>
                <w:szCs w:val="32"/>
                <w14:textFill>
                  <w14:solidFill>
                    <w14:schemeClr w14:val="tx1"/>
                  </w14:solidFill>
                </w14:textFill>
              </w:rPr>
              <w:t>燃料</w:t>
            </w:r>
            <w:r>
              <w:rPr>
                <w:rFonts w:hint="eastAsia" w:ascii="Times New Roman" w:hAnsi="Times New Roman" w:eastAsia="宋体" w:cstheme="majorBidi"/>
                <w:bCs/>
                <w:color w:val="000000" w:themeColor="text1"/>
                <w:kern w:val="28"/>
                <w:szCs w:val="32"/>
                <w14:textFill>
                  <w14:solidFill>
                    <w14:schemeClr w14:val="tx1"/>
                  </w14:solidFill>
                </w14:textFill>
              </w:rPr>
              <w:t>废气</w:t>
            </w:r>
            <w:r>
              <w:rPr>
                <w:rFonts w:ascii="Times New Roman" w:hAnsi="Times New Roman" w:eastAsia="宋体" w:cstheme="majorBidi"/>
                <w:bCs/>
                <w:color w:val="000000" w:themeColor="text1"/>
                <w:kern w:val="28"/>
                <w:szCs w:val="32"/>
                <w14:textFill>
                  <w14:solidFill>
                    <w14:schemeClr w14:val="tx1"/>
                  </w14:solidFill>
                </w14:textFill>
              </w:rPr>
              <w:t>及油烟废气</w:t>
            </w:r>
          </w:p>
        </w:tc>
        <w:tc>
          <w:tcPr>
            <w:tcW w:w="4350" w:type="dxa"/>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油烟</w:t>
            </w:r>
            <w:r>
              <w:rPr>
                <w:rFonts w:ascii="Times New Roman" w:hAnsi="Times New Roman" w:cs="Times New Roman"/>
                <w:color w:val="000000" w:themeColor="text1"/>
                <w14:textFill>
                  <w14:solidFill>
                    <w14:schemeClr w14:val="tx1"/>
                  </w14:solidFill>
                </w14:textFill>
              </w:rPr>
              <w:t>净化装置</w:t>
            </w:r>
          </w:p>
        </w:tc>
        <w:tc>
          <w:tcPr>
            <w:tcW w:w="1548"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75%</w:t>
            </w:r>
          </w:p>
        </w:tc>
        <w:tc>
          <w:tcPr>
            <w:tcW w:w="696"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1套</w:t>
            </w:r>
          </w:p>
        </w:tc>
        <w:tc>
          <w:tcPr>
            <w:tcW w:w="1115"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ascii="Times New Roman" w:hAnsi="Times New Roman" w:eastAsia="宋体" w:cstheme="majorBidi"/>
                <w:bCs/>
                <w:color w:val="000000" w:themeColor="text1"/>
                <w:kern w:val="28"/>
                <w:szCs w:val="32"/>
                <w14:textFill>
                  <w14:solidFill>
                    <w14:schemeClr w14:val="tx1"/>
                  </w14:solidFill>
                </w14:textFill>
              </w:rPr>
              <w:t>5</w:t>
            </w:r>
          </w:p>
        </w:tc>
        <w:tc>
          <w:tcPr>
            <w:tcW w:w="1322"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w:t>
            </w:r>
          </w:p>
        </w:tc>
        <w:tc>
          <w:tcPr>
            <w:tcW w:w="1274"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w:t>
            </w:r>
          </w:p>
        </w:tc>
        <w:tc>
          <w:tcPr>
            <w:tcW w:w="1230"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处理站废气</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地埋式设计</w:t>
            </w:r>
            <w:r>
              <w:rPr>
                <w:rFonts w:ascii="Times New Roman" w:hAnsi="Times New Roman" w:eastAsia="宋体" w:cstheme="majorBidi"/>
                <w:bCs/>
                <w:kern w:val="28"/>
                <w:szCs w:val="32"/>
              </w:rPr>
              <w:t>，加盖密闭，定期喷洒生物</w:t>
            </w:r>
            <w:r>
              <w:rPr>
                <w:rFonts w:hint="eastAsia" w:ascii="Times New Roman" w:hAnsi="Times New Roman" w:eastAsia="宋体" w:cstheme="majorBidi"/>
                <w:bCs/>
                <w:kern w:val="28"/>
                <w:szCs w:val="32"/>
              </w:rPr>
              <w:t>除臭剂</w:t>
            </w:r>
            <w:r>
              <w:rPr>
                <w:rFonts w:ascii="Times New Roman" w:hAnsi="Times New Roman" w:eastAsia="宋体" w:cstheme="majorBidi"/>
                <w:bCs/>
                <w:kern w:val="28"/>
                <w:szCs w:val="32"/>
              </w:rPr>
              <w:t>，加强绿化</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80%</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备用</w:t>
            </w:r>
            <w:r>
              <w:rPr>
                <w:rFonts w:ascii="Times New Roman" w:hAnsi="Times New Roman" w:eastAsia="宋体" w:cstheme="majorBidi"/>
                <w:bCs/>
                <w:kern w:val="28"/>
                <w:szCs w:val="32"/>
              </w:rPr>
              <w:t>发电机废气</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21"/>
              </w:rPr>
              <w:t>排风装置、专用烟道引至楼顶排放</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1套</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2</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26" w:type="dxa"/>
            <w:vMerge w:val="restart"/>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废水</w:t>
            </w: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生活污水</w:t>
            </w:r>
            <w:r>
              <w:rPr>
                <w:rFonts w:ascii="Times New Roman" w:hAnsi="Times New Roman" w:eastAsia="宋体" w:cstheme="majorBidi"/>
                <w:bCs/>
                <w:kern w:val="28"/>
                <w:szCs w:val="32"/>
              </w:rPr>
              <w:t>预处理</w:t>
            </w:r>
          </w:p>
        </w:tc>
        <w:tc>
          <w:tcPr>
            <w:tcW w:w="4350"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化粪池，总容积</w:t>
            </w:r>
            <w:r>
              <w:rPr>
                <w:rFonts w:ascii="Times New Roman" w:hAnsi="Times New Roman" w:eastAsia="宋体" w:cstheme="majorBidi"/>
                <w:bCs/>
                <w:color w:val="000000" w:themeColor="text1"/>
                <w:kern w:val="28"/>
                <w:szCs w:val="32"/>
                <w14:textFill>
                  <w14:solidFill>
                    <w14:schemeClr w14:val="tx1"/>
                  </w14:solidFill>
                </w14:textFill>
              </w:rPr>
              <w:t>300m</w:t>
            </w:r>
            <w:r>
              <w:rPr>
                <w:rFonts w:ascii="Times New Roman" w:hAnsi="Times New Roman" w:eastAsia="宋体" w:cstheme="majorBidi"/>
                <w:bCs/>
                <w:color w:val="000000" w:themeColor="text1"/>
                <w:kern w:val="28"/>
                <w:szCs w:val="32"/>
                <w:vertAlign w:val="superscript"/>
                <w14:textFill>
                  <w14:solidFill>
                    <w14:schemeClr w14:val="tx1"/>
                  </w14:solidFill>
                </w14:textFill>
              </w:rPr>
              <w:t>3</w:t>
            </w:r>
          </w:p>
        </w:tc>
        <w:tc>
          <w:tcPr>
            <w:tcW w:w="1548" w:type="dxa"/>
            <w:vMerge w:val="restart"/>
            <w:vAlign w:val="center"/>
          </w:tcPr>
          <w:p>
            <w:pPr>
              <w:adjustRightInd w:val="0"/>
              <w:snapToGrid w:val="0"/>
              <w:spacing w:line="300" w:lineRule="exact"/>
              <w:jc w:val="center"/>
              <w:rPr>
                <w:rFonts w:ascii="Times New Roman" w:hAnsi="Times New Roman" w:eastAsia="宋体" w:cs="Times New Roman"/>
                <w:spacing w:val="-4"/>
                <w:szCs w:val="21"/>
              </w:rPr>
            </w:pPr>
            <w:r>
              <w:rPr>
                <w:rFonts w:hint="eastAsia" w:ascii="Times New Roman" w:hAnsi="Times New Roman" w:eastAsia="宋体" w:cs="Times New Roman"/>
                <w:szCs w:val="21"/>
              </w:rPr>
              <w:t>COD≥</w:t>
            </w:r>
            <w:r>
              <w:rPr>
                <w:rFonts w:ascii="Times New Roman" w:hAnsi="Times New Roman" w:eastAsia="宋体" w:cs="Times New Roman"/>
                <w:spacing w:val="-4"/>
                <w:szCs w:val="21"/>
              </w:rPr>
              <w:t>40%</w:t>
            </w:r>
          </w:p>
          <w:p>
            <w:pPr>
              <w:adjustRightInd w:val="0"/>
              <w:snapToGrid w:val="0"/>
              <w:spacing w:line="300" w:lineRule="exact"/>
              <w:jc w:val="center"/>
              <w:rPr>
                <w:rFonts w:ascii="Times New Roman" w:hAnsi="Times New Roman" w:eastAsia="宋体" w:cs="Times New Roman"/>
                <w:spacing w:val="-4"/>
                <w:szCs w:val="21"/>
              </w:rPr>
            </w:pPr>
            <w:r>
              <w:rPr>
                <w:rFonts w:ascii="Times New Roman" w:hAnsi="Times New Roman" w:eastAsia="宋体" w:cs="Times New Roman"/>
                <w:szCs w:val="21"/>
              </w:rPr>
              <w:t>B</w:t>
            </w:r>
            <w:r>
              <w:rPr>
                <w:rFonts w:hint="eastAsia" w:ascii="Times New Roman" w:hAnsi="Times New Roman" w:eastAsia="宋体" w:cs="Times New Roman"/>
                <w:szCs w:val="21"/>
              </w:rPr>
              <w:t>OD</w:t>
            </w:r>
            <w:r>
              <w:rPr>
                <w:rFonts w:ascii="Times New Roman" w:hAnsi="Times New Roman" w:eastAsia="宋体" w:cs="Times New Roman"/>
                <w:szCs w:val="21"/>
                <w:vertAlign w:val="subscript"/>
              </w:rPr>
              <w:t>5</w:t>
            </w:r>
            <w:r>
              <w:rPr>
                <w:rFonts w:hint="eastAsia" w:ascii="Times New Roman" w:hAnsi="Times New Roman" w:eastAsia="宋体" w:cs="Times New Roman"/>
                <w:szCs w:val="21"/>
              </w:rPr>
              <w:t>≥</w:t>
            </w:r>
            <w:r>
              <w:rPr>
                <w:rFonts w:ascii="Times New Roman" w:hAnsi="Times New Roman" w:eastAsia="宋体" w:cs="Times New Roman"/>
                <w:spacing w:val="-4"/>
                <w:szCs w:val="21"/>
              </w:rPr>
              <w:t>40%</w:t>
            </w:r>
          </w:p>
          <w:p>
            <w:pPr>
              <w:adjustRightInd w:val="0"/>
              <w:snapToGrid w:val="0"/>
              <w:spacing w:line="300" w:lineRule="exact"/>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SS</w:t>
            </w:r>
            <w:r>
              <w:rPr>
                <w:rFonts w:ascii="Times New Roman" w:hAnsi="Times New Roman" w:eastAsia="宋体" w:cs="Times New Roman"/>
                <w:spacing w:val="-4"/>
                <w:szCs w:val="21"/>
              </w:rPr>
              <w:t>≥80%</w:t>
            </w:r>
          </w:p>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21"/>
              </w:rPr>
              <w:t>粪大肠杆菌≥</w:t>
            </w:r>
            <w:r>
              <w:rPr>
                <w:rFonts w:ascii="Times New Roman" w:hAnsi="Times New Roman" w:eastAsia="宋体" w:cstheme="majorBidi"/>
                <w:bCs/>
                <w:spacing w:val="-4"/>
                <w:kern w:val="28"/>
                <w:szCs w:val="21"/>
              </w:rPr>
              <w:t>99.99</w:t>
            </w:r>
            <w:r>
              <w:rPr>
                <w:rFonts w:ascii="Times New Roman" w:hAnsi="Times New Roman" w:eastAsia="宋体" w:cstheme="majorBidi"/>
                <w:bCs/>
                <w:color w:val="000000" w:themeColor="text1"/>
                <w:spacing w:val="-4"/>
                <w:kern w:val="28"/>
                <w:szCs w:val="21"/>
                <w14:textFill>
                  <w14:solidFill>
                    <w14:schemeClr w14:val="tx1"/>
                  </w14:solidFill>
                </w14:textFill>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座</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食堂</w:t>
            </w:r>
            <w:r>
              <w:rPr>
                <w:rFonts w:ascii="Times New Roman" w:hAnsi="Times New Roman" w:eastAsia="宋体" w:cstheme="majorBidi"/>
                <w:bCs/>
                <w:kern w:val="28"/>
                <w:szCs w:val="32"/>
              </w:rPr>
              <w:t>废水预处理</w:t>
            </w:r>
          </w:p>
        </w:tc>
        <w:tc>
          <w:tcPr>
            <w:tcW w:w="4350"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隔油池，总容积</w:t>
            </w:r>
            <w:r>
              <w:rPr>
                <w:rFonts w:ascii="Times New Roman" w:hAnsi="Times New Roman" w:eastAsia="宋体" w:cstheme="majorBidi"/>
                <w:bCs/>
                <w:color w:val="000000" w:themeColor="text1"/>
                <w:kern w:val="28"/>
                <w:szCs w:val="32"/>
                <w14:textFill>
                  <w14:solidFill>
                    <w14:schemeClr w14:val="tx1"/>
                  </w14:solidFill>
                </w14:textFill>
              </w:rPr>
              <w:t>30m</w:t>
            </w:r>
            <w:r>
              <w:rPr>
                <w:rFonts w:ascii="Times New Roman" w:hAnsi="Times New Roman" w:eastAsia="宋体" w:cstheme="majorBidi"/>
                <w:bCs/>
                <w:color w:val="000000" w:themeColor="text1"/>
                <w:kern w:val="28"/>
                <w:szCs w:val="32"/>
                <w:vertAlign w:val="superscript"/>
                <w14:textFill>
                  <w14:solidFill>
                    <w14:schemeClr w14:val="tx1"/>
                  </w14:solidFill>
                </w14:textFill>
              </w:rPr>
              <w:t>3</w:t>
            </w:r>
          </w:p>
        </w:tc>
        <w:tc>
          <w:tcPr>
            <w:tcW w:w="1548" w:type="dxa"/>
            <w:vMerge w:val="continue"/>
            <w:vAlign w:val="center"/>
          </w:tcPr>
          <w:p>
            <w:pPr>
              <w:adjustRightInd w:val="0"/>
              <w:snapToGrid w:val="0"/>
              <w:spacing w:line="300" w:lineRule="exact"/>
              <w:jc w:val="center"/>
              <w:rPr>
                <w:rFonts w:ascii="Times New Roman" w:hAnsi="Times New Roman" w:eastAsia="宋体" w:cs="Times New Roman"/>
                <w:szCs w:val="21"/>
                <w:highlight w:val="yellow"/>
              </w:rPr>
            </w:pP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座</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放射性</w:t>
            </w:r>
            <w:r>
              <w:rPr>
                <w:rFonts w:ascii="Times New Roman" w:hAnsi="Times New Roman" w:eastAsia="宋体" w:cstheme="majorBidi"/>
                <w:bCs/>
                <w:kern w:val="28"/>
                <w:szCs w:val="32"/>
              </w:rPr>
              <w:t>废水预处理</w:t>
            </w:r>
          </w:p>
        </w:tc>
        <w:tc>
          <w:tcPr>
            <w:tcW w:w="4350" w:type="dxa"/>
            <w:vAlign w:val="center"/>
          </w:tcPr>
          <w:p>
            <w:pPr>
              <w:adjustRightInd w:val="0"/>
              <w:snapToGrid w:val="0"/>
              <w:jc w:val="center"/>
              <w:rPr>
                <w:rFonts w:ascii="Times New Roman" w:hAnsi="Times New Roman" w:eastAsia="宋体" w:cstheme="majorBidi"/>
                <w:bCs/>
                <w:color w:val="000000" w:themeColor="text1"/>
                <w:kern w:val="28"/>
                <w:szCs w:val="32"/>
                <w14:textFill>
                  <w14:solidFill>
                    <w14:schemeClr w14:val="tx1"/>
                  </w14:solidFill>
                </w14:textFill>
              </w:rPr>
            </w:pPr>
            <w:r>
              <w:rPr>
                <w:rFonts w:hint="eastAsia" w:ascii="Times New Roman" w:hAnsi="Times New Roman" w:eastAsia="宋体" w:cstheme="majorBidi"/>
                <w:bCs/>
                <w:color w:val="000000" w:themeColor="text1"/>
                <w:kern w:val="28"/>
                <w:szCs w:val="32"/>
                <w14:textFill>
                  <w14:solidFill>
                    <w14:schemeClr w14:val="tx1"/>
                  </w14:solidFill>
                </w14:textFill>
              </w:rPr>
              <w:t>衰变池，总容积</w:t>
            </w:r>
            <w:r>
              <w:rPr>
                <w:rFonts w:ascii="Times New Roman" w:hAnsi="Times New Roman" w:eastAsia="宋体" w:cstheme="majorBidi"/>
                <w:bCs/>
                <w:color w:val="000000" w:themeColor="text1"/>
                <w:kern w:val="28"/>
                <w:szCs w:val="32"/>
                <w14:textFill>
                  <w14:solidFill>
                    <w14:schemeClr w14:val="tx1"/>
                  </w14:solidFill>
                </w14:textFill>
              </w:rPr>
              <w:t>1m</w:t>
            </w:r>
            <w:r>
              <w:rPr>
                <w:rFonts w:ascii="Times New Roman" w:hAnsi="Times New Roman" w:eastAsia="宋体" w:cstheme="majorBidi"/>
                <w:bCs/>
                <w:color w:val="000000" w:themeColor="text1"/>
                <w:kern w:val="28"/>
                <w:szCs w:val="32"/>
                <w:vertAlign w:val="superscript"/>
                <w14:textFill>
                  <w14:solidFill>
                    <w14:schemeClr w14:val="tx1"/>
                  </w14:solidFill>
                </w14:textFill>
              </w:rPr>
              <w:t>3</w:t>
            </w:r>
          </w:p>
        </w:tc>
        <w:tc>
          <w:tcPr>
            <w:tcW w:w="1548" w:type="dxa"/>
            <w:vMerge w:val="continue"/>
            <w:vAlign w:val="center"/>
          </w:tcPr>
          <w:p>
            <w:pPr>
              <w:adjustRightInd w:val="0"/>
              <w:snapToGrid w:val="0"/>
              <w:spacing w:line="300" w:lineRule="exact"/>
              <w:jc w:val="center"/>
              <w:rPr>
                <w:rFonts w:ascii="Times New Roman" w:hAnsi="Times New Roman" w:eastAsia="宋体" w:cs="Times New Roman"/>
                <w:szCs w:val="21"/>
                <w:highlight w:val="yellow"/>
              </w:rPr>
            </w:pP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座</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处理</w:t>
            </w:r>
            <w:r>
              <w:rPr>
                <w:rFonts w:ascii="Times New Roman" w:hAnsi="Times New Roman" w:eastAsia="宋体" w:cstheme="majorBidi"/>
                <w:bCs/>
                <w:kern w:val="28"/>
                <w:szCs w:val="32"/>
              </w:rPr>
              <w:t>规模250m</w:t>
            </w:r>
            <w:r>
              <w:rPr>
                <w:rFonts w:ascii="Times New Roman" w:hAnsi="Times New Roman" w:eastAsia="宋体" w:cstheme="majorBidi"/>
                <w:bCs/>
                <w:kern w:val="28"/>
                <w:szCs w:val="32"/>
                <w:vertAlign w:val="superscript"/>
              </w:rPr>
              <w:t>3</w:t>
            </w:r>
            <w:r>
              <w:rPr>
                <w:rFonts w:ascii="Times New Roman" w:hAnsi="Times New Roman" w:eastAsia="宋体" w:cstheme="majorBidi"/>
                <w:bCs/>
                <w:kern w:val="28"/>
                <w:szCs w:val="32"/>
              </w:rPr>
              <w:t>/d，</w:t>
            </w:r>
            <w:r>
              <w:rPr>
                <w:rFonts w:ascii="Times New Roman" w:hAnsi="宋体" w:eastAsia="宋体" w:cstheme="majorBidi"/>
                <w:kern w:val="28"/>
                <w:szCs w:val="21"/>
              </w:rPr>
              <w:t>采用</w:t>
            </w:r>
            <w:r>
              <w:rPr>
                <w:rFonts w:hint="eastAsia" w:ascii="Times New Roman" w:hAnsi="Times New Roman" w:eastAsia="宋体" w:cstheme="majorBidi"/>
                <w:kern w:val="28"/>
                <w:szCs w:val="21"/>
              </w:rPr>
              <w:t>“混凝沉淀</w:t>
            </w:r>
            <w:r>
              <w:rPr>
                <w:rFonts w:ascii="Times New Roman" w:hAnsi="Times New Roman" w:eastAsia="宋体" w:cstheme="majorBidi"/>
                <w:bCs/>
                <w:kern w:val="28"/>
                <w:szCs w:val="24"/>
              </w:rPr>
              <w:t>+</w:t>
            </w:r>
            <w:r>
              <w:rPr>
                <w:rFonts w:hint="eastAsia" w:ascii="Times New Roman" w:hAnsi="宋体" w:eastAsia="宋体" w:cstheme="majorBidi"/>
                <w:kern w:val="28"/>
                <w:szCs w:val="21"/>
              </w:rPr>
              <w:t>次氯酸钠</w:t>
            </w:r>
            <w:r>
              <w:rPr>
                <w:rFonts w:ascii="Times New Roman" w:hAnsi="宋体" w:eastAsia="宋体" w:cstheme="majorBidi"/>
                <w:kern w:val="28"/>
                <w:szCs w:val="21"/>
              </w:rPr>
              <w:t>消毒</w:t>
            </w:r>
            <w:r>
              <w:rPr>
                <w:rFonts w:hint="eastAsia" w:ascii="Times New Roman" w:hAnsi="Times New Roman" w:eastAsia="宋体" w:cstheme="majorBidi"/>
                <w:kern w:val="28"/>
                <w:szCs w:val="21"/>
              </w:rPr>
              <w:t>”</w:t>
            </w:r>
            <w:r>
              <w:rPr>
                <w:rFonts w:ascii="Times New Roman" w:hAnsi="宋体" w:eastAsia="宋体" w:cstheme="majorBidi"/>
                <w:kern w:val="28"/>
                <w:szCs w:val="21"/>
              </w:rPr>
              <w:t>处理</w:t>
            </w:r>
            <w:r>
              <w:rPr>
                <w:rFonts w:hint="eastAsia" w:ascii="Times New Roman" w:hAnsi="宋体" w:eastAsia="宋体" w:cstheme="majorBidi"/>
                <w:kern w:val="28"/>
                <w:szCs w:val="21"/>
              </w:rPr>
              <w:t>工艺</w:t>
            </w:r>
          </w:p>
        </w:tc>
        <w:tc>
          <w:tcPr>
            <w:tcW w:w="1548"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1座</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30</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地下水</w:t>
            </w:r>
          </w:p>
        </w:tc>
        <w:tc>
          <w:tcPr>
            <w:tcW w:w="2011" w:type="dxa"/>
            <w:vMerge w:val="restart"/>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医疗</w:t>
            </w:r>
            <w:r>
              <w:rPr>
                <w:rFonts w:ascii="Times New Roman" w:hAnsi="Times New Roman" w:eastAsia="宋体" w:cstheme="majorBidi"/>
                <w:bCs/>
                <w:kern w:val="28"/>
                <w:szCs w:val="32"/>
              </w:rPr>
              <w:t>废物暂存间</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按照（GB18597-2001）要求进行基础防渗</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间</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Merge w:val="continue"/>
            <w:vAlign w:val="center"/>
          </w:tcPr>
          <w:p>
            <w:pPr>
              <w:adjustRightInd w:val="0"/>
              <w:snapToGrid w:val="0"/>
              <w:jc w:val="center"/>
              <w:rPr>
                <w:rFonts w:ascii="Times New Roman" w:hAnsi="Times New Roman" w:eastAsia="宋体" w:cstheme="majorBidi"/>
                <w:bCs/>
                <w:kern w:val="28"/>
                <w:szCs w:val="32"/>
              </w:rPr>
            </w:pP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设置堵截泄漏的裙脚</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0.5</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处理站构筑物</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水泥硬化并全池涂环氧树脂防腐防渗</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4</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噪声</w:t>
            </w:r>
          </w:p>
        </w:tc>
        <w:tc>
          <w:tcPr>
            <w:tcW w:w="2011" w:type="dxa"/>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污水处理站</w:t>
            </w:r>
            <w:r>
              <w:rPr>
                <w:rFonts w:ascii="Times New Roman" w:hAnsi="Times New Roman" w:eastAsia="宋体" w:cstheme="majorBidi"/>
                <w:bCs/>
                <w:kern w:val="28"/>
                <w:szCs w:val="32"/>
              </w:rPr>
              <w:t>水泵</w:t>
            </w:r>
          </w:p>
        </w:tc>
        <w:tc>
          <w:tcPr>
            <w:tcW w:w="4350" w:type="dxa"/>
            <w:vMerge w:val="restart"/>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21"/>
              </w:rPr>
              <w:t>布置</w:t>
            </w:r>
            <w:r>
              <w:rPr>
                <w:rFonts w:ascii="Times New Roman" w:hAnsi="Times New Roman" w:eastAsia="宋体" w:cstheme="majorBidi"/>
                <w:bCs/>
                <w:kern w:val="28"/>
                <w:szCs w:val="21"/>
              </w:rPr>
              <w:t>在地下一层，选用低噪声设备、安装减振底座、风机进口安装消声器</w:t>
            </w:r>
          </w:p>
        </w:tc>
        <w:tc>
          <w:tcPr>
            <w:tcW w:w="1548" w:type="dxa"/>
            <w:vMerge w:val="restart"/>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降噪2</w:t>
            </w:r>
            <w:r>
              <w:rPr>
                <w:rFonts w:ascii="Times New Roman" w:hAnsi="Times New Roman" w:eastAsia="宋体" w:cstheme="majorBidi"/>
                <w:bCs/>
                <w:kern w:val="28"/>
                <w:szCs w:val="32"/>
              </w:rPr>
              <w:t>0dB（</w:t>
            </w:r>
            <w:r>
              <w:rPr>
                <w:rFonts w:hint="eastAsia" w:ascii="Times New Roman" w:hAnsi="Times New Roman" w:eastAsia="宋体" w:cstheme="majorBidi"/>
                <w:bCs/>
                <w:kern w:val="28"/>
                <w:szCs w:val="32"/>
              </w:rPr>
              <w:t>A</w:t>
            </w:r>
            <w:r>
              <w:rPr>
                <w:rFonts w:ascii="Times New Roman" w:hAnsi="Times New Roman" w:eastAsia="宋体" w:cstheme="majorBidi"/>
                <w:bCs/>
                <w:kern w:val="28"/>
                <w:szCs w:val="32"/>
              </w:rPr>
              <w:t>）</w:t>
            </w:r>
          </w:p>
        </w:tc>
        <w:tc>
          <w:tcPr>
            <w:tcW w:w="696" w:type="dxa"/>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r>
              <w:rPr>
                <w:rFonts w:hint="eastAsia" w:ascii="Times New Roman" w:hAnsi="Times New Roman" w:eastAsia="宋体" w:cstheme="majorBidi"/>
                <w:bCs/>
                <w:kern w:val="28"/>
                <w:szCs w:val="32"/>
              </w:rPr>
              <w:t>套</w:t>
            </w:r>
          </w:p>
        </w:tc>
        <w:tc>
          <w:tcPr>
            <w:tcW w:w="1115" w:type="dxa"/>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c>
          <w:tcPr>
            <w:tcW w:w="1322" w:type="dxa"/>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p>
        </w:tc>
        <w:tc>
          <w:tcPr>
            <w:tcW w:w="1274" w:type="dxa"/>
            <w:tcBorders>
              <w:bottom w:val="single" w:color="auto" w:sz="4" w:space="0"/>
            </w:tcBorders>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0.3</w:t>
            </w:r>
          </w:p>
        </w:tc>
        <w:tc>
          <w:tcPr>
            <w:tcW w:w="1230" w:type="dxa"/>
            <w:vMerge w:val="restart"/>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w:t>
            </w:r>
            <w:r>
              <w:rPr>
                <w:rFonts w:ascii="Times New Roman" w:hAnsi="Times New Roman" w:eastAsia="宋体" w:cstheme="majorBidi"/>
                <w:bCs/>
                <w:kern w:val="28"/>
                <w:szCs w:val="32"/>
              </w:rPr>
              <w:t>处理站风机</w:t>
            </w:r>
          </w:p>
        </w:tc>
        <w:tc>
          <w:tcPr>
            <w:tcW w:w="4350" w:type="dxa"/>
            <w:vMerge w:val="continue"/>
            <w:vAlign w:val="center"/>
          </w:tcPr>
          <w:p>
            <w:pPr>
              <w:adjustRightInd w:val="0"/>
              <w:snapToGrid w:val="0"/>
              <w:jc w:val="center"/>
              <w:rPr>
                <w:rFonts w:ascii="Times New Roman" w:hAnsi="Times New Roman" w:eastAsia="宋体" w:cstheme="majorBidi"/>
                <w:bCs/>
                <w:kern w:val="28"/>
                <w:szCs w:val="32"/>
              </w:rPr>
            </w:pPr>
          </w:p>
        </w:tc>
        <w:tc>
          <w:tcPr>
            <w:tcW w:w="1548" w:type="dxa"/>
            <w:vMerge w:val="continue"/>
            <w:vAlign w:val="center"/>
          </w:tcPr>
          <w:p>
            <w:pPr>
              <w:adjustRightInd w:val="0"/>
              <w:snapToGrid w:val="0"/>
              <w:rPr>
                <w:rFonts w:ascii="Times New Roman" w:hAnsi="Times New Roman" w:eastAsia="宋体" w:cstheme="majorBidi"/>
                <w:bCs/>
                <w:kern w:val="28"/>
                <w:szCs w:val="32"/>
              </w:rPr>
            </w:pP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r>
              <w:rPr>
                <w:rFonts w:hint="eastAsia" w:ascii="Times New Roman" w:hAnsi="Times New Roman" w:eastAsia="宋体" w:cstheme="majorBidi"/>
                <w:bCs/>
                <w:kern w:val="28"/>
                <w:szCs w:val="32"/>
              </w:rPr>
              <w:t>套</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1.5</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0.2</w:t>
            </w:r>
          </w:p>
        </w:tc>
        <w:tc>
          <w:tcPr>
            <w:tcW w:w="1230"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天然气</w:t>
            </w:r>
            <w:r>
              <w:rPr>
                <w:rFonts w:ascii="Times New Roman" w:hAnsi="Times New Roman" w:eastAsia="宋体" w:cstheme="majorBidi"/>
                <w:bCs/>
                <w:kern w:val="28"/>
                <w:szCs w:val="32"/>
              </w:rPr>
              <w:t>锅炉风机</w:t>
            </w:r>
          </w:p>
        </w:tc>
        <w:tc>
          <w:tcPr>
            <w:tcW w:w="4350" w:type="dxa"/>
            <w:vMerge w:val="restart"/>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21"/>
              </w:rPr>
              <w:t>布置</w:t>
            </w:r>
            <w:r>
              <w:rPr>
                <w:rFonts w:ascii="Times New Roman" w:hAnsi="Times New Roman" w:eastAsia="宋体" w:cstheme="majorBidi"/>
                <w:bCs/>
                <w:kern w:val="28"/>
                <w:szCs w:val="21"/>
              </w:rPr>
              <w:t>在地下一层，选用低噪声设备、安装减振底座、风机进口安装消声器</w:t>
            </w:r>
          </w:p>
        </w:tc>
        <w:tc>
          <w:tcPr>
            <w:tcW w:w="1548" w:type="dxa"/>
            <w:vMerge w:val="restart"/>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降噪2</w:t>
            </w:r>
            <w:r>
              <w:rPr>
                <w:rFonts w:ascii="Times New Roman" w:hAnsi="Times New Roman" w:eastAsia="宋体" w:cstheme="majorBidi"/>
                <w:bCs/>
                <w:kern w:val="28"/>
                <w:szCs w:val="32"/>
              </w:rPr>
              <w:t>0dB（</w:t>
            </w:r>
            <w:r>
              <w:rPr>
                <w:rFonts w:hint="eastAsia" w:ascii="Times New Roman" w:hAnsi="Times New Roman" w:eastAsia="宋体" w:cstheme="majorBidi"/>
                <w:bCs/>
                <w:kern w:val="28"/>
                <w:szCs w:val="32"/>
              </w:rPr>
              <w:t>A</w:t>
            </w:r>
            <w:r>
              <w:rPr>
                <w:rFonts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color w:val="FF0000"/>
                <w:kern w:val="28"/>
                <w:szCs w:val="32"/>
              </w:rPr>
            </w:pPr>
            <w:r>
              <w:rPr>
                <w:rFonts w:ascii="Times New Roman" w:hAnsi="Times New Roman" w:eastAsia="宋体" w:cstheme="majorBidi"/>
                <w:bCs/>
                <w:color w:val="FF0000"/>
                <w:kern w:val="28"/>
                <w:szCs w:val="32"/>
              </w:rPr>
              <w:t>3</w:t>
            </w:r>
            <w:r>
              <w:rPr>
                <w:rFonts w:hint="eastAsia" w:ascii="Times New Roman" w:hAnsi="Times New Roman" w:eastAsia="宋体" w:cstheme="majorBidi"/>
                <w:bCs/>
                <w:color w:val="FF0000"/>
                <w:kern w:val="28"/>
                <w:szCs w:val="32"/>
              </w:rPr>
              <w:t>套</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0.3</w:t>
            </w:r>
          </w:p>
        </w:tc>
        <w:tc>
          <w:tcPr>
            <w:tcW w:w="1230"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天然气</w:t>
            </w:r>
            <w:r>
              <w:rPr>
                <w:rFonts w:ascii="Times New Roman" w:hAnsi="Times New Roman" w:eastAsia="宋体" w:cstheme="majorBidi"/>
                <w:bCs/>
                <w:kern w:val="28"/>
                <w:szCs w:val="32"/>
              </w:rPr>
              <w:t>锅炉水泵</w:t>
            </w:r>
          </w:p>
        </w:tc>
        <w:tc>
          <w:tcPr>
            <w:tcW w:w="4350" w:type="dxa"/>
            <w:vMerge w:val="continue"/>
            <w:vAlign w:val="center"/>
          </w:tcPr>
          <w:p>
            <w:pPr>
              <w:adjustRightInd w:val="0"/>
              <w:snapToGrid w:val="0"/>
              <w:jc w:val="center"/>
              <w:rPr>
                <w:rFonts w:ascii="Times New Roman" w:hAnsi="Times New Roman" w:eastAsia="宋体" w:cstheme="majorBidi"/>
                <w:bCs/>
                <w:kern w:val="28"/>
                <w:szCs w:val="32"/>
              </w:rPr>
            </w:pPr>
          </w:p>
        </w:tc>
        <w:tc>
          <w:tcPr>
            <w:tcW w:w="1548" w:type="dxa"/>
            <w:vMerge w:val="continue"/>
            <w:vAlign w:val="center"/>
          </w:tcPr>
          <w:p>
            <w:pPr>
              <w:adjustRightInd w:val="0"/>
              <w:snapToGrid w:val="0"/>
              <w:rPr>
                <w:rFonts w:ascii="Times New Roman" w:hAnsi="Times New Roman" w:eastAsia="宋体" w:cstheme="majorBidi"/>
                <w:bCs/>
                <w:kern w:val="28"/>
                <w:szCs w:val="32"/>
              </w:rPr>
            </w:pPr>
          </w:p>
        </w:tc>
        <w:tc>
          <w:tcPr>
            <w:tcW w:w="696" w:type="dxa"/>
            <w:vAlign w:val="center"/>
          </w:tcPr>
          <w:p>
            <w:pPr>
              <w:adjustRightInd w:val="0"/>
              <w:snapToGrid w:val="0"/>
              <w:jc w:val="center"/>
              <w:rPr>
                <w:rFonts w:ascii="Times New Roman" w:hAnsi="Times New Roman" w:eastAsia="宋体" w:cstheme="majorBidi"/>
                <w:bCs/>
                <w:color w:val="FF0000"/>
                <w:kern w:val="28"/>
                <w:szCs w:val="32"/>
              </w:rPr>
            </w:pPr>
            <w:r>
              <w:rPr>
                <w:rFonts w:ascii="Times New Roman" w:hAnsi="Times New Roman" w:eastAsia="宋体" w:cstheme="majorBidi"/>
                <w:bCs/>
                <w:color w:val="FF0000"/>
                <w:kern w:val="28"/>
                <w:szCs w:val="32"/>
              </w:rPr>
              <w:t>3</w:t>
            </w:r>
            <w:r>
              <w:rPr>
                <w:rFonts w:hint="eastAsia" w:ascii="Times New Roman" w:hAnsi="Times New Roman" w:eastAsia="宋体" w:cstheme="majorBidi"/>
                <w:bCs/>
                <w:color w:val="FF0000"/>
                <w:kern w:val="28"/>
                <w:szCs w:val="32"/>
              </w:rPr>
              <w:t>套</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1.5</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0.2</w:t>
            </w:r>
          </w:p>
        </w:tc>
        <w:tc>
          <w:tcPr>
            <w:tcW w:w="1230"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highlight w:val="yellow"/>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柴油</w:t>
            </w:r>
            <w:r>
              <w:rPr>
                <w:rFonts w:ascii="Times New Roman" w:hAnsi="Times New Roman" w:eastAsia="宋体" w:cstheme="majorBidi"/>
                <w:bCs/>
                <w:kern w:val="28"/>
                <w:szCs w:val="32"/>
              </w:rPr>
              <w:t>发电机</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选用</w:t>
            </w:r>
            <w:r>
              <w:rPr>
                <w:rFonts w:ascii="Times New Roman" w:hAnsi="Times New Roman" w:eastAsia="宋体" w:cstheme="majorBidi"/>
                <w:bCs/>
                <w:kern w:val="28"/>
                <w:szCs w:val="32"/>
              </w:rPr>
              <w:t>低噪声设备，基础减振</w:t>
            </w:r>
          </w:p>
        </w:tc>
        <w:tc>
          <w:tcPr>
            <w:tcW w:w="1548" w:type="dxa"/>
            <w:vAlign w:val="center"/>
          </w:tcPr>
          <w:p>
            <w:pPr>
              <w:adjustRightInd w:val="0"/>
              <w:snapToGrid w:val="0"/>
              <w:rPr>
                <w:rFonts w:ascii="Times New Roman" w:hAnsi="Times New Roman" w:eastAsia="宋体" w:cstheme="majorBidi"/>
                <w:bCs/>
                <w:kern w:val="28"/>
                <w:szCs w:val="32"/>
              </w:rPr>
            </w:pPr>
            <w:r>
              <w:rPr>
                <w:rFonts w:hint="eastAsia" w:ascii="Times New Roman" w:hAnsi="Times New Roman" w:eastAsia="宋体" w:cstheme="majorBidi"/>
                <w:bCs/>
                <w:kern w:val="28"/>
                <w:szCs w:val="32"/>
              </w:rPr>
              <w:t>降噪</w:t>
            </w:r>
            <w:r>
              <w:rPr>
                <w:rFonts w:ascii="Times New Roman" w:hAnsi="Times New Roman" w:eastAsia="宋体" w:cstheme="majorBidi"/>
                <w:bCs/>
                <w:kern w:val="28"/>
                <w:szCs w:val="32"/>
              </w:rPr>
              <w:t>15（</w:t>
            </w:r>
            <w:r>
              <w:rPr>
                <w:rFonts w:hint="eastAsia" w:ascii="Times New Roman" w:hAnsi="Times New Roman" w:eastAsia="宋体" w:cstheme="majorBidi"/>
                <w:bCs/>
                <w:kern w:val="28"/>
                <w:szCs w:val="32"/>
              </w:rPr>
              <w:t>A</w:t>
            </w:r>
            <w:r>
              <w:rPr>
                <w:rFonts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w:t>
            </w:r>
            <w:r>
              <w:rPr>
                <w:rFonts w:ascii="Times New Roman" w:hAnsi="Times New Roman" w:eastAsia="宋体" w:cstheme="majorBidi"/>
                <w:bCs/>
                <w:kern w:val="28"/>
                <w:szCs w:val="32"/>
              </w:rPr>
              <w:t>.5</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restart"/>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固体废物</w:t>
            </w: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医疗废物</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医疗废物废物暂存间</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1间</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2</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污水站</w:t>
            </w:r>
            <w:r>
              <w:rPr>
                <w:rFonts w:ascii="Times New Roman" w:hAnsi="Times New Roman" w:eastAsia="宋体" w:cstheme="majorBidi"/>
                <w:bCs/>
                <w:kern w:val="28"/>
                <w:szCs w:val="32"/>
              </w:rPr>
              <w:t>污泥及栅渣</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石灰石</w:t>
            </w:r>
            <w:r>
              <w:rPr>
                <w:rFonts w:ascii="Times New Roman" w:hAnsi="Times New Roman" w:eastAsia="宋体" w:cstheme="majorBidi"/>
                <w:bCs/>
                <w:kern w:val="28"/>
                <w:szCs w:val="32"/>
              </w:rPr>
              <w:t>消毒后，交有资质的单位处置</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0.5</w:t>
            </w:r>
          </w:p>
        </w:tc>
        <w:tc>
          <w:tcPr>
            <w:tcW w:w="1322" w:type="dxa"/>
            <w:vAlign w:val="center"/>
          </w:tcPr>
          <w:p>
            <w:pPr>
              <w:adjustRightInd w:val="0"/>
              <w:snapToGrid w:val="0"/>
              <w:jc w:val="center"/>
              <w:rPr>
                <w:rFonts w:ascii="Times New Roman" w:hAnsi="Times New Roman" w:eastAsia="宋体" w:cstheme="majorBidi"/>
                <w:bCs/>
                <w:kern w:val="28"/>
                <w:szCs w:val="32"/>
              </w:rPr>
            </w:pPr>
          </w:p>
        </w:tc>
        <w:tc>
          <w:tcPr>
            <w:tcW w:w="1274" w:type="dxa"/>
            <w:vAlign w:val="center"/>
          </w:tcPr>
          <w:p>
            <w:pPr>
              <w:adjustRightInd w:val="0"/>
              <w:snapToGrid w:val="0"/>
              <w:jc w:val="center"/>
              <w:rPr>
                <w:rFonts w:ascii="Times New Roman" w:hAnsi="Times New Roman" w:eastAsia="宋体" w:cstheme="majorBidi"/>
                <w:bCs/>
                <w:kern w:val="28"/>
                <w:szCs w:val="32"/>
              </w:rPr>
            </w:pPr>
          </w:p>
        </w:tc>
        <w:tc>
          <w:tcPr>
            <w:tcW w:w="1230" w:type="dxa"/>
            <w:vAlign w:val="center"/>
          </w:tcPr>
          <w:p>
            <w:pPr>
              <w:adjustRightInd w:val="0"/>
              <w:snapToGrid w:val="0"/>
              <w:jc w:val="center"/>
              <w:rPr>
                <w:rFonts w:ascii="Times New Roman" w:hAnsi="Times New Roman" w:eastAsia="宋体" w:cstheme="majorBidi"/>
                <w:bCs/>
                <w:kern w:val="28"/>
                <w:szCs w:val="3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26" w:type="dxa"/>
            <w:vMerge w:val="continue"/>
            <w:vAlign w:val="center"/>
          </w:tcPr>
          <w:p>
            <w:pPr>
              <w:adjustRightInd w:val="0"/>
              <w:snapToGrid w:val="0"/>
              <w:jc w:val="center"/>
              <w:rPr>
                <w:rFonts w:ascii="Times New Roman" w:hAnsi="Times New Roman" w:eastAsia="宋体" w:cstheme="majorBidi"/>
                <w:bCs/>
                <w:kern w:val="28"/>
                <w:szCs w:val="32"/>
              </w:rPr>
            </w:pPr>
          </w:p>
        </w:tc>
        <w:tc>
          <w:tcPr>
            <w:tcW w:w="2011"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生活垃圾</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生活</w:t>
            </w:r>
            <w:r>
              <w:rPr>
                <w:rFonts w:ascii="Times New Roman" w:hAnsi="Times New Roman" w:eastAsia="宋体" w:cstheme="majorBidi"/>
                <w:bCs/>
                <w:kern w:val="28"/>
                <w:szCs w:val="32"/>
              </w:rPr>
              <w:t>垃圾收集间</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1间</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0.5</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437" w:type="dxa"/>
            <w:gridSpan w:val="2"/>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排污口规范化设置</w:t>
            </w:r>
          </w:p>
        </w:tc>
        <w:tc>
          <w:tcPr>
            <w:tcW w:w="4350"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废气采样口，废水</w:t>
            </w:r>
            <w:r>
              <w:rPr>
                <w:rFonts w:ascii="Times New Roman" w:hAnsi="Times New Roman" w:eastAsia="宋体" w:cstheme="majorBidi"/>
                <w:bCs/>
                <w:kern w:val="28"/>
                <w:szCs w:val="32"/>
              </w:rPr>
              <w:t>采样口，</w:t>
            </w:r>
            <w:r>
              <w:rPr>
                <w:rFonts w:hint="eastAsia" w:ascii="Times New Roman" w:hAnsi="Times New Roman" w:eastAsia="宋体" w:cstheme="majorBidi"/>
                <w:bCs/>
                <w:kern w:val="28"/>
                <w:szCs w:val="32"/>
              </w:rPr>
              <w:t>排放源标志牌等</w:t>
            </w:r>
          </w:p>
        </w:tc>
        <w:tc>
          <w:tcPr>
            <w:tcW w:w="1548"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w:t>
            </w:r>
          </w:p>
        </w:tc>
        <w:tc>
          <w:tcPr>
            <w:tcW w:w="696"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c>
          <w:tcPr>
            <w:tcW w:w="1115" w:type="dxa"/>
            <w:vAlign w:val="center"/>
          </w:tcPr>
          <w:p>
            <w:pPr>
              <w:adjustRightInd w:val="0"/>
              <w:snapToGrid w:val="0"/>
              <w:jc w:val="center"/>
              <w:rPr>
                <w:rFonts w:ascii="Times New Roman" w:hAnsi="Times New Roman" w:eastAsia="宋体" w:cstheme="majorBidi"/>
                <w:bCs/>
                <w:kern w:val="28"/>
                <w:szCs w:val="32"/>
              </w:rPr>
            </w:pPr>
            <w:r>
              <w:rPr>
                <w:rFonts w:hint="eastAsia" w:ascii="Times New Roman" w:hAnsi="Times New Roman" w:eastAsia="宋体" w:cstheme="majorBidi"/>
                <w:bCs/>
                <w:kern w:val="28"/>
                <w:szCs w:val="32"/>
              </w:rPr>
              <w:t>1</w:t>
            </w:r>
          </w:p>
        </w:tc>
        <w:tc>
          <w:tcPr>
            <w:tcW w:w="1322"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031" w:type="dxa"/>
            <w:gridSpan w:val="5"/>
            <w:vAlign w:val="center"/>
          </w:tcPr>
          <w:p>
            <w:pPr>
              <w:adjustRightInd w:val="0"/>
              <w:snapToGrid w:val="0"/>
              <w:jc w:val="center"/>
              <w:rPr>
                <w:rFonts w:ascii="Times New Roman" w:hAnsi="Times New Roman" w:eastAsia="宋体" w:cstheme="majorBidi"/>
                <w:bCs/>
                <w:kern w:val="28"/>
                <w:szCs w:val="32"/>
                <w:highlight w:val="yellow"/>
              </w:rPr>
            </w:pPr>
            <w:r>
              <w:rPr>
                <w:rFonts w:hint="eastAsia" w:ascii="Times New Roman" w:hAnsi="Times New Roman" w:eastAsia="宋体" w:cstheme="majorBidi"/>
                <w:bCs/>
                <w:kern w:val="28"/>
                <w:szCs w:val="32"/>
              </w:rPr>
              <w:t>合计</w:t>
            </w:r>
          </w:p>
        </w:tc>
        <w:tc>
          <w:tcPr>
            <w:tcW w:w="1115" w:type="dxa"/>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93</w:t>
            </w:r>
          </w:p>
        </w:tc>
        <w:tc>
          <w:tcPr>
            <w:tcW w:w="1322" w:type="dxa"/>
            <w:vAlign w:val="center"/>
          </w:tcPr>
          <w:p>
            <w:pPr>
              <w:adjustRightInd w:val="0"/>
              <w:snapToGrid w:val="0"/>
              <w:jc w:val="center"/>
              <w:rPr>
                <w:rFonts w:ascii="Times New Roman" w:hAnsi="Times New Roman" w:eastAsia="宋体" w:cstheme="majorBidi"/>
                <w:bCs/>
                <w:kern w:val="28"/>
                <w:szCs w:val="32"/>
                <w:highlight w:val="yellow"/>
              </w:rPr>
            </w:pPr>
            <w:r>
              <w:rPr>
                <w:rFonts w:ascii="Times New Roman" w:hAnsi="Times New Roman" w:eastAsia="宋体" w:cstheme="majorBidi"/>
                <w:bCs/>
                <w:kern w:val="28"/>
                <w:szCs w:val="32"/>
              </w:rPr>
              <w:t>7</w:t>
            </w:r>
          </w:p>
        </w:tc>
        <w:tc>
          <w:tcPr>
            <w:tcW w:w="1274"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3</w:t>
            </w:r>
          </w:p>
        </w:tc>
        <w:tc>
          <w:tcPr>
            <w:tcW w:w="1230" w:type="dxa"/>
            <w:vAlign w:val="center"/>
          </w:tcPr>
          <w:p>
            <w:pPr>
              <w:adjustRightInd w:val="0"/>
              <w:snapToGrid w:val="0"/>
              <w:jc w:val="center"/>
              <w:rPr>
                <w:rFonts w:ascii="Times New Roman" w:hAnsi="Times New Roman" w:eastAsia="宋体" w:cstheme="majorBidi"/>
                <w:bCs/>
                <w:kern w:val="28"/>
                <w:szCs w:val="32"/>
              </w:rPr>
            </w:pPr>
            <w:r>
              <w:rPr>
                <w:rFonts w:ascii="Times New Roman" w:hAnsi="Times New Roman" w:eastAsia="宋体" w:cstheme="majorBidi"/>
                <w:bCs/>
                <w:kern w:val="28"/>
                <w:szCs w:val="32"/>
              </w:rPr>
              <w:t>9</w:t>
            </w:r>
          </w:p>
        </w:tc>
      </w:tr>
    </w:tbl>
    <w:p>
      <w:pPr>
        <w:rPr>
          <w:highlight w:val="yellow"/>
        </w:rPr>
        <w:sectPr>
          <w:headerReference r:id="rId54" w:type="default"/>
          <w:headerReference r:id="rId55" w:type="even"/>
          <w:pgSz w:w="16838" w:h="11906" w:orient="landscape"/>
          <w:pgMar w:top="1418" w:right="1418" w:bottom="1418" w:left="1418" w:header="851" w:footer="992" w:gutter="0"/>
          <w:pgNumType w:fmt="numberInDash"/>
          <w:cols w:space="425" w:num="1"/>
          <w:docGrid w:type="linesAndChars" w:linePitch="312" w:charSpace="0"/>
        </w:sectPr>
      </w:pPr>
    </w:p>
    <w:p>
      <w:pPr>
        <w:pStyle w:val="2"/>
      </w:pPr>
      <w:bookmarkStart w:id="82" w:name="_Toc113260446"/>
      <w:r>
        <w:rPr>
          <w:rFonts w:hint="eastAsia"/>
        </w:rPr>
        <w:t>环境</w:t>
      </w:r>
      <w:r>
        <w:t>影响经济损益分析</w:t>
      </w:r>
      <w:bookmarkEnd w:id="82"/>
    </w:p>
    <w:p>
      <w:pPr>
        <w:pStyle w:val="40"/>
        <w:ind w:firstLine="480"/>
      </w:pPr>
      <w:r>
        <w:rPr>
          <w:rFonts w:hint="eastAsia"/>
        </w:rPr>
        <w:t>环境经济损益分析旨在衡量拟建项目投入环保资金和取得的环保效益之间的得失，以评判项目的环境经济可行性。本项目属于基础社会公益项目，服务宗旨是提高区域人民医疗水平。通过简要分析拟建项目可能得到的经济、社会和环境效益。</w:t>
      </w:r>
    </w:p>
    <w:p>
      <w:pPr>
        <w:pStyle w:val="3"/>
      </w:pPr>
      <w:bookmarkStart w:id="83" w:name="_Toc113260447"/>
      <w:r>
        <w:rPr>
          <w:rFonts w:hint="eastAsia"/>
        </w:rPr>
        <w:t>经济</w:t>
      </w:r>
      <w:r>
        <w:t>效益分析</w:t>
      </w:r>
      <w:bookmarkEnd w:id="83"/>
    </w:p>
    <w:p>
      <w:pPr>
        <w:pStyle w:val="40"/>
        <w:ind w:firstLine="480"/>
      </w:pPr>
      <w:r>
        <w:rPr>
          <w:rFonts w:hint="eastAsia"/>
        </w:rPr>
        <w:t>本项目是社会基础设施建设项目，属于由政府投资的社会公共事业项目范畴，它的建设主要为社会、为人民服务。在政府领导、上级卫生机构指导下，作为中医医院，将为恒口</w:t>
      </w:r>
      <w:r>
        <w:t>示范区（</w:t>
      </w:r>
      <w:r>
        <w:rPr>
          <w:rFonts w:hint="eastAsia"/>
        </w:rPr>
        <w:t>试验区</w:t>
      </w:r>
      <w:r>
        <w:t>）</w:t>
      </w:r>
      <w:r>
        <w:rPr>
          <w:rFonts w:hint="eastAsia"/>
        </w:rPr>
        <w:t>全区人民群众提供优质的基本医疗服务，有利于经济建设和社会发展。</w:t>
      </w:r>
    </w:p>
    <w:p>
      <w:pPr>
        <w:pStyle w:val="40"/>
        <w:ind w:firstLine="480"/>
      </w:pPr>
      <w:r>
        <w:rPr>
          <w:rFonts w:hint="eastAsia"/>
        </w:rPr>
        <w:t>本项目的建设是根据卫生部关于中医医院建设标准的要求，并结合所在地区的经济发展水平、卫生资源、医疗服务需求等因素，确定项目的建设规模。本项目为公益性医疗卫生机构，不产生直接经济效益。</w:t>
      </w:r>
    </w:p>
    <w:p>
      <w:pPr>
        <w:pStyle w:val="40"/>
        <w:ind w:firstLine="480"/>
      </w:pPr>
      <w:r>
        <w:rPr>
          <w:rFonts w:hint="eastAsia"/>
        </w:rPr>
        <w:t>本项目建成后，业务水平将得到较大提高。可以预见，本项目将能有效提升社会形象，促进经济和精神文明健康发展，能拉动经济增长，促进社会繁荣。项目经济评价可行。</w:t>
      </w:r>
    </w:p>
    <w:p>
      <w:pPr>
        <w:pStyle w:val="3"/>
      </w:pPr>
      <w:bookmarkStart w:id="84" w:name="_Toc113260448"/>
      <w:r>
        <w:rPr>
          <w:rFonts w:hint="eastAsia"/>
        </w:rPr>
        <w:t>社会</w:t>
      </w:r>
      <w:r>
        <w:t>效益分析</w:t>
      </w:r>
      <w:bookmarkEnd w:id="84"/>
    </w:p>
    <w:p>
      <w:pPr>
        <w:pStyle w:val="40"/>
        <w:ind w:firstLine="480"/>
      </w:pPr>
      <w:r>
        <w:rPr>
          <w:rFonts w:hint="eastAsia"/>
        </w:rPr>
        <w:t>本项目的社会效益主要体现在以下几个方面：</w:t>
      </w:r>
    </w:p>
    <w:p>
      <w:pPr>
        <w:pStyle w:val="40"/>
        <w:ind w:firstLine="480"/>
      </w:pPr>
      <w:r>
        <w:rPr>
          <w:rFonts w:hint="eastAsia"/>
        </w:rPr>
        <w:t>1、项目</w:t>
      </w:r>
      <w:r>
        <w:t>设置床位</w:t>
      </w:r>
      <w:r>
        <w:rPr>
          <w:rFonts w:hint="eastAsia"/>
        </w:rPr>
        <w:t>500张</w:t>
      </w:r>
      <w:r>
        <w:t>，</w:t>
      </w:r>
      <w:r>
        <w:rPr>
          <w:rFonts w:hint="eastAsia"/>
        </w:rPr>
        <w:t>项目的实施，能极大改善恒口</w:t>
      </w:r>
      <w:r>
        <w:t>示范区</w:t>
      </w:r>
      <w:r>
        <w:rPr>
          <w:rFonts w:hint="eastAsia"/>
        </w:rPr>
        <w:t>（试验区）及</w:t>
      </w:r>
      <w:r>
        <w:t>周边地区</w:t>
      </w:r>
      <w:r>
        <w:rPr>
          <w:rFonts w:hint="eastAsia"/>
        </w:rPr>
        <w:t>人民群众的就医要求，进一步改善医疗环境，为广大患者提供优美、舒适、整洁的治疗环境，提供快捷、高效、优质、安全的医疗服务。</w:t>
      </w:r>
    </w:p>
    <w:p>
      <w:pPr>
        <w:pStyle w:val="40"/>
        <w:ind w:firstLine="480"/>
      </w:pPr>
      <w:r>
        <w:rPr>
          <w:rFonts w:hint="eastAsia"/>
        </w:rPr>
        <w:t>2、项目建成</w:t>
      </w:r>
      <w:r>
        <w:t>可</w:t>
      </w:r>
      <w:r>
        <w:rPr>
          <w:rFonts w:hint="eastAsia"/>
        </w:rPr>
        <w:t>缓解人民群众就医难的问题，解决</w:t>
      </w:r>
      <w:r>
        <w:t>患者扎堆拥堵，就医流程不畅</w:t>
      </w:r>
      <w:r>
        <w:rPr>
          <w:rFonts w:hint="eastAsia"/>
        </w:rPr>
        <w:t>等</w:t>
      </w:r>
      <w:r>
        <w:t>“</w:t>
      </w:r>
      <w:r>
        <w:rPr>
          <w:rFonts w:hint="eastAsia"/>
        </w:rPr>
        <w:t>三长</w:t>
      </w:r>
      <w:r>
        <w:t>一</w:t>
      </w:r>
      <w:r>
        <w:rPr>
          <w:rFonts w:hint="eastAsia"/>
        </w:rPr>
        <w:t>短</w:t>
      </w:r>
      <w:r>
        <w:t>”</w:t>
      </w:r>
      <w:r>
        <w:rPr>
          <w:rFonts w:hint="eastAsia"/>
        </w:rPr>
        <w:t>问题</w:t>
      </w:r>
      <w:r>
        <w:t>，达到医疗资源的合理布局，</w:t>
      </w:r>
      <w:r>
        <w:rPr>
          <w:rFonts w:hint="eastAsia"/>
        </w:rPr>
        <w:t>更好的服务安康及恒口</w:t>
      </w:r>
      <w:r>
        <w:t>示范区（</w:t>
      </w:r>
      <w:r>
        <w:rPr>
          <w:rFonts w:hint="eastAsia"/>
        </w:rPr>
        <w:t>试验区</w:t>
      </w:r>
      <w:r>
        <w:t>）</w:t>
      </w:r>
      <w:r>
        <w:rPr>
          <w:rFonts w:hint="eastAsia"/>
        </w:rPr>
        <w:t>周边地区医疗卫生事业，发挥区域医疗诊疗中心的作用，提升区域医疗服务水平</w:t>
      </w:r>
    </w:p>
    <w:p>
      <w:pPr>
        <w:pStyle w:val="71"/>
        <w:ind w:firstLine="480"/>
      </w:pPr>
      <w:r>
        <w:rPr>
          <w:rFonts w:hint="eastAsia"/>
        </w:rPr>
        <w:t>3、项目建成投入使用后能够提高恒口</w:t>
      </w:r>
      <w:r>
        <w:t>示范区</w:t>
      </w:r>
      <w:r>
        <w:rPr>
          <w:rFonts w:hint="eastAsia"/>
        </w:rPr>
        <w:t>卫生系统疾病救治能力，及时应对突发公共卫生事件；可减少病情对人民群众的身体健康和生命安全的威胁，维持正常的生产、生活和工作秩序，促进社会的协调发展。</w:t>
      </w:r>
    </w:p>
    <w:p>
      <w:pPr>
        <w:pStyle w:val="3"/>
      </w:pPr>
      <w:bookmarkStart w:id="85" w:name="_Toc113260449"/>
      <w:r>
        <w:rPr>
          <w:rFonts w:hint="eastAsia"/>
        </w:rPr>
        <w:t>环境</w:t>
      </w:r>
      <w:r>
        <w:t>效益分析</w:t>
      </w:r>
      <w:bookmarkEnd w:id="85"/>
    </w:p>
    <w:p>
      <w:pPr>
        <w:pStyle w:val="4"/>
      </w:pPr>
      <w:r>
        <w:rPr>
          <w:rFonts w:hint="eastAsia"/>
        </w:rPr>
        <w:t>环保</w:t>
      </w:r>
      <w:r>
        <w:t>投入</w:t>
      </w:r>
      <w:r>
        <w:rPr>
          <w:rFonts w:hint="eastAsia"/>
        </w:rPr>
        <w:t>分析</w:t>
      </w:r>
    </w:p>
    <w:p>
      <w:pPr>
        <w:pStyle w:val="49"/>
        <w:ind w:firstLine="480"/>
        <w:rPr>
          <w:rFonts w:cs="Times New Roman"/>
        </w:rPr>
      </w:pPr>
      <w:r>
        <w:rPr>
          <w:rFonts w:cs="Times New Roman"/>
        </w:rPr>
        <w:t>本项目环保投资总额（建设费用）共计93万元，工程总投资为42503.55万元。环保投入明细见表8.2-4。</w:t>
      </w:r>
    </w:p>
    <w:p>
      <w:pPr>
        <w:pStyle w:val="49"/>
        <w:ind w:firstLine="480"/>
        <w:rPr>
          <w:rFonts w:cs="Times New Roman"/>
        </w:rPr>
      </w:pPr>
      <w:r>
        <w:rPr>
          <w:rFonts w:cs="Times New Roman"/>
        </w:rPr>
        <w:t>（1）环保投资与基本建设投资的比例（HJ）</w:t>
      </w:r>
    </w:p>
    <w:p>
      <w:pPr>
        <w:pStyle w:val="49"/>
        <w:ind w:firstLine="480"/>
        <w:rPr>
          <w:rFonts w:cs="Times New Roman"/>
        </w:rPr>
      </w:pPr>
      <m:oMathPara>
        <m:oMath>
          <m:r>
            <m:rPr>
              <m:nor/>
              <m:sty m:val="p"/>
            </m:rPr>
            <w:rPr>
              <w:rFonts w:eastAsia="BatangChe" w:cs="Times New Roman"/>
            </w:rPr>
            <m:t>HJ=</m:t>
          </m:r>
          <m:f>
            <m:fPr>
              <m:ctrlPr>
                <w:rPr>
                  <w:rFonts w:ascii="Cambria Math" w:hAnsi="Cambria Math" w:eastAsia="BatangChe" w:cs="Times New Roman"/>
                </w:rPr>
              </m:ctrlPr>
            </m:fPr>
            <m:num>
              <m:r>
                <m:rPr>
                  <m:nor/>
                  <m:sty m:val="p"/>
                </m:rPr>
                <w:rPr>
                  <w:rFonts w:eastAsia="BatangChe" w:cs="Times New Roman"/>
                </w:rPr>
                <m:t>HT</m:t>
              </m:r>
              <m:ctrlPr>
                <w:rPr>
                  <w:rFonts w:ascii="Cambria Math" w:hAnsi="Cambria Math" w:eastAsia="BatangChe" w:cs="Times New Roman"/>
                </w:rPr>
              </m:ctrlPr>
            </m:num>
            <m:den>
              <m:r>
                <m:rPr>
                  <m:nor/>
                  <m:sty m:val="p"/>
                </m:rPr>
                <w:rPr>
                  <w:rFonts w:eastAsia="BatangChe" w:cs="Times New Roman"/>
                </w:rPr>
                <m:t>JT</m:t>
              </m:r>
              <m:ctrlPr>
                <w:rPr>
                  <w:rFonts w:ascii="Cambria Math" w:hAnsi="Cambria Math" w:eastAsia="BatangChe" w:cs="Times New Roman"/>
                </w:rPr>
              </m:ctrlPr>
            </m:den>
          </m:f>
          <m:r>
            <m:rPr>
              <m:nor/>
              <m:sty m:val="p"/>
            </m:rPr>
            <w:rPr>
              <w:rFonts w:eastAsia="BatangChe" w:cs="Times New Roman"/>
            </w:rPr>
            <m:t>×100%</m:t>
          </m:r>
        </m:oMath>
      </m:oMathPara>
    </w:p>
    <w:p>
      <w:pPr>
        <w:pStyle w:val="49"/>
        <w:ind w:firstLine="480"/>
        <w:rPr>
          <w:rFonts w:cs="Times New Roman"/>
        </w:rPr>
      </w:pPr>
      <w:r>
        <w:rPr>
          <w:rFonts w:cs="Times New Roman"/>
        </w:rPr>
        <w:t>式中：HT——环保建设投资，万元；</w:t>
      </w:r>
    </w:p>
    <w:p>
      <w:pPr>
        <w:pStyle w:val="49"/>
        <w:ind w:firstLine="1200" w:firstLineChars="500"/>
        <w:rPr>
          <w:rFonts w:cs="Times New Roman"/>
        </w:rPr>
      </w:pPr>
      <w:r>
        <w:rPr>
          <w:rFonts w:cs="Times New Roman"/>
        </w:rPr>
        <w:t>JT——基本建设投资，万元。</w:t>
      </w:r>
    </w:p>
    <w:p>
      <w:pPr>
        <w:pStyle w:val="49"/>
        <w:ind w:firstLine="480"/>
        <w:rPr>
          <w:rFonts w:cs="Times New Roman"/>
        </w:rPr>
      </w:pPr>
      <w:r>
        <w:rPr>
          <w:rFonts w:cs="Times New Roman"/>
        </w:rPr>
        <w:t>本项目基本建设投资42503.55万元，其中环保投资93万元，故HJ为0.22%。</w:t>
      </w:r>
    </w:p>
    <w:p>
      <w:pPr>
        <w:pStyle w:val="49"/>
        <w:ind w:firstLine="480"/>
        <w:rPr>
          <w:rFonts w:cs="Times New Roman"/>
        </w:rPr>
      </w:pPr>
      <w:r>
        <w:rPr>
          <w:rFonts w:cs="Times New Roman"/>
        </w:rPr>
        <w:t>（2）投产后环保费用</w:t>
      </w:r>
    </w:p>
    <w:p>
      <w:pPr>
        <w:pStyle w:val="49"/>
        <w:ind w:firstLine="480"/>
        <w:rPr>
          <w:rFonts w:cs="Times New Roman"/>
        </w:rPr>
      </w:pPr>
      <w:r>
        <w:rPr>
          <w:rFonts w:cs="Times New Roman"/>
        </w:rPr>
        <w:t>项目投产后的环保费用采用下面公式来估算：</w:t>
      </w:r>
    </w:p>
    <w:p>
      <w:pPr>
        <w:pStyle w:val="49"/>
        <w:ind w:firstLine="480"/>
        <w:rPr>
          <w:rFonts w:cs="Times New Roman"/>
          <w:i/>
        </w:rPr>
      </w:pPr>
      <m:oMathPara>
        <m:oMath>
          <m:r>
            <w:rPr>
              <w:rFonts w:ascii="Cambria Math" w:hAnsi="Cambria Math" w:cs="Times New Roman"/>
            </w:rPr>
            <m:t>HF=</m:t>
          </m:r>
          <m:nary>
            <m:naryPr>
              <m:chr m:val="∑"/>
              <m:ctrlPr>
                <w:rPr>
                  <w:rFonts w:ascii="Cambria Math" w:hAnsi="Cambria Math" w:cs="Times New Roman"/>
                  <w:i/>
                </w:rPr>
              </m:ctrlPr>
            </m:naryPr>
            <m:sub>
              <m:r>
                <w:rPr>
                  <w:rFonts w:ascii="Cambria Math" w:hAnsi="Cambria Math" w:cs="Times New Roman"/>
                </w:rPr>
                <m:t>i=0</m:t>
              </m:r>
              <m:ctrlPr>
                <w:rPr>
                  <w:rFonts w:ascii="Cambria Math" w:hAnsi="Cambria Math" w:cs="Times New Roman"/>
                  <w:i/>
                </w:rPr>
              </m:ctrlPr>
            </m:sub>
            <m:sup>
              <m:r>
                <w:rPr>
                  <w:rFonts w:ascii="Cambria Math" w:hAnsi="Cambria Math" w:cs="Times New Roman"/>
                </w:rPr>
                <m:t>n</m:t>
              </m:r>
              <m:ctrlPr>
                <w:rPr>
                  <w:rFonts w:ascii="Cambria Math" w:hAnsi="Cambria Math" w:cs="Times New Roman"/>
                  <w:i/>
                </w:rPr>
              </m:ctrlPr>
            </m:sup>
            <m:e>
              <m:r>
                <w:rPr>
                  <w:rFonts w:ascii="Cambria Math" w:hAnsi="Cambria Math" w:cs="Times New Roman"/>
                </w:rPr>
                <m:t>CH+</m:t>
              </m:r>
              <m:nary>
                <m:naryPr>
                  <m:chr m:val="∑"/>
                  <m:ctrlPr>
                    <w:rPr>
                      <w:rFonts w:ascii="Cambria Math" w:hAnsi="Cambria Math" w:cs="Times New Roman"/>
                    </w:rPr>
                  </m:ctrlPr>
                </m:naryPr>
                <m:sub>
                  <m:r>
                    <m:rPr>
                      <m:nor/>
                      <m:sty m:val="p"/>
                    </m:rPr>
                    <w:rPr>
                      <w:rFonts w:cs="Times New Roman"/>
                    </w:rPr>
                    <m:t>k=1</m:t>
                  </m:r>
                  <m:ctrlPr>
                    <w:rPr>
                      <w:rFonts w:ascii="Cambria Math" w:hAnsi="Cambria Math" w:cs="Times New Roman"/>
                    </w:rPr>
                  </m:ctrlPr>
                </m:sub>
                <m:sup>
                  <m:r>
                    <m:rPr>
                      <m:nor/>
                      <m:sty m:val="p"/>
                    </m:rPr>
                    <w:rPr>
                      <w:rFonts w:cs="Times New Roman"/>
                    </w:rPr>
                    <m:t>m</m:t>
                  </m:r>
                  <m:ctrlPr>
                    <w:rPr>
                      <w:rFonts w:ascii="Cambria Math" w:hAnsi="Cambria Math" w:cs="Times New Roman"/>
                    </w:rPr>
                  </m:ctrlPr>
                </m:sup>
                <m:e>
                  <m:r>
                    <m:rPr>
                      <m:nor/>
                    </m:rPr>
                    <w:rPr>
                      <w:rFonts w:cs="Times New Roman"/>
                      <w:i/>
                    </w:rPr>
                    <m:t>J</m:t>
                  </m:r>
                  <m:ctrlPr>
                    <w:rPr>
                      <w:rFonts w:ascii="Cambria Math" w:hAnsi="Cambria Math" w:cs="Times New Roman"/>
                    </w:rPr>
                  </m:ctrlPr>
                </m:e>
              </m:nary>
              <m:ctrlPr>
                <w:rPr>
                  <w:rFonts w:ascii="Cambria Math" w:hAnsi="Cambria Math" w:cs="Times New Roman"/>
                  <w:i/>
                </w:rPr>
              </m:ctrlPr>
            </m:e>
          </m:nary>
        </m:oMath>
      </m:oMathPara>
    </w:p>
    <w:p>
      <w:pPr>
        <w:pStyle w:val="49"/>
        <w:ind w:firstLine="0" w:firstLineChars="0"/>
        <w:rPr>
          <w:rFonts w:cs="Times New Roman"/>
        </w:rPr>
      </w:pPr>
      <w:r>
        <w:rPr>
          <w:rFonts w:cs="Times New Roman"/>
        </w:rPr>
        <w:t>式中：CH——</w:t>
      </w:r>
      <w:r>
        <w:rPr>
          <w:rFonts w:cs="Times New Roman" w:asciiTheme="minorEastAsia" w:hAnsiTheme="minorEastAsia" w:eastAsiaTheme="minorEastAsia"/>
        </w:rPr>
        <w:t>“三废”处</w:t>
      </w:r>
      <w:r>
        <w:rPr>
          <w:rFonts w:cs="Times New Roman"/>
        </w:rPr>
        <w:t>理成本费，包括“三废”处理材料、运行费，万元/年；</w:t>
      </w:r>
    </w:p>
    <w:p>
      <w:pPr>
        <w:pStyle w:val="49"/>
        <w:ind w:firstLine="720" w:firstLineChars="300"/>
        <w:rPr>
          <w:rFonts w:cs="Times New Roman"/>
        </w:rPr>
      </w:pPr>
      <w:r>
        <w:rPr>
          <w:rFonts w:cs="Times New Roman"/>
        </w:rPr>
        <w:t>J——</w:t>
      </w:r>
      <w:r>
        <w:rPr>
          <w:rFonts w:cs="Times New Roman" w:asciiTheme="minorEastAsia" w:hAnsiTheme="minorEastAsia" w:eastAsiaTheme="minorEastAsia"/>
        </w:rPr>
        <w:t>“三废”</w:t>
      </w:r>
      <w:r>
        <w:rPr>
          <w:rFonts w:cs="Times New Roman"/>
        </w:rPr>
        <w:t>处理车间经费，包括每年环保设备维修、管理、折旧费，技术措施及其他不可预见费，万元/年；</w:t>
      </w:r>
    </w:p>
    <w:p>
      <w:pPr>
        <w:pStyle w:val="49"/>
        <w:ind w:firstLine="679" w:firstLineChars="283"/>
        <w:rPr>
          <w:rFonts w:cs="Times New Roman"/>
        </w:rPr>
      </w:pPr>
      <w:r>
        <w:rPr>
          <w:rFonts w:cs="Times New Roman"/>
        </w:rPr>
        <w:t>i——成本费用的项目数；</w:t>
      </w:r>
    </w:p>
    <w:p>
      <w:pPr>
        <w:pStyle w:val="49"/>
        <w:ind w:firstLine="679" w:firstLineChars="283"/>
        <w:rPr>
          <w:rFonts w:cs="Times New Roman"/>
        </w:rPr>
      </w:pPr>
      <w:r>
        <w:rPr>
          <w:rFonts w:cs="Times New Roman"/>
        </w:rPr>
        <w:t>k——车间经费的项目数。</w:t>
      </w:r>
    </w:p>
    <w:p>
      <w:pPr>
        <w:pStyle w:val="49"/>
        <w:ind w:firstLine="480"/>
        <w:rPr>
          <w:rFonts w:cs="Times New Roman"/>
        </w:rPr>
      </w:pPr>
      <w:r>
        <w:rPr>
          <w:rFonts w:cs="Times New Roman"/>
        </w:rPr>
        <w:t>根据估算：</w:t>
      </w:r>
    </w:p>
    <w:p>
      <w:pPr>
        <w:pStyle w:val="49"/>
        <w:ind w:firstLine="480"/>
        <w:rPr>
          <w:rFonts w:cs="Times New Roman"/>
        </w:rPr>
      </w:pPr>
      <w:r>
        <w:rPr>
          <w:rFonts w:hint="eastAsia" w:ascii="宋体" w:hAnsi="宋体" w:cs="宋体"/>
        </w:rPr>
        <w:t>①</w:t>
      </w:r>
      <w:r>
        <w:rPr>
          <w:rFonts w:cs="Times New Roman"/>
        </w:rPr>
        <w:t>项目每年用于“三废”治理的费用按环保投资费用的8%计，则总的CH 为6.96万元/年；</w:t>
      </w:r>
    </w:p>
    <w:p>
      <w:pPr>
        <w:pStyle w:val="49"/>
        <w:ind w:firstLine="480"/>
        <w:rPr>
          <w:rFonts w:cs="Times New Roman"/>
        </w:rPr>
      </w:pPr>
      <w:r>
        <w:rPr>
          <w:rFonts w:hint="eastAsia" w:ascii="宋体" w:hAnsi="宋体" w:cs="宋体"/>
        </w:rPr>
        <w:t>②</w:t>
      </w:r>
      <w:r>
        <w:rPr>
          <w:rFonts w:cs="Times New Roman"/>
        </w:rPr>
        <w:t>根据环投入分析表8.2-4，环保设备维修、管理费用按10万元/年计；环保设备折旧年限为10年，残值率按5%计算，则折旧费用为0.95万元/年；技术措施及其费用2万元/年，故J=2.95万元/年。</w:t>
      </w:r>
    </w:p>
    <w:p>
      <w:pPr>
        <w:pStyle w:val="49"/>
        <w:ind w:firstLine="480"/>
        <w:rPr>
          <w:rFonts w:cs="Times New Roman"/>
        </w:rPr>
      </w:pPr>
      <w:r>
        <w:rPr>
          <w:rFonts w:cs="Times New Roman"/>
        </w:rPr>
        <w:t>其中：</w:t>
      </w:r>
      <w:r>
        <w:rPr>
          <w:rStyle w:val="41"/>
          <w:rFonts w:cs="Times New Roman"/>
        </w:rPr>
        <w:t>折旧率按等值折旧计算其折旧费为</w:t>
      </w:r>
    </w:p>
    <w:p>
      <w:pPr>
        <w:pStyle w:val="71"/>
        <w:ind w:firstLine="480"/>
        <w:jc w:val="center"/>
        <w:rPr>
          <w:color w:val="auto"/>
        </w:rPr>
      </w:pPr>
      <w:r>
        <w:rPr>
          <w:color w:val="auto"/>
        </w:rPr>
        <w:t>C</w:t>
      </w:r>
      <w:r>
        <w:rPr>
          <w:color w:val="auto"/>
          <w:vertAlign w:val="subscript"/>
        </w:rPr>
        <w:t>1</w:t>
      </w:r>
      <w:r>
        <w:rPr>
          <w:color w:val="auto"/>
        </w:rPr>
        <w:t>=α(1-β)/n</w:t>
      </w:r>
    </w:p>
    <w:p>
      <w:pPr>
        <w:pStyle w:val="71"/>
        <w:ind w:firstLine="480"/>
        <w:rPr>
          <w:color w:val="auto"/>
        </w:rPr>
      </w:pPr>
      <w:r>
        <w:rPr>
          <w:color w:val="auto"/>
        </w:rPr>
        <w:t>式中：α—环保设备投资费用；</w:t>
      </w:r>
    </w:p>
    <w:p>
      <w:pPr>
        <w:pStyle w:val="71"/>
        <w:ind w:firstLine="960" w:firstLineChars="400"/>
        <w:rPr>
          <w:color w:val="auto"/>
        </w:rPr>
      </w:pPr>
      <w:r>
        <w:rPr>
          <w:color w:val="auto"/>
        </w:rPr>
        <w:t>β—残值率（按5%），</w:t>
      </w:r>
    </w:p>
    <w:p>
      <w:pPr>
        <w:pStyle w:val="71"/>
        <w:ind w:firstLine="1200" w:firstLineChars="500"/>
        <w:rPr>
          <w:color w:val="auto"/>
        </w:rPr>
      </w:pPr>
      <w:r>
        <w:rPr>
          <w:color w:val="auto"/>
        </w:rPr>
        <w:t>n—设备折旧年限。</w:t>
      </w:r>
    </w:p>
    <w:p>
      <w:pPr>
        <w:pStyle w:val="71"/>
        <w:ind w:firstLine="1200" w:firstLineChars="500"/>
        <w:rPr>
          <w:color w:val="auto"/>
        </w:rPr>
      </w:pPr>
      <w:r>
        <w:rPr>
          <w:color w:val="auto"/>
        </w:rPr>
        <w:t>项目投产后的环保费用</w:t>
      </w:r>
      <w:r>
        <w:rPr>
          <w:rFonts w:hint="eastAsia"/>
          <w:color w:val="auto"/>
        </w:rPr>
        <w:t>HF</w:t>
      </w:r>
      <w:r>
        <w:rPr>
          <w:color w:val="auto"/>
        </w:rPr>
        <w:t>为9.91</w:t>
      </w:r>
      <w:r>
        <w:rPr>
          <w:rFonts w:hint="eastAsia"/>
          <w:color w:val="auto"/>
        </w:rPr>
        <w:t>万元/</w:t>
      </w:r>
      <w:r>
        <w:rPr>
          <w:color w:val="auto"/>
        </w:rPr>
        <w:t>a。</w:t>
      </w:r>
    </w:p>
    <w:p>
      <w:pPr>
        <w:pStyle w:val="4"/>
      </w:pPr>
      <w:r>
        <w:rPr>
          <w:rFonts w:hint="eastAsia"/>
        </w:rPr>
        <w:t>环境</w:t>
      </w:r>
      <w:r>
        <w:t>保护费用分析</w:t>
      </w:r>
    </w:p>
    <w:p>
      <w:pPr>
        <w:pStyle w:val="49"/>
        <w:ind w:firstLine="480"/>
        <w:rPr>
          <w:rFonts w:cs="Times New Roman"/>
        </w:rPr>
      </w:pPr>
      <w:r>
        <w:rPr>
          <w:rFonts w:cs="Times New Roman"/>
        </w:rPr>
        <w:t>环境保护费用一般分为外部费用和内部费用，用下式表示：</w:t>
      </w:r>
    </w:p>
    <w:p>
      <w:pPr>
        <w:pStyle w:val="49"/>
        <w:ind w:firstLine="480"/>
        <w:jc w:val="center"/>
        <w:rPr>
          <w:rFonts w:cs="Times New Roman"/>
        </w:rPr>
      </w:pPr>
      <w:r>
        <w:rPr>
          <w:rFonts w:cs="Times New Roman"/>
        </w:rPr>
        <w:t>Et＝Et（O）＋Et（I）</w:t>
      </w:r>
    </w:p>
    <w:p>
      <w:pPr>
        <w:pStyle w:val="49"/>
        <w:ind w:firstLine="480"/>
        <w:rPr>
          <w:rFonts w:cs="Times New Roman"/>
        </w:rPr>
      </w:pPr>
      <w:r>
        <w:rPr>
          <w:rFonts w:cs="Times New Roman"/>
        </w:rPr>
        <w:t>式中：Et—环境保护费用；</w:t>
      </w:r>
    </w:p>
    <w:p>
      <w:pPr>
        <w:pStyle w:val="49"/>
        <w:ind w:firstLine="1200" w:firstLineChars="500"/>
        <w:rPr>
          <w:rFonts w:cs="Times New Roman"/>
        </w:rPr>
      </w:pPr>
      <w:r>
        <w:rPr>
          <w:rFonts w:cs="Times New Roman"/>
        </w:rPr>
        <w:t>Et（O）—环境保护外部费用；</w:t>
      </w:r>
    </w:p>
    <w:p>
      <w:pPr>
        <w:pStyle w:val="49"/>
        <w:ind w:firstLine="1200" w:firstLineChars="500"/>
        <w:rPr>
          <w:rFonts w:cs="Times New Roman"/>
        </w:rPr>
      </w:pPr>
      <w:r>
        <w:rPr>
          <w:rFonts w:cs="Times New Roman"/>
        </w:rPr>
        <w:t>Et（I）—环境保护内部费用。</w:t>
      </w:r>
    </w:p>
    <w:p>
      <w:pPr>
        <w:pStyle w:val="49"/>
        <w:ind w:firstLine="480"/>
        <w:rPr>
          <w:rFonts w:cs="Times New Roman"/>
        </w:rPr>
      </w:pPr>
      <w:r>
        <w:rPr>
          <w:rFonts w:cs="Times New Roman"/>
        </w:rPr>
        <w:t>（1）环境保护外部费用的确定与估算</w:t>
      </w:r>
    </w:p>
    <w:p>
      <w:pPr>
        <w:pStyle w:val="49"/>
        <w:ind w:firstLine="480"/>
        <w:rPr>
          <w:rFonts w:cs="Times New Roman"/>
        </w:rPr>
      </w:pPr>
      <w:r>
        <w:rPr>
          <w:rFonts w:cs="Times New Roman"/>
        </w:rPr>
        <w:t>环境保护外部费用主要指建设项目为减缓其对周围环境或人群健康损害所付的费用。就项目而言，不存在这部分费用。</w:t>
      </w:r>
    </w:p>
    <w:p>
      <w:pPr>
        <w:pStyle w:val="49"/>
        <w:ind w:firstLine="480"/>
        <w:rPr>
          <w:rFonts w:cs="Times New Roman"/>
        </w:rPr>
      </w:pPr>
      <w:r>
        <w:rPr>
          <w:rFonts w:cs="Times New Roman"/>
        </w:rPr>
        <w:t>（2）环境保护内部费用确定与估算</w:t>
      </w:r>
    </w:p>
    <w:p>
      <w:pPr>
        <w:pStyle w:val="49"/>
        <w:ind w:firstLine="480"/>
        <w:rPr>
          <w:rFonts w:cs="Times New Roman"/>
        </w:rPr>
      </w:pPr>
      <w:r>
        <w:rPr>
          <w:rFonts w:cs="Times New Roman"/>
        </w:rPr>
        <w:t>内部费用是指项目运行过程中，建设单位为了防止环境污染而付出的环境保护费用，由基本建设费和运行费两部分构成。</w:t>
      </w:r>
    </w:p>
    <w:p>
      <w:pPr>
        <w:pStyle w:val="49"/>
        <w:ind w:firstLine="480"/>
        <w:rPr>
          <w:rFonts w:cs="Times New Roman"/>
        </w:rPr>
      </w:pPr>
      <w:r>
        <w:rPr>
          <w:rFonts w:cs="Times New Roman"/>
        </w:rPr>
        <w:t>环境保护基本建设费用即为环保工程费用，根据表8.2-4 可知，本项目各类环保基本建设费（93万元）和运行费（7万元）总和为100万元。</w:t>
      </w:r>
    </w:p>
    <w:p>
      <w:pPr>
        <w:pStyle w:val="4"/>
      </w:pPr>
      <w:r>
        <w:rPr>
          <w:rFonts w:hint="eastAsia"/>
        </w:rPr>
        <w:t>环境</w:t>
      </w:r>
      <w:r>
        <w:t>污染损失</w:t>
      </w:r>
      <w:r>
        <w:rPr>
          <w:rFonts w:hint="eastAsia"/>
        </w:rPr>
        <w:t>分析</w:t>
      </w:r>
    </w:p>
    <w:p>
      <w:pPr>
        <w:pStyle w:val="40"/>
        <w:ind w:firstLine="480"/>
      </w:pPr>
      <w:r>
        <w:t>环境污染损失分析以经济形势反映出来，根据“三废”排放对环境造成的一切损失来确定的，其主要包括三个方面，可用下式表示：</w:t>
      </w:r>
    </w:p>
    <w:p>
      <w:pPr>
        <w:pStyle w:val="40"/>
        <w:ind w:firstLine="480"/>
        <w:jc w:val="center"/>
      </w:pPr>
      <w:r>
        <w:rPr>
          <w:rStyle w:val="41"/>
          <w:rFonts w:cs="Times New Roman"/>
        </w:rPr>
        <w:t>WS</w:t>
      </w:r>
      <w:r>
        <w:t>=A+B+C</w:t>
      </w:r>
    </w:p>
    <w:p>
      <w:pPr>
        <w:pStyle w:val="40"/>
        <w:ind w:firstLine="480"/>
      </w:pPr>
      <w:r>
        <w:t>式中：WS——环境污染损失；</w:t>
      </w:r>
    </w:p>
    <w:p>
      <w:pPr>
        <w:pStyle w:val="40"/>
        <w:ind w:firstLine="480"/>
      </w:pPr>
      <w:r>
        <w:t>A——为资源和能源流失价值；</w:t>
      </w:r>
    </w:p>
    <w:p>
      <w:pPr>
        <w:pStyle w:val="40"/>
        <w:ind w:firstLine="480"/>
      </w:pPr>
      <w:bookmarkStart w:id="86" w:name="_Toc213838516"/>
      <w:r>
        <w:t>B——对污染物对周期环境生产和生活资料造成的损失；</w:t>
      </w:r>
      <w:bookmarkEnd w:id="86"/>
    </w:p>
    <w:p>
      <w:pPr>
        <w:pStyle w:val="40"/>
        <w:ind w:firstLine="480"/>
      </w:pPr>
      <w:bookmarkStart w:id="87" w:name="_Toc213838517"/>
      <w:r>
        <w:t>C——各种污染物为对人群、动植物造成的损失。</w:t>
      </w:r>
      <w:bookmarkEnd w:id="87"/>
    </w:p>
    <w:p>
      <w:pPr>
        <w:pStyle w:val="40"/>
        <w:ind w:firstLine="480"/>
      </w:pPr>
      <w:bookmarkStart w:id="88" w:name="_Toc213838518"/>
      <w:r>
        <w:rPr>
          <w:rFonts w:hint="eastAsia" w:ascii="宋体" w:hAnsi="宋体" w:cs="宋体"/>
        </w:rPr>
        <w:t>①</w:t>
      </w:r>
      <w:r>
        <w:t>资源和能源流失代价（A）</w:t>
      </w:r>
      <w:bookmarkEnd w:id="88"/>
    </w:p>
    <w:p>
      <w:pPr>
        <w:pStyle w:val="40"/>
        <w:ind w:firstLine="480"/>
      </w:pPr>
      <w:bookmarkStart w:id="89" w:name="_Toc213838520"/>
      <w:r>
        <w:t>资源和能源流失价值，是指因外运、装卸、风蚀、雨蚀等原因导致资源流失，本项目由于采取了完善的防治措施，因此资源流失很少，在此可以忽略不计，即</w:t>
      </w:r>
      <w:r>
        <w:rPr>
          <w:rStyle w:val="41"/>
          <w:rFonts w:cs="Times New Roman"/>
        </w:rPr>
        <w:t>A=0。</w:t>
      </w:r>
    </w:p>
    <w:p>
      <w:pPr>
        <w:pStyle w:val="40"/>
        <w:ind w:firstLine="480"/>
      </w:pPr>
      <w:r>
        <w:rPr>
          <w:rFonts w:hint="eastAsia" w:ascii="宋体" w:hAnsi="宋体" w:cs="宋体"/>
        </w:rPr>
        <w:t>②</w:t>
      </w:r>
      <w:r>
        <w:t>生产生活资料损失代价（B）</w:t>
      </w:r>
      <w:bookmarkEnd w:id="89"/>
    </w:p>
    <w:p>
      <w:pPr>
        <w:pStyle w:val="40"/>
        <w:ind w:firstLine="480"/>
      </w:pPr>
      <w:r>
        <w:t>污染物对周围环境中生产和生活资料的损失费用以罚款的形式表现，为防治污染，本项目在建设的同时也采取了合理有效的环保措施，使项目投产后的“三废”排放达到国家标准，故不考虑此费用，即B=0。</w:t>
      </w:r>
    </w:p>
    <w:p>
      <w:pPr>
        <w:pStyle w:val="40"/>
        <w:ind w:firstLine="480"/>
      </w:pPr>
      <w:bookmarkStart w:id="90" w:name="_Toc213838521"/>
      <w:r>
        <w:rPr>
          <w:rFonts w:hint="eastAsia" w:ascii="宋体" w:hAnsi="宋体" w:cs="宋体"/>
        </w:rPr>
        <w:t>③</w:t>
      </w:r>
      <w:r>
        <w:t>人群损失（C）</w:t>
      </w:r>
      <w:bookmarkEnd w:id="90"/>
    </w:p>
    <w:p>
      <w:pPr>
        <w:pStyle w:val="40"/>
        <w:ind w:firstLine="480"/>
      </w:pPr>
      <w:r>
        <w:t>由本次评价对环境要素影响的评价结论，结合当地自然、社会环境现状可以看出，按照本环评报告规定的环保措施实施后，本项目的污染排放会得到有效的控制，可以做到达标排放，对环境的污染较小，同时也注意了职工的劳动安全、工业卫生，故此处不考虑环境污染对职工和周围人群健康的影响，即C=0。</w:t>
      </w:r>
    </w:p>
    <w:p>
      <w:pPr>
        <w:pStyle w:val="40"/>
        <w:ind w:firstLine="480"/>
      </w:pPr>
      <w:r>
        <w:rPr>
          <w:kern w:val="0"/>
          <w:szCs w:val="24"/>
        </w:rPr>
        <w:t>综上所述，项目的年污染损失（WS）可不予考虑，WS=0。</w:t>
      </w:r>
    </w:p>
    <w:p>
      <w:pPr>
        <w:pStyle w:val="4"/>
      </w:pPr>
      <w:r>
        <w:rPr>
          <w:rFonts w:hint="eastAsia"/>
        </w:rPr>
        <w:t>经济</w:t>
      </w:r>
      <w:r>
        <w:t>损益分析</w:t>
      </w:r>
    </w:p>
    <w:p>
      <w:pPr>
        <w:pStyle w:val="40"/>
        <w:ind w:firstLine="480"/>
      </w:pPr>
      <w:r>
        <w:rPr>
          <w:rFonts w:hint="eastAsia"/>
        </w:rPr>
        <w:t>环境影响的经济损益分析，就是建设项目对环境影响而引起的费用和得到的效益进行经济分析，本项目在实施建设中采取了一系列防治污染的环保措施，使生产中的各种污染物均做到达标排放。本项目充分体现了“以防为主，综合治理”的原则。</w:t>
      </w:r>
    </w:p>
    <w:p>
      <w:pPr>
        <w:pStyle w:val="40"/>
        <w:ind w:firstLine="480"/>
      </w:pPr>
      <w:r>
        <w:rPr>
          <w:rFonts w:hint="eastAsia"/>
        </w:rPr>
        <w:t>本项目配套了相对完善的污染控制措施，工程投产后对环境的影响可降到最小，能够做到在发展经济的同时，注重对环境的保护，具有一定的环境效益。</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（1）环境代价（Hd）</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环境代价是指为了减少或者消除因从环境中获取生产、生活所必须的物质资料，改变环境的状况所付出的经济代价。</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环境代价是由两部分组成：直接代价和间接代价。直接代价指为消除项目建设所造成的环境危害必须付出的代价，间接代价指项目建设对所在地的损失和为消除这些不良影响所付出的代价，即</w:t>
      </w:r>
    </w:p>
    <w:p>
      <w:pPr>
        <w:adjustRightInd w:val="0"/>
        <w:snapToGrid w:val="0"/>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sz w:val="24"/>
        </w:rPr>
        <w:t>Hd=P</w:t>
      </w:r>
      <w:r>
        <w:rPr>
          <w:rFonts w:ascii="Times New Roman" w:hAnsi="Times New Roman" w:eastAsia="宋体" w:cs="Times New Roman"/>
          <w:sz w:val="24"/>
          <w:vertAlign w:val="subscript"/>
        </w:rPr>
        <w:t>d</w:t>
      </w:r>
      <w:r>
        <w:rPr>
          <w:rFonts w:ascii="Times New Roman" w:hAnsi="Times New Roman" w:eastAsia="宋体" w:cs="Times New Roman"/>
          <w:sz w:val="24"/>
        </w:rPr>
        <w:t>+P</w:t>
      </w:r>
      <w:r>
        <w:rPr>
          <w:rFonts w:ascii="Times New Roman" w:hAnsi="Times New Roman" w:eastAsia="宋体" w:cs="Times New Roman"/>
          <w:sz w:val="24"/>
          <w:vertAlign w:val="subscript"/>
        </w:rPr>
        <w:t>id</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式中：Hd—环境代价，万元；</w:t>
      </w:r>
    </w:p>
    <w:p>
      <w:pPr>
        <w:adjustRightInd w:val="0"/>
        <w:snapToGrid w:val="0"/>
        <w:spacing w:line="360" w:lineRule="auto"/>
        <w:ind w:firstLine="1200" w:firstLineChars="500"/>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d</w:t>
      </w:r>
      <w:r>
        <w:rPr>
          <w:rFonts w:ascii="Times New Roman" w:hAnsi="Times New Roman" w:eastAsia="宋体" w:cs="Times New Roman"/>
          <w:sz w:val="24"/>
        </w:rPr>
        <w:t>—开发项目的直接代价，万元；</w:t>
      </w:r>
    </w:p>
    <w:p>
      <w:pPr>
        <w:adjustRightInd w:val="0"/>
        <w:snapToGrid w:val="0"/>
        <w:spacing w:line="360" w:lineRule="auto"/>
        <w:ind w:firstLine="1200" w:firstLineChars="500"/>
        <w:rPr>
          <w:rFonts w:ascii="Times New Roman" w:hAnsi="Times New Roman" w:eastAsia="宋体" w:cs="Times New Roman"/>
          <w:sz w:val="24"/>
        </w:rPr>
      </w:pPr>
      <w:r>
        <w:rPr>
          <w:rFonts w:ascii="Times New Roman" w:hAnsi="Times New Roman" w:eastAsia="宋体" w:cs="Times New Roman"/>
          <w:sz w:val="24"/>
        </w:rPr>
        <w:t>P</w:t>
      </w:r>
      <w:r>
        <w:rPr>
          <w:rFonts w:ascii="Times New Roman" w:hAnsi="Times New Roman" w:eastAsia="宋体" w:cs="Times New Roman"/>
          <w:sz w:val="24"/>
          <w:vertAlign w:val="subscript"/>
        </w:rPr>
        <w:t>id</w:t>
      </w:r>
      <w:r>
        <w:rPr>
          <w:rFonts w:ascii="Times New Roman" w:hAnsi="Times New Roman" w:eastAsia="宋体" w:cs="Times New Roman"/>
          <w:sz w:val="24"/>
        </w:rPr>
        <w:t>—开发项目的间接代价，万元；</w:t>
      </w:r>
    </w:p>
    <w:p>
      <w:pPr>
        <w:adjustRightInd w:val="0"/>
        <w:snapToGrid w:val="0"/>
        <w:spacing w:line="360" w:lineRule="auto"/>
        <w:ind w:firstLine="480" w:firstLineChars="200"/>
        <w:rPr>
          <w:rFonts w:ascii="Times New Roman" w:hAnsi="Times New Roman" w:eastAsia="宋体" w:cs="Times New Roman"/>
          <w:sz w:val="24"/>
          <w:highlight w:val="yellow"/>
        </w:rPr>
      </w:pPr>
      <w:r>
        <w:rPr>
          <w:rFonts w:ascii="Times New Roman" w:hAnsi="Times New Roman" w:eastAsia="宋体" w:cs="Times New Roman"/>
          <w:sz w:val="24"/>
        </w:rPr>
        <w:t>本项目的直接代价为防治因生产过程中所造成的污染而投入的年环保投资费用，为9.91万元；间接代价不计。故项目的环境代价为9.91万元。</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（2）环境系数（Hx）</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环境系数值年环境代价与年工业产值之比，即单位产值的环境代价：</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Hx=HF/GE</w:t>
      </w:r>
    </w:p>
    <w:p>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本项目为</w:t>
      </w:r>
      <w:r>
        <w:rPr>
          <w:rFonts w:ascii="Times New Roman" w:hAnsi="Times New Roman" w:eastAsia="宋体" w:cs="Times New Roman"/>
          <w:sz w:val="24"/>
        </w:rPr>
        <w:t>社会基础设施建设项目，</w:t>
      </w:r>
      <w:r>
        <w:rPr>
          <w:rFonts w:hint="eastAsia" w:ascii="Times New Roman" w:hAnsi="Times New Roman" w:eastAsia="宋体" w:cs="Times New Roman"/>
          <w:sz w:val="24"/>
        </w:rPr>
        <w:t>不产生</w:t>
      </w:r>
      <w:r>
        <w:rPr>
          <w:rFonts w:ascii="Times New Roman" w:hAnsi="Times New Roman" w:eastAsia="宋体" w:cs="Times New Roman"/>
          <w:sz w:val="24"/>
        </w:rPr>
        <w:t>工业</w:t>
      </w:r>
      <w:r>
        <w:rPr>
          <w:rFonts w:hint="eastAsia" w:ascii="Times New Roman" w:hAnsi="Times New Roman" w:eastAsia="宋体" w:cs="Times New Roman"/>
          <w:sz w:val="24"/>
        </w:rPr>
        <w:t>产值</w:t>
      </w:r>
      <w:r>
        <w:rPr>
          <w:rFonts w:ascii="Times New Roman" w:hAnsi="Times New Roman" w:eastAsia="宋体" w:cs="Times New Roman"/>
          <w:sz w:val="24"/>
        </w:rPr>
        <w:t>，因此不考虑环境系数。</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从计算结果看，项目环境成本较低。</w:t>
      </w:r>
    </w:p>
    <w:p>
      <w:pPr>
        <w:pStyle w:val="3"/>
      </w:pPr>
      <w:bookmarkStart w:id="91" w:name="_Toc113260450"/>
      <w:r>
        <w:rPr>
          <w:rFonts w:hint="eastAsia"/>
        </w:rPr>
        <w:t>小结</w:t>
      </w:r>
      <w:bookmarkEnd w:id="91"/>
    </w:p>
    <w:p>
      <w:pPr>
        <w:pStyle w:val="49"/>
        <w:ind w:firstLine="480"/>
        <w:rPr>
          <w:rFonts w:cs="Times New Roman"/>
        </w:rPr>
      </w:pPr>
      <w:r>
        <w:rPr>
          <w:rFonts w:hint="eastAsia" w:cs="Times New Roman"/>
        </w:rPr>
        <w:t>通过以上对本项目建设的社会、经济和环境效益分析可知，在落实本次环境影响评价所提出各项污染防治措施的前提下，项目的建设基本能够实现经济效益、社会效益和环境效益相统一的要求，即：</w:t>
      </w:r>
    </w:p>
    <w:p>
      <w:pPr>
        <w:pStyle w:val="49"/>
        <w:ind w:firstLine="480"/>
        <w:rPr>
          <w:rFonts w:cs="Times New Roman"/>
        </w:rPr>
      </w:pPr>
      <w:r>
        <w:rPr>
          <w:rFonts w:hint="eastAsia" w:cs="Times New Roman"/>
        </w:rPr>
        <w:t>1、项目的建设将能有效提升社会形象，促进经济和精神文明健康发展，能拉动经济增长，促进社会繁荣。</w:t>
      </w:r>
    </w:p>
    <w:p>
      <w:pPr>
        <w:pStyle w:val="49"/>
        <w:ind w:firstLine="480"/>
        <w:rPr>
          <w:rFonts w:cs="Times New Roman"/>
        </w:rPr>
      </w:pPr>
      <w:r>
        <w:rPr>
          <w:rFonts w:hint="eastAsia" w:cs="Times New Roman"/>
        </w:rPr>
        <w:t>2、项目经济效益和社会效益较好，能为当地财政收入和治病救人作出贡献。</w:t>
      </w:r>
    </w:p>
    <w:p>
      <w:pPr>
        <w:pStyle w:val="49"/>
        <w:ind w:firstLine="480"/>
        <w:rPr>
          <w:rFonts w:cs="Times New Roman"/>
        </w:rPr>
      </w:pPr>
      <w:r>
        <w:rPr>
          <w:rFonts w:hint="eastAsia" w:cs="Times New Roman"/>
        </w:rPr>
        <w:t>3、运营期通过对污染物的有效治理，使各种污染物均达标排放，可将环境产生的影响减少到最低限度，不会对拟建区的环境质量造成改变，环境效益明显。</w:t>
      </w:r>
    </w:p>
    <w:p>
      <w:pPr>
        <w:pStyle w:val="49"/>
        <w:ind w:firstLine="480"/>
        <w:rPr>
          <w:rFonts w:cs="Times New Roman"/>
        </w:rPr>
      </w:pPr>
      <w:r>
        <w:rPr>
          <w:rFonts w:hint="eastAsia" w:cs="Times New Roman"/>
        </w:rPr>
        <w:t>项目的建设原则满足可持续发展的要求，从环境经济的角度而言，项目建设是可行的。</w:t>
      </w:r>
    </w:p>
    <w:p>
      <w:pPr>
        <w:pStyle w:val="49"/>
        <w:ind w:firstLine="480"/>
        <w:rPr>
          <w:rFonts w:cs="Times New Roman"/>
          <w:highlight w:val="yellow"/>
        </w:rPr>
        <w:sectPr>
          <w:headerReference r:id="rId56" w:type="default"/>
          <w:headerReference r:id="rId57" w:type="even"/>
          <w:pgSz w:w="11906" w:h="16838"/>
          <w:pgMar w:top="1418" w:right="1418" w:bottom="1418" w:left="1588" w:header="851" w:footer="992" w:gutter="0"/>
          <w:pgNumType w:fmt="numberInDash"/>
          <w:cols w:space="425" w:num="1"/>
          <w:docGrid w:type="linesAndChars" w:linePitch="312" w:charSpace="0"/>
        </w:sectPr>
      </w:pPr>
    </w:p>
    <w:p>
      <w:pPr>
        <w:pStyle w:val="2"/>
      </w:pPr>
      <w:bookmarkStart w:id="92" w:name="_Toc113260451"/>
      <w:r>
        <w:rPr>
          <w:rFonts w:hint="eastAsia"/>
        </w:rPr>
        <w:t>环境</w:t>
      </w:r>
      <w:r>
        <w:t>管理与监测计划</w:t>
      </w:r>
      <w:bookmarkEnd w:id="92"/>
    </w:p>
    <w:p>
      <w:pPr>
        <w:pStyle w:val="3"/>
      </w:pPr>
      <w:bookmarkStart w:id="93" w:name="_Toc113260452"/>
      <w:r>
        <w:rPr>
          <w:rFonts w:hint="eastAsia"/>
        </w:rPr>
        <w:t>环境</w:t>
      </w:r>
      <w:r>
        <w:t>管理</w:t>
      </w:r>
      <w:bookmarkEnd w:id="93"/>
    </w:p>
    <w:p>
      <w:pPr>
        <w:pStyle w:val="4"/>
      </w:pPr>
      <w:r>
        <w:rPr>
          <w:rFonts w:hint="eastAsia"/>
        </w:rPr>
        <w:t>环境</w:t>
      </w:r>
      <w:r>
        <w:t>管理机构</w:t>
      </w:r>
    </w:p>
    <w:p>
      <w:pPr>
        <w:pStyle w:val="40"/>
        <w:ind w:firstLine="480"/>
      </w:pPr>
      <w:r>
        <w:rPr>
          <w:rStyle w:val="41"/>
        </w:rPr>
        <w:t>为保证环境管理任务的顺利实施，</w:t>
      </w:r>
      <w:r>
        <w:rPr>
          <w:rStyle w:val="41"/>
          <w:rFonts w:hint="eastAsia"/>
        </w:rPr>
        <w:t>医院</w:t>
      </w:r>
      <w:r>
        <w:rPr>
          <w:rStyle w:val="41"/>
        </w:rPr>
        <w:t>应设立专门的环保机构和环境专职负责人负责本公司的环境管理工作，负责配合公司领导完成全</w:t>
      </w:r>
      <w:r>
        <w:rPr>
          <w:rStyle w:val="41"/>
          <w:rFonts w:hint="eastAsia"/>
        </w:rPr>
        <w:t>中心</w:t>
      </w:r>
      <w:r>
        <w:rPr>
          <w:rStyle w:val="41"/>
        </w:rPr>
        <w:t>的环境及污染源监测和环境保护管理工作；需设立专门环保科配备专职环保员，负责日常的环境管理工作；配备一名主管生产或技术的领导分管本单位的日常环保</w:t>
      </w:r>
      <w:r>
        <w:t>工作。</w:t>
      </w:r>
    </w:p>
    <w:p>
      <w:pPr>
        <w:pStyle w:val="4"/>
      </w:pPr>
      <w:r>
        <w:rPr>
          <w:rFonts w:hint="eastAsia"/>
        </w:rPr>
        <w:t>环境</w:t>
      </w:r>
      <w:r>
        <w:t>管理职责</w:t>
      </w:r>
    </w:p>
    <w:p>
      <w:pPr>
        <w:pStyle w:val="49"/>
        <w:ind w:firstLine="480"/>
        <w:rPr>
          <w:rFonts w:cs="Times New Roman"/>
        </w:rPr>
      </w:pPr>
      <w:r>
        <w:rPr>
          <w:rFonts w:cs="Times New Roman"/>
        </w:rPr>
        <w:t>（1）贯彻执行国家、省、市的有关环保法规、标准、政策和要求；</w:t>
      </w:r>
    </w:p>
    <w:p>
      <w:pPr>
        <w:pStyle w:val="49"/>
        <w:ind w:firstLine="480"/>
        <w:rPr>
          <w:rFonts w:cs="Times New Roman"/>
        </w:rPr>
      </w:pPr>
      <w:r>
        <w:rPr>
          <w:rFonts w:cs="Times New Roman"/>
        </w:rPr>
        <w:t>（2）负责监督“三同时”的执行情况，检查</w:t>
      </w:r>
      <w:r>
        <w:rPr>
          <w:rFonts w:hint="eastAsia" w:cs="Times New Roman"/>
        </w:rPr>
        <w:t>单位</w:t>
      </w:r>
      <w:r>
        <w:rPr>
          <w:rFonts w:cs="Times New Roman"/>
        </w:rPr>
        <w:t>各种环保设施的运行和维护管理；</w:t>
      </w:r>
    </w:p>
    <w:p>
      <w:pPr>
        <w:pStyle w:val="49"/>
        <w:ind w:firstLine="480"/>
        <w:rPr>
          <w:rFonts w:cs="Times New Roman"/>
        </w:rPr>
      </w:pPr>
      <w:r>
        <w:rPr>
          <w:rFonts w:cs="Times New Roman"/>
        </w:rPr>
        <w:t>（3）组织制定和修改本</w:t>
      </w:r>
      <w:r>
        <w:rPr>
          <w:rFonts w:hint="eastAsia" w:cs="Times New Roman"/>
        </w:rPr>
        <w:t>医院</w:t>
      </w:r>
      <w:r>
        <w:rPr>
          <w:rFonts w:cs="Times New Roman"/>
        </w:rPr>
        <w:t>的环境保护管理规章制度以及各种操作程序并监督执行；</w:t>
      </w:r>
    </w:p>
    <w:p>
      <w:pPr>
        <w:pStyle w:val="49"/>
        <w:ind w:firstLine="480"/>
        <w:rPr>
          <w:rFonts w:cs="Times New Roman"/>
        </w:rPr>
      </w:pPr>
      <w:r>
        <w:rPr>
          <w:rFonts w:cs="Times New Roman"/>
        </w:rPr>
        <w:t>（4）</w:t>
      </w:r>
      <w:r>
        <w:rPr>
          <w:rFonts w:hint="eastAsia"/>
        </w:rPr>
        <w:t>负责检查、督促、落实医疗废物的管理工作；</w:t>
      </w:r>
    </w:p>
    <w:p>
      <w:pPr>
        <w:pStyle w:val="49"/>
        <w:ind w:firstLine="480"/>
        <w:rPr>
          <w:rFonts w:cs="Times New Roman"/>
        </w:rPr>
      </w:pPr>
      <w:r>
        <w:rPr>
          <w:rFonts w:cs="Times New Roman"/>
        </w:rPr>
        <w:t>（5）</w:t>
      </w:r>
      <w:r>
        <w:rPr>
          <w:rFonts w:hint="eastAsia" w:cs="Times New Roman"/>
        </w:rPr>
        <w:t>负责废水、废气等各项污染处理设施的运行管理工作；</w:t>
      </w:r>
    </w:p>
    <w:p>
      <w:pPr>
        <w:pStyle w:val="49"/>
        <w:ind w:firstLine="480"/>
        <w:rPr>
          <w:rFonts w:cs="Times New Roman"/>
        </w:rPr>
      </w:pPr>
      <w:r>
        <w:rPr>
          <w:rFonts w:cs="Times New Roman"/>
        </w:rPr>
        <w:t>（6）</w:t>
      </w:r>
      <w:r>
        <w:rPr>
          <w:rFonts w:hint="eastAsia" w:cs="Times New Roman"/>
        </w:rPr>
        <w:t>定期进行环保设备检查、维修和保养工作，确保环保设施长期、稳定、达标运转；</w:t>
      </w:r>
    </w:p>
    <w:p>
      <w:pPr>
        <w:pStyle w:val="49"/>
        <w:ind w:firstLine="480"/>
        <w:rPr>
          <w:rFonts w:cs="Times New Roman"/>
        </w:rPr>
      </w:pPr>
      <w:r>
        <w:rPr>
          <w:rFonts w:cs="Times New Roman"/>
        </w:rPr>
        <w:t>（7）</w:t>
      </w:r>
      <w:r>
        <w:rPr>
          <w:rFonts w:hint="eastAsia" w:cs="Times New Roman"/>
        </w:rPr>
        <w:t>落实环保应急方案需要的建构筑物和应急处理的物资，定期对发生意外事故时的应急方案进行演练，采取有效措施，防止医疗废物流失、泄漏、扩散，防止废水及废气的事故排放。</w:t>
      </w:r>
    </w:p>
    <w:p>
      <w:pPr>
        <w:pStyle w:val="4"/>
      </w:pPr>
      <w:r>
        <w:rPr>
          <w:rFonts w:hint="eastAsia"/>
        </w:rPr>
        <w:t>环境</w:t>
      </w:r>
      <w:r>
        <w:t>管理</w:t>
      </w:r>
      <w:r>
        <w:rPr>
          <w:rFonts w:hint="eastAsia"/>
        </w:rPr>
        <w:t>制度</w:t>
      </w:r>
    </w:p>
    <w:p>
      <w:pPr>
        <w:pStyle w:val="40"/>
        <w:ind w:firstLine="480"/>
      </w:pPr>
      <w:r>
        <w:rPr>
          <w:rFonts w:hint="eastAsia"/>
        </w:rPr>
        <w:t>环境管理应该贯穿于建设项目从立项到运行的整个过程，并对建设项目的不同阶段制定相应的环保条例，规定不同阶段的环保内容，明确不同部门的工作职责。</w:t>
      </w:r>
    </w:p>
    <w:p>
      <w:pPr>
        <w:pStyle w:val="40"/>
        <w:ind w:firstLine="480"/>
      </w:pPr>
      <w:r>
        <w:rPr>
          <w:rFonts w:hint="eastAsia"/>
        </w:rPr>
        <w:t>（1）施工期环境管理要求</w:t>
      </w:r>
    </w:p>
    <w:p>
      <w:pPr>
        <w:pStyle w:val="40"/>
        <w:ind w:firstLine="480"/>
      </w:pPr>
      <w:r>
        <w:rPr>
          <w:rFonts w:hint="eastAsia"/>
        </w:rPr>
        <w:t>①环境管理机构对施工期环境保护工作全面负责，履行施工期各阶段环境管理职责。</w:t>
      </w:r>
    </w:p>
    <w:p>
      <w:pPr>
        <w:pStyle w:val="40"/>
        <w:ind w:firstLine="480"/>
      </w:pPr>
      <w:r>
        <w:rPr>
          <w:rFonts w:hint="eastAsia"/>
        </w:rPr>
        <w:t>②对施工队伍实行职责管理，要求施工队伍按要求文明施工，并做好监督、检查和教育工作。</w:t>
      </w:r>
    </w:p>
    <w:p>
      <w:pPr>
        <w:pStyle w:val="40"/>
        <w:ind w:firstLine="480"/>
      </w:pPr>
      <w:r>
        <w:rPr>
          <w:rFonts w:hint="eastAsia"/>
        </w:rPr>
        <w:t>③按照环保主管部门的要求和本报告书中有关环境保护对策措施对施工程序和场地布置实施统一安排。</w:t>
      </w:r>
    </w:p>
    <w:p>
      <w:pPr>
        <w:pStyle w:val="40"/>
        <w:ind w:firstLine="480"/>
      </w:pPr>
      <w:r>
        <w:rPr>
          <w:rFonts w:hint="eastAsia"/>
        </w:rPr>
        <w:t>④土建工程需要土石方的挖掘与运输、管道挖沟、施工建材机械等占地，对产生的扬尘应及时洒水，及时清除弃土，避免二次扬尘。</w:t>
      </w:r>
    </w:p>
    <w:p>
      <w:pPr>
        <w:pStyle w:val="40"/>
        <w:ind w:firstLine="480"/>
      </w:pPr>
      <w:r>
        <w:rPr>
          <w:rFonts w:hint="eastAsia"/>
        </w:rPr>
        <w:t>⑤合理布置施工场内的机械和设备，把噪声较大的机械设备布置到远离居民的地点。</w:t>
      </w:r>
    </w:p>
    <w:p>
      <w:pPr>
        <w:pStyle w:val="40"/>
        <w:ind w:firstLine="480"/>
      </w:pPr>
      <w:r>
        <w:rPr>
          <w:rFonts w:hint="eastAsia"/>
        </w:rPr>
        <w:t>（2）运营期环境管理要求</w:t>
      </w:r>
    </w:p>
    <w:p>
      <w:pPr>
        <w:pStyle w:val="40"/>
        <w:ind w:firstLine="480"/>
      </w:pPr>
      <w:r>
        <w:rPr>
          <w:rFonts w:hint="eastAsia"/>
        </w:rPr>
        <w:t>①根据国家环保政策、标准及环境监测要求，制定该项目运行期环境管理规章制度、必须满足各种污染物排放指标。</w:t>
      </w:r>
    </w:p>
    <w:p>
      <w:pPr>
        <w:pStyle w:val="40"/>
        <w:ind w:firstLine="480"/>
      </w:pPr>
      <w:r>
        <w:rPr>
          <w:rFonts w:hint="eastAsia"/>
        </w:rPr>
        <w:t>②对医院内的公建设施给水管网、排水管网、</w:t>
      </w:r>
      <w:r>
        <w:t>污水</w:t>
      </w:r>
      <w:r>
        <w:rPr>
          <w:rFonts w:hint="eastAsia"/>
        </w:rPr>
        <w:t>处理</w:t>
      </w:r>
      <w:r>
        <w:t>站</w:t>
      </w:r>
      <w:r>
        <w:rPr>
          <w:rFonts w:hint="eastAsia"/>
        </w:rPr>
        <w:t>进行定期维护和检修，确保公建设施的正常运行及管网畅通。</w:t>
      </w:r>
    </w:p>
    <w:p>
      <w:pPr>
        <w:pStyle w:val="40"/>
        <w:ind w:firstLine="480"/>
      </w:pPr>
      <w:r>
        <w:rPr>
          <w:rFonts w:hint="eastAsia"/>
        </w:rPr>
        <w:t>③废水进行达标处理，确保处理系统的正常运行。</w:t>
      </w:r>
    </w:p>
    <w:p>
      <w:pPr>
        <w:pStyle w:val="40"/>
        <w:ind w:firstLine="480"/>
        <w:rPr>
          <w:highlight w:val="yellow"/>
        </w:rPr>
      </w:pPr>
      <w:r>
        <w:rPr>
          <w:rFonts w:hint="eastAsia"/>
        </w:rPr>
        <w:t>④生活垃圾和医疗废物的收集管理应由专人负责，分类收集，对分散布置的垃圾桶应定期清洗和消毒；外运时，应采用封闭自卸专用车，运到指定地点处置。</w:t>
      </w:r>
    </w:p>
    <w:p>
      <w:pPr>
        <w:pStyle w:val="40"/>
        <w:ind w:firstLine="480"/>
      </w:pPr>
      <w:r>
        <w:rPr>
          <w:rFonts w:hint="eastAsia"/>
        </w:rPr>
        <w:t>⑤绿化能改善区域小气候和起到降噪除尘的作用，对医院的绿地必须有专人管理、养护。</w:t>
      </w:r>
    </w:p>
    <w:p>
      <w:pPr>
        <w:pStyle w:val="3"/>
      </w:pPr>
      <w:bookmarkStart w:id="94" w:name="_Toc113260453"/>
      <w:r>
        <w:rPr>
          <w:rFonts w:hint="eastAsia"/>
        </w:rPr>
        <w:t>污染物</w:t>
      </w:r>
      <w:r>
        <w:t>排放管理</w:t>
      </w:r>
      <w:bookmarkEnd w:id="94"/>
    </w:p>
    <w:p>
      <w:pPr>
        <w:pStyle w:val="4"/>
      </w:pPr>
      <w:r>
        <w:rPr>
          <w:rFonts w:hint="eastAsia"/>
        </w:rPr>
        <w:t>污染物</w:t>
      </w:r>
      <w:r>
        <w:t>排放清单</w:t>
      </w:r>
    </w:p>
    <w:p>
      <w:pPr>
        <w:rPr>
          <w:highlight w:val="yellow"/>
        </w:rPr>
        <w:sectPr>
          <w:headerReference r:id="rId58" w:type="default"/>
          <w:headerReference r:id="rId59" w:type="even"/>
          <w:pgSz w:w="11906" w:h="16838"/>
          <w:pgMar w:top="1418" w:right="1418" w:bottom="1418" w:left="1588" w:header="851" w:footer="992" w:gutter="0"/>
          <w:pgNumType w:fmt="numberInDash"/>
          <w:cols w:space="425" w:num="1"/>
          <w:docGrid w:type="linesAndChars" w:linePitch="312" w:charSpace="0"/>
        </w:sectPr>
      </w:pPr>
    </w:p>
    <w:p>
      <w:pPr>
        <w:tabs>
          <w:tab w:val="left" w:pos="360"/>
          <w:tab w:val="left" w:pos="540"/>
        </w:tabs>
        <w:spacing w:line="360" w:lineRule="auto"/>
        <w:ind w:firstLine="480" w:firstLineChars="200"/>
        <w:rPr>
          <w:rFonts w:ascii="Times New Roman" w:hAnsi="Times New Roman" w:cs="Times New Roman"/>
          <w:b/>
          <w:sz w:val="24"/>
          <w:szCs w:val="21"/>
        </w:rPr>
      </w:pPr>
      <w:r>
        <w:rPr>
          <w:rFonts w:ascii="Times New Roman" w:hAnsi="Times New Roman" w:cs="Times New Roman"/>
          <w:sz w:val="24"/>
          <w:szCs w:val="24"/>
        </w:rPr>
        <w:t>本项目运营期污染物排放情况见</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_Ref27041924 \h  \* MERGEFORMAT </w:instrText>
      </w:r>
      <w:r>
        <w:rPr>
          <w:rFonts w:ascii="Times New Roman" w:hAnsi="Times New Roman" w:cs="Times New Roman"/>
          <w:sz w:val="24"/>
          <w:szCs w:val="24"/>
        </w:rPr>
        <w:fldChar w:fldCharType="separate"/>
      </w:r>
      <w:r>
        <w:rPr>
          <w:rFonts w:ascii="Times New Roman" w:hAnsi="Times New Roman" w:cs="Times New Roman"/>
          <w:sz w:val="24"/>
          <w:szCs w:val="24"/>
        </w:rPr>
        <w:t>表10.2</w:t>
      </w:r>
      <w:r>
        <w:rPr>
          <w:rFonts w:ascii="Times New Roman" w:hAnsi="Times New Roman" w:cs="Times New Roman"/>
          <w:sz w:val="24"/>
          <w:szCs w:val="24"/>
        </w:rPr>
        <w:noBreakHyphen/>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w:t>
      </w:r>
    </w:p>
    <w:p>
      <w:pPr>
        <w:pStyle w:val="22"/>
        <w:rPr>
          <w:szCs w:val="21"/>
          <w:highlight w:val="yellow"/>
        </w:rPr>
      </w:pPr>
      <w:bookmarkStart w:id="95" w:name="_Ref27041924"/>
      <w:r>
        <w:t>表</w:t>
      </w:r>
      <w:r>
        <w:fldChar w:fldCharType="begin"/>
      </w:r>
      <w:r>
        <w:instrText xml:space="preserve"> STYLEREF 2 \s </w:instrText>
      </w:r>
      <w:r>
        <w:fldChar w:fldCharType="separate"/>
      </w:r>
      <w:r>
        <w:t>10.2</w:t>
      </w:r>
      <w:r>
        <w:fldChar w:fldCharType="end"/>
      </w:r>
      <w:r>
        <w:noBreakHyphen/>
      </w:r>
      <w:r>
        <w:fldChar w:fldCharType="begin"/>
      </w:r>
      <w:r>
        <w:instrText xml:space="preserve"> SEQ 表 \* ARABIC \s 2 </w:instrText>
      </w:r>
      <w:r>
        <w:fldChar w:fldCharType="separate"/>
      </w:r>
      <w:r>
        <w:t>1</w:t>
      </w:r>
      <w:r>
        <w:fldChar w:fldCharType="end"/>
      </w:r>
      <w:bookmarkEnd w:id="95"/>
      <w:r>
        <w:rPr>
          <w:szCs w:val="21"/>
        </w:rPr>
        <w:t xml:space="preserve">  污染物排放清单</w:t>
      </w:r>
    </w:p>
    <w:tbl>
      <w:tblPr>
        <w:tblStyle w:val="25"/>
        <w:tblW w:w="139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567"/>
        <w:gridCol w:w="1274"/>
        <w:gridCol w:w="1691"/>
        <w:gridCol w:w="1059"/>
        <w:gridCol w:w="1188"/>
        <w:gridCol w:w="3630"/>
        <w:gridCol w:w="827"/>
        <w:gridCol w:w="33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411" w:type="dxa"/>
            <w:vMerge w:val="restart"/>
            <w:tcBorders>
              <w:top w:val="single" w:color="auto" w:sz="12"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类别</w:t>
            </w:r>
          </w:p>
        </w:tc>
        <w:tc>
          <w:tcPr>
            <w:tcW w:w="1841" w:type="dxa"/>
            <w:gridSpan w:val="2"/>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污染源</w:t>
            </w:r>
          </w:p>
        </w:tc>
        <w:tc>
          <w:tcPr>
            <w:tcW w:w="169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污染因子</w:t>
            </w:r>
          </w:p>
        </w:tc>
        <w:tc>
          <w:tcPr>
            <w:tcW w:w="2247"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排放情况</w:t>
            </w:r>
          </w:p>
        </w:tc>
        <w:tc>
          <w:tcPr>
            <w:tcW w:w="363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治理措施</w:t>
            </w:r>
          </w:p>
        </w:tc>
        <w:tc>
          <w:tcPr>
            <w:tcW w:w="827"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处理效率</w:t>
            </w:r>
            <w:r>
              <w:rPr>
                <w:rFonts w:hint="eastAsia" w:ascii="Times New Roman" w:hAnsi="Times New Roman" w:eastAsia="宋体" w:cs="Times New Roman"/>
                <w:szCs w:val="21"/>
              </w:rPr>
              <w:t>（%）</w:t>
            </w:r>
          </w:p>
        </w:tc>
        <w:tc>
          <w:tcPr>
            <w:tcW w:w="3325" w:type="dxa"/>
            <w:vMerge w:val="restart"/>
            <w:tcBorders>
              <w:top w:val="single" w:color="auto" w:sz="12"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预期目标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tblHeader/>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69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浓度</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排放量</w:t>
            </w:r>
          </w:p>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8" w:hRule="atLeast"/>
          <w:jc w:val="center"/>
        </w:trPr>
        <w:tc>
          <w:tcPr>
            <w:tcW w:w="411" w:type="dxa"/>
            <w:vMerge w:val="restart"/>
            <w:tcBorders>
              <w:top w:val="single" w:color="auto" w:sz="4" w:space="0"/>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废气</w:t>
            </w:r>
          </w:p>
        </w:tc>
        <w:tc>
          <w:tcPr>
            <w:tcW w:w="1841" w:type="dxa"/>
            <w:gridSpan w:val="2"/>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采暖</w:t>
            </w:r>
            <w:r>
              <w:rPr>
                <w:rFonts w:ascii="Times New Roman" w:hAnsi="Times New Roman" w:eastAsia="宋体" w:cs="Times New Roman"/>
                <w:color w:val="FF0000"/>
                <w:szCs w:val="21"/>
              </w:rPr>
              <w:t>锅炉</w:t>
            </w:r>
            <w:r>
              <w:rPr>
                <w:rFonts w:hint="eastAsia" w:ascii="Times New Roman" w:hAnsi="Times New Roman" w:eastAsia="宋体" w:cs="Times New Roman"/>
                <w:color w:val="FF0000"/>
                <w:szCs w:val="21"/>
              </w:rPr>
              <w:t>1</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1059" w:type="dxa"/>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1188" w:type="dxa"/>
            <w:tcBorders>
              <w:top w:val="single" w:color="auto" w:sz="4" w:space="0"/>
              <w:left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363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heme="majorBidi"/>
                <w:bCs/>
                <w:color w:val="FF0000"/>
                <w:kern w:val="28"/>
                <w:szCs w:val="32"/>
              </w:rPr>
              <w:t>低氮</w:t>
            </w:r>
            <w:r>
              <w:rPr>
                <w:rFonts w:ascii="Times New Roman" w:hAnsi="Times New Roman" w:eastAsia="宋体" w:cstheme="majorBidi"/>
                <w:bCs/>
                <w:color w:val="FF0000"/>
                <w:kern w:val="28"/>
                <w:szCs w:val="32"/>
              </w:rPr>
              <w:t>燃烧</w:t>
            </w:r>
            <w:r>
              <w:rPr>
                <w:rFonts w:hint="eastAsia" w:ascii="Times New Roman" w:hAnsi="Times New Roman" w:eastAsia="宋体" w:cstheme="majorBidi"/>
                <w:bCs/>
                <w:color w:val="FF0000"/>
                <w:kern w:val="28"/>
                <w:szCs w:val="32"/>
              </w:rPr>
              <w:t>+</w:t>
            </w:r>
            <w:r>
              <w:rPr>
                <w:rFonts w:ascii="Times New Roman" w:hAnsi="Times New Roman" w:eastAsia="宋体" w:cstheme="majorBidi"/>
                <w:bCs/>
                <w:color w:val="FF0000"/>
                <w:kern w:val="28"/>
                <w:szCs w:val="32"/>
              </w:rPr>
              <w:t>1</w:t>
            </w:r>
            <w:r>
              <w:rPr>
                <w:rFonts w:hint="eastAsia" w:ascii="Times New Roman" w:hAnsi="Times New Roman" w:eastAsia="宋体" w:cstheme="majorBidi"/>
                <w:bCs/>
                <w:color w:val="FF0000"/>
                <w:kern w:val="28"/>
                <w:szCs w:val="32"/>
              </w:rPr>
              <w:t>根</w:t>
            </w:r>
            <w:r>
              <w:rPr>
                <w:rFonts w:ascii="Times New Roman" w:hAnsi="Times New Roman" w:eastAsia="宋体" w:cstheme="majorBidi"/>
                <w:bCs/>
                <w:color w:val="FF0000"/>
                <w:kern w:val="28"/>
                <w:szCs w:val="32"/>
              </w:rPr>
              <w:t>60m高</w:t>
            </w:r>
            <w:r>
              <w:rPr>
                <w:rFonts w:hint="eastAsia" w:ascii="Times New Roman" w:hAnsi="Times New Roman" w:eastAsia="宋体" w:cstheme="majorBidi"/>
                <w:bCs/>
                <w:color w:val="FF0000"/>
                <w:kern w:val="28"/>
                <w:szCs w:val="32"/>
              </w:rPr>
              <w:t>排气筒</w:t>
            </w:r>
          </w:p>
        </w:tc>
        <w:tc>
          <w:tcPr>
            <w:tcW w:w="82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r>
              <w:rPr>
                <w:rFonts w:ascii="Times New Roman" w:hAnsi="Times New Roman" w:eastAsia="宋体" w:cs="Times New Roman"/>
                <w:color w:val="FF0000"/>
                <w:szCs w:val="21"/>
              </w:rPr>
              <w:t>/</w:t>
            </w:r>
          </w:p>
        </w:tc>
        <w:tc>
          <w:tcPr>
            <w:tcW w:w="3325" w:type="dxa"/>
            <w:vMerge w:val="restart"/>
            <w:tcBorders>
              <w:top w:val="single" w:color="auto" w:sz="4" w:space="0"/>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《锅炉大气污染物排放标准》（DB61/1226-2018）表3燃气锅炉限值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059" w:type="dxa"/>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1188" w:type="dxa"/>
            <w:tcBorders>
              <w:left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3630"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NO</w:t>
            </w:r>
            <w:r>
              <w:rPr>
                <w:rFonts w:hint="eastAsia" w:ascii="Times New Roman" w:hAnsi="Times New Roman" w:eastAsia="宋体" w:cs="Times New Roman"/>
                <w:kern w:val="0"/>
                <w:szCs w:val="20"/>
                <w:vertAlign w:val="subscript"/>
              </w:rPr>
              <w:t>x</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363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采暖</w:t>
            </w:r>
            <w:r>
              <w:rPr>
                <w:rFonts w:ascii="Times New Roman" w:hAnsi="Times New Roman" w:eastAsia="宋体" w:cs="Times New Roman"/>
                <w:color w:val="FF0000"/>
                <w:szCs w:val="21"/>
              </w:rPr>
              <w:t>锅炉</w:t>
            </w:r>
            <w:r>
              <w:rPr>
                <w:rFonts w:hint="eastAsia" w:ascii="Times New Roman" w:hAnsi="Times New Roman" w:eastAsia="宋体" w:cs="Times New Roman"/>
                <w:color w:val="FF0000"/>
                <w:szCs w:val="21"/>
              </w:rPr>
              <w:t>2</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0.052</w:t>
            </w:r>
          </w:p>
        </w:tc>
        <w:tc>
          <w:tcPr>
            <w:tcW w:w="3630" w:type="dxa"/>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r>
              <w:rPr>
                <w:rFonts w:hint="eastAsia" w:ascii="Times New Roman" w:hAnsi="Times New Roman" w:eastAsia="宋体" w:cstheme="majorBidi"/>
                <w:bCs/>
                <w:color w:val="FF0000"/>
                <w:kern w:val="28"/>
                <w:szCs w:val="32"/>
              </w:rPr>
              <w:t>低氮</w:t>
            </w:r>
            <w:r>
              <w:rPr>
                <w:rFonts w:ascii="Times New Roman" w:hAnsi="Times New Roman" w:eastAsia="宋体" w:cstheme="majorBidi"/>
                <w:bCs/>
                <w:color w:val="FF0000"/>
                <w:kern w:val="28"/>
                <w:szCs w:val="32"/>
              </w:rPr>
              <w:t>燃烧</w:t>
            </w:r>
            <w:r>
              <w:rPr>
                <w:rFonts w:hint="eastAsia" w:ascii="Times New Roman" w:hAnsi="Times New Roman" w:eastAsia="宋体" w:cstheme="majorBidi"/>
                <w:bCs/>
                <w:color w:val="FF0000"/>
                <w:kern w:val="28"/>
                <w:szCs w:val="32"/>
              </w:rPr>
              <w:t>+</w:t>
            </w:r>
            <w:r>
              <w:rPr>
                <w:rFonts w:ascii="Times New Roman" w:hAnsi="Times New Roman" w:eastAsia="宋体" w:cstheme="majorBidi"/>
                <w:bCs/>
                <w:color w:val="FF0000"/>
                <w:kern w:val="28"/>
                <w:szCs w:val="32"/>
              </w:rPr>
              <w:t>1</w:t>
            </w:r>
            <w:r>
              <w:rPr>
                <w:rFonts w:hint="eastAsia" w:ascii="Times New Roman" w:hAnsi="Times New Roman" w:eastAsia="宋体" w:cstheme="majorBidi"/>
                <w:bCs/>
                <w:color w:val="FF0000"/>
                <w:kern w:val="28"/>
                <w:szCs w:val="32"/>
              </w:rPr>
              <w:t>根</w:t>
            </w:r>
            <w:r>
              <w:rPr>
                <w:rFonts w:ascii="Times New Roman" w:hAnsi="Times New Roman" w:eastAsia="宋体" w:cstheme="majorBidi"/>
                <w:bCs/>
                <w:color w:val="FF0000"/>
                <w:kern w:val="28"/>
                <w:szCs w:val="32"/>
              </w:rPr>
              <w:t>60m高</w:t>
            </w:r>
            <w:r>
              <w:rPr>
                <w:rFonts w:hint="eastAsia" w:ascii="Times New Roman" w:hAnsi="Times New Roman" w:eastAsia="宋体" w:cstheme="majorBidi"/>
                <w:bCs/>
                <w:color w:val="FF0000"/>
                <w:kern w:val="28"/>
                <w:szCs w:val="32"/>
              </w:rPr>
              <w:t>排气筒</w:t>
            </w:r>
          </w:p>
        </w:tc>
        <w:tc>
          <w:tcPr>
            <w:tcW w:w="827" w:type="dxa"/>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0.086</w:t>
            </w:r>
          </w:p>
        </w:tc>
        <w:tc>
          <w:tcPr>
            <w:tcW w:w="3630"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NO</w:t>
            </w:r>
            <w:r>
              <w:rPr>
                <w:rFonts w:hint="eastAsia" w:ascii="Times New Roman" w:hAnsi="Times New Roman" w:eastAsia="宋体" w:cs="Times New Roman"/>
                <w:kern w:val="0"/>
                <w:szCs w:val="20"/>
                <w:vertAlign w:val="subscript"/>
              </w:rPr>
              <w:t>x</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0.130</w:t>
            </w:r>
          </w:p>
        </w:tc>
        <w:tc>
          <w:tcPr>
            <w:tcW w:w="363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热水</w:t>
            </w:r>
            <w:r>
              <w:rPr>
                <w:rFonts w:ascii="Times New Roman" w:hAnsi="Times New Roman" w:eastAsia="宋体" w:cs="Times New Roman"/>
                <w:color w:val="FF0000"/>
                <w:szCs w:val="21"/>
              </w:rPr>
              <w:t>锅炉</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颗粒物</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11.14</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0.059</w:t>
            </w:r>
          </w:p>
        </w:tc>
        <w:tc>
          <w:tcPr>
            <w:tcW w:w="3630" w:type="dxa"/>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r>
              <w:rPr>
                <w:rFonts w:hint="eastAsia" w:ascii="Times New Roman" w:hAnsi="Times New Roman" w:eastAsia="宋体" w:cstheme="majorBidi"/>
                <w:bCs/>
                <w:color w:val="FF0000"/>
                <w:kern w:val="28"/>
                <w:szCs w:val="32"/>
              </w:rPr>
              <w:t>低氮</w:t>
            </w:r>
            <w:r>
              <w:rPr>
                <w:rFonts w:ascii="Times New Roman" w:hAnsi="Times New Roman" w:eastAsia="宋体" w:cstheme="majorBidi"/>
                <w:bCs/>
                <w:color w:val="FF0000"/>
                <w:kern w:val="28"/>
                <w:szCs w:val="32"/>
              </w:rPr>
              <w:t>燃烧</w:t>
            </w:r>
            <w:r>
              <w:rPr>
                <w:rFonts w:hint="eastAsia" w:ascii="Times New Roman" w:hAnsi="Times New Roman" w:eastAsia="宋体" w:cstheme="majorBidi"/>
                <w:bCs/>
                <w:color w:val="FF0000"/>
                <w:kern w:val="28"/>
                <w:szCs w:val="32"/>
              </w:rPr>
              <w:t>+</w:t>
            </w:r>
            <w:r>
              <w:rPr>
                <w:rFonts w:ascii="Times New Roman" w:hAnsi="Times New Roman" w:eastAsia="宋体" w:cstheme="majorBidi"/>
                <w:bCs/>
                <w:color w:val="FF0000"/>
                <w:kern w:val="28"/>
                <w:szCs w:val="32"/>
              </w:rPr>
              <w:t>1</w:t>
            </w:r>
            <w:r>
              <w:rPr>
                <w:rFonts w:hint="eastAsia" w:ascii="Times New Roman" w:hAnsi="Times New Roman" w:eastAsia="宋体" w:cstheme="majorBidi"/>
                <w:bCs/>
                <w:color w:val="FF0000"/>
                <w:kern w:val="28"/>
                <w:szCs w:val="32"/>
              </w:rPr>
              <w:t>根</w:t>
            </w:r>
            <w:r>
              <w:rPr>
                <w:rFonts w:ascii="Times New Roman" w:hAnsi="Times New Roman" w:eastAsia="宋体" w:cstheme="majorBidi"/>
                <w:bCs/>
                <w:color w:val="FF0000"/>
                <w:kern w:val="28"/>
                <w:szCs w:val="32"/>
              </w:rPr>
              <w:t>60m高</w:t>
            </w:r>
            <w:r>
              <w:rPr>
                <w:rFonts w:hint="eastAsia" w:ascii="Times New Roman" w:hAnsi="Times New Roman" w:eastAsia="宋体" w:cstheme="majorBidi"/>
                <w:bCs/>
                <w:color w:val="FF0000"/>
                <w:kern w:val="28"/>
                <w:szCs w:val="32"/>
              </w:rPr>
              <w:t>排气筒</w:t>
            </w:r>
          </w:p>
        </w:tc>
        <w:tc>
          <w:tcPr>
            <w:tcW w:w="827" w:type="dxa"/>
            <w:vMerge w:val="restart"/>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18.56</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0.099</w:t>
            </w:r>
          </w:p>
        </w:tc>
        <w:tc>
          <w:tcPr>
            <w:tcW w:w="3630"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3325" w:type="dxa"/>
            <w:vMerge w:val="continue"/>
            <w:tcBorders>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7"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NO</w:t>
            </w:r>
            <w:r>
              <w:rPr>
                <w:rFonts w:hint="eastAsia" w:ascii="Times New Roman" w:hAnsi="Times New Roman" w:eastAsia="宋体" w:cs="Times New Roman"/>
                <w:kern w:val="0"/>
                <w:szCs w:val="20"/>
                <w:vertAlign w:val="subscript"/>
              </w:rPr>
              <w:t>x</w:t>
            </w:r>
          </w:p>
        </w:tc>
        <w:tc>
          <w:tcPr>
            <w:tcW w:w="1059"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28.12</w:t>
            </w:r>
          </w:p>
        </w:tc>
        <w:tc>
          <w:tcPr>
            <w:tcW w:w="1188" w:type="dxa"/>
            <w:tcBorders>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color w:val="FF0000"/>
                <w:kern w:val="0"/>
                <w:szCs w:val="20"/>
              </w:rPr>
              <w:t>0.149</w:t>
            </w:r>
          </w:p>
        </w:tc>
        <w:tc>
          <w:tcPr>
            <w:tcW w:w="363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82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szCs w:val="21"/>
                <w:highlight w:val="yellow"/>
              </w:rPr>
            </w:pPr>
          </w:p>
        </w:tc>
        <w:tc>
          <w:tcPr>
            <w:tcW w:w="3325" w:type="dxa"/>
            <w:vMerge w:val="continue"/>
            <w:tcBorders>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食堂</w:t>
            </w:r>
          </w:p>
        </w:tc>
        <w:tc>
          <w:tcPr>
            <w:tcW w:w="1274"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燃料废气</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N</w:t>
            </w:r>
            <w:r>
              <w:t>O</w:t>
            </w:r>
            <w:r>
              <w:rPr>
                <w:vertAlign w:val="subscript"/>
              </w:rPr>
              <w:t>x</w:t>
            </w:r>
            <w:r>
              <w:rPr>
                <w:rFonts w:hint="eastAsia"/>
              </w:rPr>
              <w:t xml:space="preserve"> </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0.143</w:t>
            </w:r>
          </w:p>
        </w:tc>
        <w:tc>
          <w:tcPr>
            <w:tcW w:w="363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kern w:val="0"/>
                <w:szCs w:val="20"/>
              </w:rPr>
            </w:pPr>
            <w:r>
              <w:rPr>
                <w:rFonts w:hint="eastAsia" w:ascii="Times New Roman" w:hAnsi="Times New Roman" w:eastAsia="宋体" w:cs="Times New Roman"/>
                <w:kern w:val="0"/>
                <w:szCs w:val="20"/>
              </w:rPr>
              <w:t>油烟净化装置处理后经</w:t>
            </w:r>
            <w:r>
              <w:rPr>
                <w:rFonts w:ascii="Times New Roman" w:hAnsi="Times New Roman" w:eastAsia="宋体" w:cs="Times New Roman"/>
                <w:kern w:val="0"/>
                <w:szCs w:val="20"/>
              </w:rPr>
              <w:t>烟道引至楼顶排放</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restart"/>
            <w:tcBorders>
              <w:top w:val="single" w:color="auto" w:sz="4" w:space="0"/>
              <w:left w:val="single" w:color="auto" w:sz="4" w:space="0"/>
              <w:right w:val="single" w:color="auto" w:sz="12" w:space="0"/>
            </w:tcBorders>
            <w:shd w:val="clear" w:color="auto" w:fill="auto"/>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SO</w:t>
            </w:r>
            <w:r>
              <w:rPr>
                <w:vertAlign w:val="subscript"/>
              </w:rPr>
              <w:t>2</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0.015</w:t>
            </w:r>
          </w:p>
        </w:tc>
        <w:tc>
          <w:tcPr>
            <w:tcW w:w="3630"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kern w:val="0"/>
                <w:szCs w:val="20"/>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continue"/>
            <w:tcBorders>
              <w:left w:val="single" w:color="auto" w:sz="4" w:space="0"/>
              <w:right w:val="single" w:color="auto" w:sz="12" w:space="0"/>
            </w:tcBorders>
            <w:shd w:val="clear" w:color="auto" w:fill="auto"/>
            <w:vAlign w:val="center"/>
          </w:tcPr>
          <w:p>
            <w:pPr>
              <w:adjustRightInd w:val="0"/>
              <w:snapToGrid w:val="0"/>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7"/>
            </w:pPr>
            <w:r>
              <w:rPr>
                <w:rFonts w:hint="eastAsia"/>
              </w:rPr>
              <w:t>烟尘</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0.011</w:t>
            </w:r>
          </w:p>
        </w:tc>
        <w:tc>
          <w:tcPr>
            <w:tcW w:w="3630"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kern w:val="0"/>
                <w:szCs w:val="20"/>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continue"/>
            <w:tcBorders>
              <w:left w:val="single" w:color="auto" w:sz="4" w:space="0"/>
              <w:bottom w:val="single" w:color="auto" w:sz="4" w:space="0"/>
              <w:right w:val="single" w:color="auto" w:sz="12" w:space="0"/>
            </w:tcBorders>
            <w:shd w:val="clear" w:color="auto" w:fill="auto"/>
            <w:vAlign w:val="center"/>
          </w:tcPr>
          <w:p>
            <w:pPr>
              <w:adjustRightInd w:val="0"/>
              <w:snapToGrid w:val="0"/>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油烟</w:t>
            </w:r>
            <w:r>
              <w:rPr>
                <w:rFonts w:ascii="Times New Roman" w:hAnsi="Times New Roman" w:eastAsia="宋体" w:cs="Times New Roman"/>
                <w:szCs w:val="21"/>
              </w:rPr>
              <w:t>废气</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油烟</w:t>
            </w:r>
            <w:r>
              <w:rPr>
                <w:rFonts w:ascii="Times New Roman" w:hAnsi="Times New Roman" w:eastAsia="宋体" w:cs="Times New Roman"/>
                <w:szCs w:val="21"/>
              </w:rPr>
              <w:t>废气</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0.05</w:t>
            </w:r>
          </w:p>
        </w:tc>
        <w:tc>
          <w:tcPr>
            <w:tcW w:w="363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color w:val="FF0000"/>
                <w:kern w:val="0"/>
                <w:szCs w:val="20"/>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75</w:t>
            </w:r>
          </w:p>
        </w:tc>
        <w:tc>
          <w:tcPr>
            <w:tcW w:w="3325"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处理站恶臭</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pPr>
            <w:r>
              <w:rPr>
                <w:rFonts w:hint="eastAsia"/>
              </w:rPr>
              <w:t>NH</w:t>
            </w:r>
            <w:r>
              <w:rPr>
                <w:vertAlign w:val="subscript"/>
              </w:rPr>
              <w:t>3</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pPr>
            <w:r>
              <w:rPr>
                <w:rFonts w:hint="eastAsia"/>
              </w:rPr>
              <w:t>2.6</w:t>
            </w:r>
            <w:r>
              <w:t>48kg/a</w:t>
            </w:r>
          </w:p>
        </w:tc>
        <w:tc>
          <w:tcPr>
            <w:tcW w:w="36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项目污水处理池采用地埋式，并加盖板密闭，加强污水处理站的运行操作管理，保证设备的正常运行，定期喷洒生物除臭剂</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《医疗机构水污染物排放标准》（GB 18466-2005）表3的标准要求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8"/>
            </w:pPr>
            <w:r>
              <w:rPr>
                <w:rFonts w:hint="eastAsia"/>
              </w:rPr>
              <w:t>H</w:t>
            </w:r>
            <w:r>
              <w:rPr>
                <w:rFonts w:hint="eastAsia"/>
                <w:vertAlign w:val="subscript"/>
              </w:rPr>
              <w:t>2</w:t>
            </w:r>
            <w:r>
              <w:rPr>
                <w:rFonts w:hint="eastAsia"/>
              </w:rPr>
              <w:t>S</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pPr>
            <w:r>
              <w:rPr>
                <w:rFonts w:hint="eastAsia"/>
              </w:rPr>
              <w:t>0.102</w:t>
            </w:r>
            <w:r>
              <w:t>kg/a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备用</w:t>
            </w:r>
            <w:r>
              <w:rPr>
                <w:rFonts w:ascii="Times New Roman" w:hAnsi="Times New Roman" w:eastAsia="宋体" w:cs="Times New Roman"/>
                <w:szCs w:val="21"/>
              </w:rPr>
              <w:t>发电机废气</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烟尘</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0.003</w:t>
            </w:r>
          </w:p>
        </w:tc>
        <w:tc>
          <w:tcPr>
            <w:tcW w:w="36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烟气收集系统，废气经专用排气</w:t>
            </w:r>
            <w:r>
              <w:rPr>
                <w:rFonts w:ascii="Times New Roman" w:hAnsi="Times New Roman" w:eastAsia="宋体" w:cs="Times New Roman"/>
                <w:szCs w:val="21"/>
              </w:rPr>
              <w:t>管道</w:t>
            </w:r>
            <w:r>
              <w:rPr>
                <w:rFonts w:hint="eastAsia" w:ascii="Times New Roman" w:hAnsi="Times New Roman" w:eastAsia="宋体" w:cs="Times New Roman"/>
                <w:szCs w:val="21"/>
              </w:rPr>
              <w:t>引至</w:t>
            </w:r>
            <w:r>
              <w:rPr>
                <w:rFonts w:ascii="Times New Roman" w:hAnsi="Times New Roman" w:eastAsia="宋体" w:cs="Times New Roman"/>
                <w:szCs w:val="21"/>
              </w:rPr>
              <w:t>楼顶</w:t>
            </w:r>
            <w:r>
              <w:rPr>
                <w:rFonts w:hint="eastAsia" w:ascii="Times New Roman" w:hAnsi="Times New Roman" w:eastAsia="宋体" w:cs="Times New Roman"/>
                <w:szCs w:val="21"/>
              </w:rPr>
              <w:t>排出，背向人群易聚集处。</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SO</w:t>
            </w:r>
            <w:r>
              <w:rPr>
                <w:rFonts w:hint="eastAsia" w:ascii="Times New Roman" w:hAnsi="Times New Roman" w:eastAsia="宋体" w:cs="Times New Roman"/>
                <w:kern w:val="0"/>
                <w:szCs w:val="20"/>
                <w:vertAlign w:val="subscript"/>
              </w:rPr>
              <w:t>2</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rPr>
            </w:pPr>
            <w:r>
              <w:rPr>
                <w:rFonts w:hint="eastAsia" w:ascii="Times New Roman" w:hAnsi="Times New Roman" w:eastAsia="宋体" w:cs="Times New Roman"/>
                <w:kern w:val="0"/>
              </w:rPr>
              <w:t>/</w:t>
            </w:r>
          </w:p>
        </w:tc>
        <w:tc>
          <w:tcPr>
            <w:tcW w:w="1188"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340"/>
              </w:tabs>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0.002</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废水</w:t>
            </w:r>
          </w:p>
        </w:tc>
        <w:tc>
          <w:tcPr>
            <w:tcW w:w="184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综合废水</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总</w:t>
            </w:r>
            <w:r>
              <w:rPr>
                <w:rFonts w:ascii="Times New Roman" w:hAnsi="Times New Roman" w:eastAsia="宋体" w:cs="Times New Roman"/>
                <w:szCs w:val="21"/>
              </w:rPr>
              <w:t>污水量</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71291.8m</w:t>
            </w:r>
            <w:r>
              <w:rPr>
                <w:rFonts w:ascii="Times New Roman" w:hAnsi="Times New Roman" w:eastAsia="宋体" w:cs="Times New Roman"/>
                <w:szCs w:val="21"/>
                <w:vertAlign w:val="superscript"/>
              </w:rPr>
              <w:t>3</w:t>
            </w:r>
            <w:r>
              <w:rPr>
                <w:rFonts w:ascii="Times New Roman" w:hAnsi="Times New Roman" w:eastAsia="宋体" w:cs="Times New Roman"/>
                <w:szCs w:val="21"/>
              </w:rPr>
              <w:t>/a</w:t>
            </w:r>
          </w:p>
        </w:tc>
        <w:tc>
          <w:tcPr>
            <w:tcW w:w="36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自建污水处理站，处理规模</w:t>
            </w:r>
            <w:r>
              <w:rPr>
                <w:rFonts w:ascii="Times New Roman" w:hAnsi="Times New Roman" w:eastAsia="宋体" w:cs="Times New Roman"/>
                <w:szCs w:val="21"/>
              </w:rPr>
              <w:t>250</w:t>
            </w:r>
            <w:r>
              <w:rPr>
                <w:rFonts w:hint="eastAsia" w:ascii="Times New Roman" w:hAnsi="Times New Roman" w:eastAsia="宋体" w:cs="Times New Roman"/>
                <w:szCs w:val="21"/>
              </w:rPr>
              <w:t>m</w:t>
            </w:r>
            <w:r>
              <w:rPr>
                <w:rFonts w:hint="eastAsia" w:ascii="Times New Roman" w:hAnsi="Times New Roman" w:eastAsia="宋体" w:cs="Times New Roman"/>
                <w:szCs w:val="21"/>
                <w:vertAlign w:val="superscript"/>
              </w:rPr>
              <w:t>3</w:t>
            </w:r>
            <w:r>
              <w:rPr>
                <w:rFonts w:hint="eastAsia" w:ascii="Times New Roman" w:hAnsi="Times New Roman" w:eastAsia="宋体" w:cs="Times New Roman"/>
                <w:szCs w:val="21"/>
              </w:rPr>
              <w:t>/d，采用“混凝沉淀+次氯酸钠消毒”处理工艺</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3325"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《医疗机构水污染物排放标准》（GB18466-2005）表2中预处理标准限值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COD</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180mg/L</w:t>
            </w:r>
          </w:p>
        </w:tc>
        <w:tc>
          <w:tcPr>
            <w:tcW w:w="1188" w:type="dxa"/>
            <w:tcBorders>
              <w:top w:val="single" w:color="auto" w:sz="4" w:space="0"/>
              <w:left w:val="single" w:color="auto" w:sz="4" w:space="0"/>
              <w:bottom w:val="single" w:color="auto" w:sz="4" w:space="0"/>
              <w:right w:val="single" w:color="auto" w:sz="4" w:space="0"/>
            </w:tcBorders>
            <w:shd w:val="clear" w:color="auto" w:fill="auto"/>
          </w:tcPr>
          <w:p>
            <w:pPr>
              <w:pStyle w:val="47"/>
            </w:pPr>
            <w:r>
              <w:t>12.83t/a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BOD</w:t>
            </w:r>
            <w:r>
              <w:rPr>
                <w:rFonts w:ascii="Times New Roman" w:hAnsi="Times New Roman" w:eastAsia="宋体" w:cs="Times New Roman"/>
                <w:szCs w:val="21"/>
                <w:vertAlign w:val="subscript"/>
              </w:rPr>
              <w:t>5</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90mg/L</w:t>
            </w:r>
          </w:p>
        </w:tc>
        <w:tc>
          <w:tcPr>
            <w:tcW w:w="1188" w:type="dxa"/>
            <w:tcBorders>
              <w:top w:val="single" w:color="auto" w:sz="4" w:space="0"/>
              <w:left w:val="single" w:color="auto" w:sz="4" w:space="0"/>
              <w:bottom w:val="single" w:color="auto" w:sz="4" w:space="0"/>
              <w:right w:val="single" w:color="auto" w:sz="4" w:space="0"/>
            </w:tcBorders>
            <w:shd w:val="clear" w:color="auto" w:fill="auto"/>
          </w:tcPr>
          <w:p>
            <w:pPr>
              <w:pStyle w:val="47"/>
            </w:pPr>
            <w:r>
              <w:t>6.42t/a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40</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SS</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24 mg/L</w:t>
            </w:r>
          </w:p>
        </w:tc>
        <w:tc>
          <w:tcPr>
            <w:tcW w:w="1188" w:type="dxa"/>
            <w:tcBorders>
              <w:top w:val="single" w:color="auto" w:sz="4" w:space="0"/>
              <w:left w:val="single" w:color="auto" w:sz="4" w:space="0"/>
              <w:bottom w:val="single" w:color="auto" w:sz="4" w:space="0"/>
              <w:right w:val="single" w:color="auto" w:sz="4" w:space="0"/>
            </w:tcBorders>
            <w:shd w:val="clear" w:color="auto" w:fill="auto"/>
          </w:tcPr>
          <w:p>
            <w:pPr>
              <w:pStyle w:val="47"/>
            </w:pPr>
            <w:r>
              <w:t>1.71 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80</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30mg/L</w:t>
            </w:r>
          </w:p>
        </w:tc>
        <w:tc>
          <w:tcPr>
            <w:tcW w:w="1188" w:type="dxa"/>
            <w:tcBorders>
              <w:top w:val="single" w:color="auto" w:sz="4" w:space="0"/>
              <w:left w:val="single" w:color="auto" w:sz="4" w:space="0"/>
              <w:bottom w:val="single" w:color="auto" w:sz="4" w:space="0"/>
              <w:right w:val="single" w:color="auto" w:sz="4" w:space="0"/>
            </w:tcBorders>
            <w:shd w:val="clear" w:color="auto" w:fill="auto"/>
          </w:tcPr>
          <w:p>
            <w:pPr>
              <w:pStyle w:val="47"/>
            </w:pPr>
            <w:r>
              <w:t>2.14 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841"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粪</w:t>
            </w:r>
            <w:r>
              <w:rPr>
                <w:rFonts w:ascii="Times New Roman" w:hAnsi="Times New Roman" w:eastAsia="宋体" w:cs="Times New Roman"/>
                <w:szCs w:val="21"/>
              </w:rPr>
              <w:t>大肠菌群</w:t>
            </w:r>
          </w:p>
        </w:tc>
        <w:tc>
          <w:tcPr>
            <w:tcW w:w="105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500个/</w:t>
            </w:r>
            <w:r>
              <w:rPr>
                <w:rFonts w:ascii="Times New Roman" w:hAnsi="Times New Roman" w:eastAsia="宋体" w:cs="Times New Roman"/>
                <w:kern w:val="0"/>
                <w:szCs w:val="21"/>
              </w:rPr>
              <w:t>L</w:t>
            </w:r>
          </w:p>
        </w:tc>
        <w:tc>
          <w:tcPr>
            <w:tcW w:w="1188" w:type="dxa"/>
            <w:tcBorders>
              <w:top w:val="single" w:color="auto" w:sz="4" w:space="0"/>
              <w:left w:val="single" w:color="auto" w:sz="4" w:space="0"/>
              <w:bottom w:val="single" w:color="auto" w:sz="4" w:space="0"/>
              <w:right w:val="single" w:color="auto" w:sz="4" w:space="0"/>
            </w:tcBorders>
            <w:shd w:val="clear" w:color="auto" w:fill="auto"/>
          </w:tcPr>
          <w:p>
            <w:pPr>
              <w:pStyle w:val="47"/>
            </w:pPr>
            <w:r>
              <w:rPr>
                <w:szCs w:val="21"/>
              </w:rPr>
              <w:t>3.56</w:t>
            </w:r>
            <w:r>
              <w:rPr>
                <w:snapToGrid w:val="0"/>
                <w:spacing w:val="4"/>
                <w:w w:val="90"/>
                <w:szCs w:val="21"/>
              </w:rPr>
              <w:t>×10</w:t>
            </w:r>
            <w:r>
              <w:rPr>
                <w:snapToGrid w:val="0"/>
                <w:spacing w:val="4"/>
                <w:w w:val="90"/>
                <w:szCs w:val="21"/>
                <w:vertAlign w:val="superscript"/>
              </w:rPr>
              <w:t>10</w:t>
            </w:r>
            <w:r>
              <w:rPr>
                <w:szCs w:val="21"/>
              </w:rPr>
              <w:t>个</w:t>
            </w:r>
            <w:r>
              <w:rPr>
                <w:rFonts w:hint="eastAsia"/>
                <w:szCs w:val="21"/>
              </w:rPr>
              <w:t>/a</w:t>
            </w:r>
          </w:p>
        </w:tc>
        <w:tc>
          <w:tcPr>
            <w:tcW w:w="36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99.9</w:t>
            </w: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restart"/>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固废</w:t>
            </w:r>
          </w:p>
        </w:tc>
        <w:tc>
          <w:tcPr>
            <w:tcW w:w="56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危险</w:t>
            </w:r>
            <w:r>
              <w:rPr>
                <w:rFonts w:ascii="Times New Roman" w:hAnsi="Times New Roman" w:eastAsia="宋体" w:cs="Times New Roman"/>
                <w:spacing w:val="-4"/>
                <w:szCs w:val="21"/>
              </w:rPr>
              <w:t>废物</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医护</w:t>
            </w:r>
            <w:r>
              <w:rPr>
                <w:rFonts w:ascii="Times New Roman" w:hAnsi="Times New Roman" w:eastAsia="宋体" w:cs="Times New Roman"/>
                <w:szCs w:val="20"/>
              </w:rPr>
              <w:t>工作</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医疗</w:t>
            </w:r>
            <w:r>
              <w:rPr>
                <w:rFonts w:ascii="Times New Roman" w:hAnsi="Times New Roman" w:eastAsia="宋体" w:cs="Times New Roman"/>
                <w:szCs w:val="21"/>
              </w:rPr>
              <w:t>废物</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118.63t/a</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4"/>
                <w:szCs w:val="21"/>
                <w:highlight w:val="yellow"/>
              </w:rPr>
            </w:pPr>
            <w:r>
              <w:rPr>
                <w:rFonts w:hint="eastAsia" w:ascii="Times New Roman" w:hAnsi="Times New Roman" w:eastAsia="宋体" w:cs="Times New Roman"/>
                <w:spacing w:val="-4"/>
                <w:szCs w:val="21"/>
              </w:rPr>
              <w:t>医疗</w:t>
            </w:r>
            <w:r>
              <w:rPr>
                <w:rFonts w:ascii="Times New Roman" w:hAnsi="Times New Roman" w:eastAsia="宋体" w:cs="Times New Roman"/>
                <w:spacing w:val="-4"/>
                <w:szCs w:val="21"/>
              </w:rPr>
              <w:t>废物暂存间暂存，</w:t>
            </w:r>
            <w:r>
              <w:rPr>
                <w:rFonts w:hint="eastAsia" w:ascii="Times New Roman" w:hAnsi="Times New Roman" w:eastAsia="宋体" w:cs="Times New Roman"/>
                <w:spacing w:val="-4"/>
                <w:szCs w:val="21"/>
              </w:rPr>
              <w:t>交有资质</w:t>
            </w:r>
            <w:r>
              <w:rPr>
                <w:rFonts w:ascii="Times New Roman" w:hAnsi="Times New Roman" w:eastAsia="宋体" w:cs="Times New Roman"/>
                <w:spacing w:val="-4"/>
                <w:szCs w:val="21"/>
              </w:rPr>
              <w:t>单位处置</w:t>
            </w:r>
          </w:p>
        </w:tc>
        <w:tc>
          <w:tcPr>
            <w:tcW w:w="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100%</w:t>
            </w:r>
          </w:p>
        </w:tc>
        <w:tc>
          <w:tcPr>
            <w:tcW w:w="3325" w:type="dxa"/>
            <w:vMerge w:val="restart"/>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《危险废物贮存污染控制标准》（GB18597-2001）及年修改单相关要求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4"/>
                <w:szCs w:val="21"/>
                <w:highlight w:val="yellow"/>
              </w:rPr>
            </w:pP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污水</w:t>
            </w:r>
            <w:r>
              <w:rPr>
                <w:rFonts w:ascii="Times New Roman" w:hAnsi="Times New Roman" w:eastAsia="宋体" w:cs="Times New Roman"/>
                <w:szCs w:val="20"/>
              </w:rPr>
              <w:t>处理站</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污水</w:t>
            </w:r>
            <w:r>
              <w:rPr>
                <w:rFonts w:ascii="Times New Roman" w:hAnsi="Times New Roman" w:eastAsia="宋体" w:cs="Times New Roman"/>
                <w:szCs w:val="21"/>
              </w:rPr>
              <w:t>处理站污泥</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47.27t/a</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pacing w:val="-4"/>
                <w:szCs w:val="21"/>
              </w:rPr>
            </w:pPr>
            <w:r>
              <w:rPr>
                <w:rFonts w:hint="eastAsia" w:ascii="Times New Roman" w:hAnsi="Times New Roman" w:eastAsia="宋体" w:cs="Times New Roman"/>
                <w:spacing w:val="-4"/>
                <w:szCs w:val="21"/>
              </w:rPr>
              <w:t>石灰石</w:t>
            </w:r>
            <w:r>
              <w:rPr>
                <w:rFonts w:ascii="Times New Roman" w:hAnsi="Times New Roman" w:eastAsia="宋体" w:cs="Times New Roman"/>
                <w:spacing w:val="-4"/>
                <w:szCs w:val="21"/>
              </w:rPr>
              <w:t>消毒处理</w:t>
            </w:r>
            <w:r>
              <w:rPr>
                <w:rFonts w:hint="eastAsia" w:ascii="Times New Roman" w:hAnsi="Times New Roman" w:eastAsia="宋体" w:cs="Times New Roman"/>
                <w:spacing w:val="-4"/>
                <w:szCs w:val="21"/>
              </w:rPr>
              <w:t>，</w:t>
            </w:r>
            <w:r>
              <w:rPr>
                <w:rFonts w:ascii="Times New Roman" w:hAnsi="Times New Roman" w:eastAsia="宋体" w:cs="Times New Roman"/>
                <w:spacing w:val="-4"/>
                <w:szCs w:val="21"/>
              </w:rPr>
              <w:t>交有资质单位处置</w:t>
            </w:r>
          </w:p>
        </w:tc>
        <w:tc>
          <w:tcPr>
            <w:tcW w:w="8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3325" w:type="dxa"/>
            <w:vMerge w:val="continue"/>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top w:val="single" w:color="auto" w:sz="4" w:space="0"/>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一般</w:t>
            </w:r>
            <w:r>
              <w:rPr>
                <w:rFonts w:ascii="Times New Roman" w:hAnsi="Times New Roman" w:eastAsia="宋体" w:cs="Times New Roman"/>
                <w:szCs w:val="21"/>
              </w:rPr>
              <w:t>固废</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病人</w:t>
            </w:r>
            <w:r>
              <w:rPr>
                <w:rFonts w:ascii="Times New Roman" w:hAnsi="Times New Roman" w:eastAsia="宋体" w:cs="Times New Roman"/>
                <w:kern w:val="0"/>
                <w:szCs w:val="20"/>
              </w:rPr>
              <w:t>看诊、医护人员办公</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生活</w:t>
            </w:r>
            <w:r>
              <w:rPr>
                <w:rFonts w:ascii="Times New Roman" w:hAnsi="Times New Roman" w:eastAsia="宋体" w:cs="Times New Roman"/>
                <w:szCs w:val="20"/>
              </w:rPr>
              <w:t>垃圾</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441.65t/a</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kern w:val="0"/>
                <w:szCs w:val="20"/>
              </w:rPr>
              <w:t>垃圾桶统一</w:t>
            </w:r>
            <w:r>
              <w:rPr>
                <w:rFonts w:ascii="Times New Roman" w:hAnsi="Times New Roman" w:eastAsia="宋体" w:cs="Times New Roman"/>
                <w:kern w:val="0"/>
                <w:szCs w:val="20"/>
              </w:rPr>
              <w:t>收集，</w:t>
            </w:r>
            <w:r>
              <w:rPr>
                <w:rFonts w:hint="eastAsia" w:ascii="Times New Roman" w:hAnsi="Times New Roman" w:eastAsia="宋体" w:cs="Times New Roman"/>
                <w:kern w:val="0"/>
                <w:szCs w:val="20"/>
              </w:rPr>
              <w:t>由环卫部门统一清运</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r>
              <w:rPr>
                <w:rFonts w:ascii="Times New Roman" w:hAnsi="Times New Roman" w:eastAsia="宋体" w:cs="Times New Roman"/>
                <w:szCs w:val="21"/>
              </w:rPr>
              <w:t>%</w:t>
            </w:r>
          </w:p>
        </w:tc>
        <w:tc>
          <w:tcPr>
            <w:tcW w:w="3325" w:type="dxa"/>
            <w:vMerge w:val="restart"/>
            <w:tcBorders>
              <w:top w:val="single" w:color="auto" w:sz="4" w:space="0"/>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《城市生活垃圾管理办法》（建设部令第157号）中相关规定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restart"/>
            <w:tcBorders>
              <w:top w:val="single" w:color="auto" w:sz="4" w:space="0"/>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r>
              <w:rPr>
                <w:rFonts w:hint="eastAsia" w:ascii="Times New Roman" w:hAnsi="Times New Roman" w:eastAsia="宋体" w:cs="Times New Roman"/>
                <w:szCs w:val="21"/>
              </w:rPr>
              <w:t>固废</w:t>
            </w: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煎药</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中药</w:t>
            </w:r>
            <w:r>
              <w:rPr>
                <w:rFonts w:ascii="Times New Roman" w:hAnsi="Times New Roman" w:eastAsia="宋体" w:cs="Times New Roman"/>
                <w:szCs w:val="20"/>
              </w:rPr>
              <w:t>渣</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1.83</w:t>
            </w:r>
            <w:r>
              <w:rPr>
                <w:rFonts w:ascii="Times New Roman" w:hAnsi="Times New Roman" w:eastAsia="宋体" w:cs="Times New Roman"/>
                <w:szCs w:val="21"/>
              </w:rPr>
              <w:t>t/a</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分类</w:t>
            </w:r>
            <w:r>
              <w:rPr>
                <w:rFonts w:ascii="Times New Roman" w:hAnsi="Times New Roman" w:eastAsia="宋体" w:cs="Times New Roman"/>
                <w:kern w:val="0"/>
                <w:szCs w:val="20"/>
              </w:rPr>
              <w:t>收集后，由环卫部门统一清运</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100%</w:t>
            </w:r>
          </w:p>
        </w:tc>
        <w:tc>
          <w:tcPr>
            <w:tcW w:w="3325" w:type="dxa"/>
            <w:vMerge w:val="continue"/>
            <w:tcBorders>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药品</w:t>
            </w:r>
            <w:r>
              <w:rPr>
                <w:rFonts w:ascii="Times New Roman" w:hAnsi="Times New Roman" w:eastAsia="宋体" w:cs="Times New Roman"/>
                <w:kern w:val="0"/>
                <w:szCs w:val="20"/>
              </w:rPr>
              <w:t>废包装</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废</w:t>
            </w:r>
            <w:r>
              <w:rPr>
                <w:rFonts w:ascii="Times New Roman" w:hAnsi="Times New Roman" w:eastAsia="宋体" w:cs="Times New Roman"/>
                <w:szCs w:val="20"/>
              </w:rPr>
              <w:t>包装物</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7.3</w:t>
            </w:r>
            <w:r>
              <w:rPr>
                <w:rFonts w:ascii="Times New Roman" w:hAnsi="Times New Roman" w:eastAsia="宋体" w:cs="Times New Roman"/>
                <w:szCs w:val="21"/>
              </w:rPr>
              <w:t>t/a</w:t>
            </w:r>
          </w:p>
        </w:tc>
        <w:tc>
          <w:tcPr>
            <w:tcW w:w="363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集中收集</w:t>
            </w:r>
            <w:r>
              <w:rPr>
                <w:rFonts w:ascii="Times New Roman" w:hAnsi="Times New Roman" w:eastAsia="宋体" w:cs="Times New Roman"/>
                <w:kern w:val="0"/>
                <w:szCs w:val="20"/>
              </w:rPr>
              <w:t>后由废旧资源回收部门</w:t>
            </w:r>
            <w:r>
              <w:rPr>
                <w:rFonts w:hint="eastAsia" w:ascii="Times New Roman" w:hAnsi="Times New Roman" w:eastAsia="宋体" w:cs="Times New Roman"/>
                <w:kern w:val="0"/>
                <w:szCs w:val="20"/>
              </w:rPr>
              <w:t>回收</w:t>
            </w:r>
            <w:r>
              <w:rPr>
                <w:rFonts w:ascii="Times New Roman" w:hAnsi="Times New Roman" w:eastAsia="宋体" w:cs="Times New Roman"/>
                <w:kern w:val="0"/>
                <w:szCs w:val="20"/>
              </w:rPr>
              <w:t>利用</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3325"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w:t>
            </w:r>
            <w:r>
              <w:rPr>
                <w:rFonts w:ascii="Times New Roman" w:hAnsi="Times New Roman" w:eastAsia="宋体" w:cs="Times New Roman"/>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食堂</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餐厨</w:t>
            </w:r>
            <w:r>
              <w:rPr>
                <w:rFonts w:ascii="Times New Roman" w:hAnsi="Times New Roman" w:eastAsia="宋体" w:cs="Times New Roman"/>
                <w:szCs w:val="20"/>
              </w:rPr>
              <w:t>垃圾</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90.23</w:t>
            </w:r>
            <w:r>
              <w:rPr>
                <w:rFonts w:ascii="Times New Roman" w:hAnsi="Times New Roman" w:eastAsia="宋体" w:cs="Times New Roman"/>
                <w:szCs w:val="21"/>
              </w:rPr>
              <w:t>t/a</w:t>
            </w:r>
          </w:p>
        </w:tc>
        <w:tc>
          <w:tcPr>
            <w:tcW w:w="363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专人</w:t>
            </w:r>
            <w:r>
              <w:rPr>
                <w:rFonts w:ascii="Times New Roman" w:hAnsi="Times New Roman" w:eastAsia="宋体" w:cs="Times New Roman"/>
                <w:kern w:val="0"/>
                <w:szCs w:val="20"/>
              </w:rPr>
              <w:t>回收</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3325"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w:t>
            </w:r>
            <w:r>
              <w:rPr>
                <w:rFonts w:ascii="Times New Roman" w:hAnsi="Times New Roman" w:eastAsia="宋体" w:cs="Times New Roman"/>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vMerge w:val="continue"/>
            <w:tcBorders>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废油脂</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0.71</w:t>
            </w:r>
            <w:r>
              <w:rPr>
                <w:rFonts w:ascii="Times New Roman" w:hAnsi="Times New Roman" w:eastAsia="宋体" w:cs="Times New Roman"/>
                <w:szCs w:val="21"/>
              </w:rPr>
              <w:t>t/a</w:t>
            </w:r>
          </w:p>
        </w:tc>
        <w:tc>
          <w:tcPr>
            <w:tcW w:w="363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0"/>
              </w:rPr>
            </w:pP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3325"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w:t>
            </w:r>
            <w:r>
              <w:rPr>
                <w:rFonts w:ascii="Times New Roman" w:hAnsi="Times New Roman" w:eastAsia="宋体" w:cs="Times New Roman"/>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vMerge w:val="continue"/>
            <w:tcBorders>
              <w:left w:val="single" w:color="auto" w:sz="12"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highlight w:val="yellow"/>
              </w:rPr>
            </w:pPr>
          </w:p>
        </w:tc>
        <w:tc>
          <w:tcPr>
            <w:tcW w:w="567"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p>
        </w:tc>
        <w:tc>
          <w:tcPr>
            <w:tcW w:w="1274" w:type="dxa"/>
            <w:tcBorders>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锅炉</w:t>
            </w:r>
            <w:r>
              <w:rPr>
                <w:rFonts w:ascii="Times New Roman" w:hAnsi="Times New Roman" w:eastAsia="宋体" w:cs="Times New Roman"/>
                <w:kern w:val="0"/>
                <w:szCs w:val="20"/>
              </w:rPr>
              <w:t>软水制备</w:t>
            </w:r>
          </w:p>
        </w:tc>
        <w:tc>
          <w:tcPr>
            <w:tcW w:w="1691" w:type="dxa"/>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textAlignment w:val="bottom"/>
              <w:rPr>
                <w:rFonts w:ascii="Times New Roman" w:hAnsi="Times New Roman" w:eastAsia="宋体" w:cs="Times New Roman"/>
                <w:szCs w:val="20"/>
              </w:rPr>
            </w:pPr>
            <w:r>
              <w:rPr>
                <w:rFonts w:hint="eastAsia" w:ascii="Times New Roman" w:hAnsi="Times New Roman" w:eastAsia="宋体" w:cs="Times New Roman"/>
                <w:szCs w:val="20"/>
              </w:rPr>
              <w:t>废</w:t>
            </w:r>
            <w:r>
              <w:rPr>
                <w:rFonts w:ascii="Times New Roman" w:hAnsi="Times New Roman" w:eastAsia="宋体" w:cs="Times New Roman"/>
                <w:szCs w:val="20"/>
              </w:rPr>
              <w:t>离子</w:t>
            </w:r>
            <w:r>
              <w:rPr>
                <w:rFonts w:hint="eastAsia" w:ascii="Times New Roman" w:hAnsi="Times New Roman" w:eastAsia="宋体" w:cs="Times New Roman"/>
                <w:szCs w:val="20"/>
              </w:rPr>
              <w:t>交换</w:t>
            </w:r>
            <w:r>
              <w:rPr>
                <w:rFonts w:ascii="Times New Roman" w:hAnsi="Times New Roman" w:eastAsia="宋体" w:cs="Times New Roman"/>
                <w:szCs w:val="20"/>
              </w:rPr>
              <w:t>树脂</w:t>
            </w:r>
          </w:p>
        </w:tc>
        <w:tc>
          <w:tcPr>
            <w:tcW w:w="22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0.1</w:t>
            </w:r>
            <w:r>
              <w:rPr>
                <w:rFonts w:ascii="Times New Roman" w:hAnsi="Times New Roman" w:eastAsia="宋体" w:cs="Times New Roman"/>
                <w:szCs w:val="21"/>
              </w:rPr>
              <w:t>t/a</w:t>
            </w:r>
          </w:p>
        </w:tc>
        <w:tc>
          <w:tcPr>
            <w:tcW w:w="3630" w:type="dxa"/>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kern w:val="0"/>
                <w:szCs w:val="20"/>
              </w:rPr>
            </w:pPr>
            <w:r>
              <w:rPr>
                <w:rFonts w:hint="eastAsia" w:ascii="Times New Roman" w:hAnsi="Times New Roman" w:eastAsia="宋体" w:cs="Times New Roman"/>
                <w:kern w:val="0"/>
                <w:szCs w:val="20"/>
              </w:rPr>
              <w:t>厂家</w:t>
            </w:r>
            <w:r>
              <w:rPr>
                <w:rFonts w:ascii="Times New Roman" w:hAnsi="Times New Roman" w:eastAsia="宋体" w:cs="Times New Roman"/>
                <w:kern w:val="0"/>
                <w:szCs w:val="20"/>
              </w:rPr>
              <w:t>定期更换并回收</w:t>
            </w:r>
          </w:p>
        </w:tc>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3325" w:type="dxa"/>
            <w:tcBorders>
              <w:top w:val="single" w:color="auto" w:sz="4" w:space="0"/>
              <w:left w:val="single" w:color="auto" w:sz="4" w:space="0"/>
              <w:bottom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回收</w:t>
            </w:r>
            <w:r>
              <w:rPr>
                <w:rFonts w:ascii="Times New Roman" w:hAnsi="Times New Roman" w:eastAsia="宋体" w:cs="Times New Roman"/>
                <w:szCs w:val="21"/>
              </w:rPr>
              <w:t>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0" w:hRule="atLeast"/>
          <w:jc w:val="center"/>
        </w:trPr>
        <w:tc>
          <w:tcPr>
            <w:tcW w:w="411" w:type="dxa"/>
            <w:tcBorders>
              <w:top w:val="single" w:color="auto" w:sz="4" w:space="0"/>
              <w:left w:val="single" w:color="auto" w:sz="12" w:space="0"/>
              <w:bottom w:val="single" w:color="auto" w:sz="6" w:space="0"/>
              <w:right w:val="single" w:color="auto" w:sz="4" w:space="0"/>
            </w:tcBorders>
            <w:shd w:val="clear" w:color="auto" w:fill="auto"/>
            <w:vAlign w:val="center"/>
          </w:tcPr>
          <w:p>
            <w:pPr>
              <w:adjustRightInd w:val="0"/>
              <w:snapToGrid w:val="0"/>
              <w:jc w:val="center"/>
              <w:rPr>
                <w:rFonts w:ascii="Times New Roman" w:hAnsi="Times New Roman" w:eastAsia="宋体" w:cs="Times New Roman"/>
                <w:szCs w:val="21"/>
              </w:rPr>
            </w:pPr>
            <w:r>
              <w:rPr>
                <w:rFonts w:ascii="Times New Roman" w:hAnsi="Times New Roman" w:eastAsia="宋体" w:cs="Times New Roman"/>
                <w:szCs w:val="21"/>
              </w:rPr>
              <w:t>噪声</w:t>
            </w:r>
          </w:p>
        </w:tc>
        <w:tc>
          <w:tcPr>
            <w:tcW w:w="13561" w:type="dxa"/>
            <w:gridSpan w:val="8"/>
            <w:tcBorders>
              <w:top w:val="single" w:color="auto" w:sz="4" w:space="0"/>
              <w:left w:val="single" w:color="auto" w:sz="4" w:space="0"/>
              <w:right w:val="single" w:color="auto" w:sz="12" w:space="0"/>
            </w:tcBorders>
            <w:shd w:val="clear" w:color="auto" w:fill="auto"/>
            <w:vAlign w:val="center"/>
          </w:tcPr>
          <w:p>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备噪声</w:t>
            </w:r>
            <w:r>
              <w:rPr>
                <w:rFonts w:ascii="Times New Roman" w:hAnsi="Times New Roman" w:eastAsia="宋体" w:cs="Times New Roman"/>
                <w:szCs w:val="21"/>
              </w:rPr>
              <w:t>经</w:t>
            </w:r>
            <w:r>
              <w:rPr>
                <w:rFonts w:hint="eastAsia" w:ascii="Times New Roman" w:hAnsi="Times New Roman" w:eastAsia="宋体" w:cs="Times New Roman"/>
                <w:szCs w:val="21"/>
              </w:rPr>
              <w:t>选用</w:t>
            </w:r>
            <w:r>
              <w:rPr>
                <w:rFonts w:ascii="Times New Roman" w:hAnsi="Times New Roman" w:eastAsia="宋体" w:cs="Times New Roman"/>
                <w:szCs w:val="21"/>
              </w:rPr>
              <w:t>低噪声设备、基础</w:t>
            </w:r>
            <w:r>
              <w:rPr>
                <w:rFonts w:hint="eastAsia" w:ascii="Times New Roman" w:hAnsi="Times New Roman" w:eastAsia="宋体" w:cs="Times New Roman"/>
                <w:szCs w:val="21"/>
              </w:rPr>
              <w:t>减振</w:t>
            </w:r>
            <w:r>
              <w:rPr>
                <w:rFonts w:ascii="Times New Roman" w:hAnsi="Times New Roman" w:eastAsia="宋体" w:cs="Times New Roman"/>
                <w:szCs w:val="21"/>
              </w:rPr>
              <w:t>、风机进口安装消声器、</w:t>
            </w:r>
            <w:r>
              <w:rPr>
                <w:rFonts w:hint="eastAsia" w:ascii="Times New Roman" w:hAnsi="Times New Roman" w:eastAsia="宋体" w:cs="Times New Roman"/>
                <w:szCs w:val="21"/>
              </w:rPr>
              <w:t>大多</w:t>
            </w:r>
            <w:r>
              <w:rPr>
                <w:rFonts w:ascii="Times New Roman" w:hAnsi="Times New Roman" w:eastAsia="宋体" w:cs="Times New Roman"/>
                <w:szCs w:val="21"/>
              </w:rPr>
              <w:t>位于地下一层等措施后，满足《工业企业厂界环境噪声排放标准》（GB12348-2008）中的2类标准</w:t>
            </w:r>
          </w:p>
        </w:tc>
      </w:tr>
    </w:tbl>
    <w:p>
      <w:pPr>
        <w:adjustRightInd w:val="0"/>
        <w:snapToGrid w:val="0"/>
        <w:spacing w:line="360" w:lineRule="auto"/>
        <w:ind w:firstLine="360" w:firstLineChars="200"/>
        <w:rPr>
          <w:rFonts w:ascii="Times New Roman" w:hAnsi="Times New Roman" w:eastAsia="宋体" w:cs="Times New Roman"/>
          <w:b/>
          <w:sz w:val="18"/>
          <w:szCs w:val="18"/>
        </w:rPr>
      </w:pPr>
      <w:r>
        <w:rPr>
          <w:rFonts w:ascii="Times New Roman" w:hAnsi="Times New Roman" w:eastAsia="宋体" w:cs="Times New Roman"/>
          <w:b/>
          <w:sz w:val="18"/>
          <w:szCs w:val="18"/>
        </w:rPr>
        <w:t>注：大气污染物浓度—mg/m</w:t>
      </w:r>
      <w:r>
        <w:rPr>
          <w:rFonts w:ascii="Times New Roman" w:hAnsi="Times New Roman" w:eastAsia="宋体" w:cs="Times New Roman"/>
          <w:b/>
          <w:sz w:val="18"/>
          <w:szCs w:val="18"/>
          <w:vertAlign w:val="superscript"/>
        </w:rPr>
        <w:t>3</w:t>
      </w:r>
      <w:r>
        <w:rPr>
          <w:rFonts w:ascii="Times New Roman" w:hAnsi="Times New Roman" w:eastAsia="宋体" w:cs="Times New Roman"/>
          <w:b/>
          <w:sz w:val="18"/>
          <w:szCs w:val="18"/>
        </w:rPr>
        <w:t>。</w:t>
      </w:r>
    </w:p>
    <w:p>
      <w:pPr>
        <w:rPr>
          <w:highlight w:val="yellow"/>
        </w:rPr>
        <w:sectPr>
          <w:headerReference r:id="rId60" w:type="default"/>
          <w:headerReference r:id="rId61" w:type="even"/>
          <w:pgSz w:w="16838" w:h="11906" w:orient="landscape"/>
          <w:pgMar w:top="1588" w:right="1418" w:bottom="1418" w:left="1418" w:header="851" w:footer="992" w:gutter="0"/>
          <w:pgNumType w:fmt="numberInDash"/>
          <w:cols w:space="425" w:num="1"/>
          <w:docGrid w:type="linesAndChars" w:linePitch="312" w:charSpace="0"/>
        </w:sectPr>
      </w:pPr>
    </w:p>
    <w:p>
      <w:pPr>
        <w:pStyle w:val="4"/>
      </w:pPr>
      <w:r>
        <w:rPr>
          <w:rFonts w:hint="eastAsia"/>
        </w:rPr>
        <w:t>环境管理台账要求</w:t>
      </w:r>
    </w:p>
    <w:p>
      <w:pPr>
        <w:pStyle w:val="49"/>
        <w:ind w:firstLine="480"/>
        <w:rPr>
          <w:rFonts w:cs="Times New Roman"/>
        </w:rPr>
      </w:pPr>
      <w:r>
        <w:rPr>
          <w:rFonts w:hint="eastAsia" w:cs="Times New Roman"/>
        </w:rPr>
        <w:t>按照《排污许可证申请与核发技术规范 医疗机构》（HJ1105-2020）中对排污单位环境管理台账记录的要求，</w:t>
      </w:r>
      <w:r>
        <w:rPr>
          <w:rFonts w:cs="Times New Roman"/>
        </w:rPr>
        <w:t>建立环境管理台账，并接受安康市</w:t>
      </w:r>
      <w:r>
        <w:rPr>
          <w:rFonts w:hint="eastAsia" w:cs="Times New Roman"/>
        </w:rPr>
        <w:t>恒口</w:t>
      </w:r>
      <w:r>
        <w:rPr>
          <w:rFonts w:cs="Times New Roman"/>
        </w:rPr>
        <w:t>示范区</w:t>
      </w:r>
      <w:r>
        <w:rPr>
          <w:rFonts w:hint="eastAsia" w:cs="Times New Roman"/>
        </w:rPr>
        <w:t>（试验区）</w:t>
      </w:r>
      <w:r>
        <w:rPr>
          <w:rFonts w:cs="Times New Roman"/>
        </w:rPr>
        <w:t>生态环境局</w:t>
      </w:r>
      <w:r>
        <w:rPr>
          <w:rFonts w:hint="eastAsia" w:cs="Times New Roman"/>
        </w:rPr>
        <w:t>监督</w:t>
      </w:r>
      <w:r>
        <w:rPr>
          <w:rFonts w:cs="Times New Roman"/>
        </w:rPr>
        <w:t>检查。</w:t>
      </w:r>
    </w:p>
    <w:p>
      <w:pPr>
        <w:pStyle w:val="49"/>
        <w:ind w:firstLine="480"/>
        <w:rPr>
          <w:rFonts w:cs="Times New Roman"/>
        </w:rPr>
      </w:pPr>
      <w:r>
        <w:rPr>
          <w:rFonts w:hint="eastAsia" w:cs="Times New Roman"/>
        </w:rPr>
        <w:t>（1）一般原则</w:t>
      </w:r>
    </w:p>
    <w:p>
      <w:pPr>
        <w:pStyle w:val="49"/>
        <w:ind w:firstLine="480"/>
        <w:rPr>
          <w:rFonts w:cs="Times New Roman"/>
        </w:rPr>
      </w:pPr>
      <w:r>
        <w:rPr>
          <w:rFonts w:hint="eastAsia" w:cs="Times New Roman"/>
        </w:rPr>
        <w:t>排污单位应建立环境管理台账制度，落实环境管理台账记录的责任部门和责任人，明确工作职责，包括台账的记录、整理、维护和管理等。为实现台账便于携带、作为许可证执行情况佐证并长时间储存的目的以及导出原始数据，加工分析、综合判断运行情况的功能，台账应当按照电子化储存和纸质储存两种形式同步管理。排污单位环境管理台账应真实记录基本信息、生产设施运行管理信息、污染防治设施运行管理信息、监测记录信息及其他环境管理信息等。其中记录频次和内容须满足排污许可证环境管理要求。</w:t>
      </w:r>
    </w:p>
    <w:p>
      <w:pPr>
        <w:pStyle w:val="49"/>
        <w:ind w:firstLine="480"/>
        <w:rPr>
          <w:rFonts w:cs="Times New Roman"/>
        </w:rPr>
      </w:pPr>
      <w:r>
        <w:rPr>
          <w:rFonts w:hint="eastAsia" w:cs="Times New Roman"/>
        </w:rPr>
        <w:t>（2）记录内容与频次</w:t>
      </w:r>
    </w:p>
    <w:p>
      <w:pPr>
        <w:pStyle w:val="49"/>
        <w:ind w:firstLine="480"/>
        <w:rPr>
          <w:rFonts w:cs="Times New Roman"/>
        </w:rPr>
      </w:pPr>
      <w:r>
        <w:rPr>
          <w:rFonts w:hint="eastAsia" w:cs="Times New Roman"/>
        </w:rPr>
        <w:t>医院环境管理台账具体记录内容和记录频次等内容见下表：</w:t>
      </w:r>
    </w:p>
    <w:p>
      <w:pPr>
        <w:snapToGrid w:val="0"/>
        <w:spacing w:before="156" w:beforeLines="50"/>
        <w:jc w:val="center"/>
        <w:rPr>
          <w:rFonts w:ascii="Times New Roman" w:hAnsi="Times New Roman" w:eastAsia="宋体" w:cs="Times New Roman"/>
          <w:b/>
          <w:spacing w:val="-6"/>
          <w:sz w:val="24"/>
          <w:szCs w:val="24"/>
          <w:lang w:bidi="ar"/>
        </w:rPr>
      </w:pPr>
      <w:r>
        <w:rPr>
          <w:rFonts w:ascii="Times New Roman" w:hAnsi="Times New Roman" w:eastAsia="宋体" w:cs="Times New Roman"/>
          <w:b/>
          <w:spacing w:val="-6"/>
          <w:sz w:val="24"/>
          <w:szCs w:val="24"/>
          <w:lang w:bidi="ar"/>
        </w:rPr>
        <w:t>表</w:t>
      </w:r>
      <w:r>
        <w:rPr>
          <w:rFonts w:hint="eastAsia" w:ascii="Times New Roman" w:hAnsi="Times New Roman" w:eastAsia="宋体" w:cs="Times New Roman"/>
          <w:b/>
          <w:spacing w:val="-6"/>
          <w:sz w:val="24"/>
          <w:szCs w:val="24"/>
          <w:lang w:bidi="ar"/>
        </w:rPr>
        <w:t>10.</w:t>
      </w:r>
      <w:r>
        <w:rPr>
          <w:rFonts w:ascii="Times New Roman" w:hAnsi="Times New Roman" w:eastAsia="宋体" w:cs="Times New Roman"/>
          <w:b/>
          <w:spacing w:val="-6"/>
          <w:sz w:val="24"/>
          <w:szCs w:val="24"/>
          <w:lang w:bidi="ar"/>
        </w:rPr>
        <w:t>2-2</w:t>
      </w:r>
      <w:r>
        <w:rPr>
          <w:rFonts w:hint="eastAsia" w:ascii="Times New Roman" w:hAnsi="Times New Roman" w:eastAsia="宋体" w:cs="Times New Roman"/>
          <w:b/>
          <w:spacing w:val="-6"/>
          <w:sz w:val="24"/>
          <w:szCs w:val="24"/>
          <w:lang w:bidi="ar"/>
        </w:rPr>
        <w:t xml:space="preserve">  </w:t>
      </w:r>
      <w:r>
        <w:rPr>
          <w:rFonts w:ascii="Times New Roman" w:hAnsi="Times New Roman" w:eastAsia="宋体" w:cs="Times New Roman"/>
          <w:b/>
          <w:spacing w:val="-6"/>
          <w:sz w:val="24"/>
          <w:szCs w:val="24"/>
          <w:lang w:bidi="ar"/>
        </w:rPr>
        <w:t xml:space="preserve"> 环境管理台账信息表</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242"/>
        <w:gridCol w:w="3811"/>
        <w:gridCol w:w="1045"/>
        <w:gridCol w:w="1148"/>
        <w:gridCol w:w="10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551" w:type="dxa"/>
            <w:vAlign w:val="center"/>
          </w:tcPr>
          <w:p>
            <w:pPr>
              <w:jc w:val="center"/>
              <w:rPr>
                <w:rFonts w:ascii="Times New Roman" w:eastAsia="宋体"/>
                <w:szCs w:val="21"/>
              </w:rPr>
            </w:pPr>
            <w:r>
              <w:rPr>
                <w:rFonts w:ascii="Times New Roman" w:eastAsia="宋体"/>
                <w:szCs w:val="21"/>
              </w:rPr>
              <w:t>序号</w:t>
            </w:r>
          </w:p>
        </w:tc>
        <w:tc>
          <w:tcPr>
            <w:tcW w:w="1242" w:type="dxa"/>
            <w:vAlign w:val="center"/>
          </w:tcPr>
          <w:p>
            <w:pPr>
              <w:jc w:val="center"/>
              <w:rPr>
                <w:rFonts w:ascii="Times New Roman" w:eastAsia="宋体"/>
                <w:szCs w:val="21"/>
              </w:rPr>
            </w:pPr>
            <w:r>
              <w:rPr>
                <w:rFonts w:ascii="Times New Roman" w:eastAsia="宋体"/>
                <w:szCs w:val="21"/>
              </w:rPr>
              <w:t>类别</w:t>
            </w:r>
          </w:p>
        </w:tc>
        <w:tc>
          <w:tcPr>
            <w:tcW w:w="3811" w:type="dxa"/>
            <w:vAlign w:val="center"/>
          </w:tcPr>
          <w:p>
            <w:pPr>
              <w:jc w:val="center"/>
              <w:rPr>
                <w:rFonts w:ascii="Times New Roman" w:eastAsia="宋体"/>
                <w:szCs w:val="21"/>
              </w:rPr>
            </w:pPr>
            <w:r>
              <w:rPr>
                <w:rFonts w:ascii="Times New Roman" w:eastAsia="宋体"/>
                <w:szCs w:val="21"/>
              </w:rPr>
              <w:t>记录内容</w:t>
            </w:r>
          </w:p>
        </w:tc>
        <w:tc>
          <w:tcPr>
            <w:tcW w:w="1045" w:type="dxa"/>
            <w:vAlign w:val="center"/>
          </w:tcPr>
          <w:p>
            <w:pPr>
              <w:jc w:val="center"/>
              <w:rPr>
                <w:rFonts w:ascii="Times New Roman" w:eastAsia="宋体"/>
                <w:szCs w:val="21"/>
              </w:rPr>
            </w:pPr>
            <w:r>
              <w:rPr>
                <w:rFonts w:ascii="Times New Roman" w:eastAsia="宋体"/>
                <w:szCs w:val="21"/>
              </w:rPr>
              <w:t>记录频次</w:t>
            </w:r>
          </w:p>
        </w:tc>
        <w:tc>
          <w:tcPr>
            <w:tcW w:w="1148" w:type="dxa"/>
            <w:vAlign w:val="center"/>
          </w:tcPr>
          <w:p>
            <w:pPr>
              <w:jc w:val="center"/>
              <w:rPr>
                <w:rFonts w:ascii="Times New Roman" w:eastAsia="宋体"/>
                <w:szCs w:val="21"/>
              </w:rPr>
            </w:pPr>
            <w:r>
              <w:rPr>
                <w:rFonts w:ascii="Times New Roman" w:eastAsia="宋体"/>
                <w:szCs w:val="21"/>
              </w:rPr>
              <w:t>记录形式</w:t>
            </w:r>
          </w:p>
        </w:tc>
        <w:tc>
          <w:tcPr>
            <w:tcW w:w="1073" w:type="dxa"/>
            <w:vAlign w:val="center"/>
          </w:tcPr>
          <w:p>
            <w:pPr>
              <w:jc w:val="center"/>
              <w:rPr>
                <w:rFonts w:ascii="Times New Roman" w:eastAsia="宋体"/>
                <w:szCs w:val="21"/>
              </w:rPr>
            </w:pPr>
            <w:r>
              <w:rPr>
                <w:rFonts w:ascii="Times New Roman" w:eastAsia="宋体"/>
                <w:szCs w:val="21"/>
              </w:rPr>
              <w:t>其他信息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jc w:val="center"/>
              <w:rPr>
                <w:rFonts w:ascii="Times New Roman" w:hAnsi="Calibri" w:eastAsia="宋体" w:cs="Times New Roman"/>
                <w:spacing w:val="-6"/>
                <w:szCs w:val="21"/>
              </w:rPr>
            </w:pPr>
            <w:r>
              <w:rPr>
                <w:rFonts w:ascii="Times New Roman" w:hAnsi="Calibri" w:eastAsia="宋体" w:cs="Times New Roman"/>
                <w:spacing w:val="-6"/>
                <w:szCs w:val="21"/>
              </w:rPr>
              <w:t>1</w:t>
            </w:r>
          </w:p>
        </w:tc>
        <w:tc>
          <w:tcPr>
            <w:tcW w:w="1242" w:type="dxa"/>
            <w:vAlign w:val="center"/>
          </w:tcPr>
          <w:p>
            <w:pPr>
              <w:jc w:val="center"/>
              <w:rPr>
                <w:rFonts w:ascii="Times New Roman" w:hAnsi="Calibri" w:eastAsia="宋体" w:cs="Times New Roman"/>
                <w:spacing w:val="-6"/>
                <w:szCs w:val="21"/>
              </w:rPr>
            </w:pPr>
            <w:r>
              <w:rPr>
                <w:rFonts w:ascii="Times New Roman" w:hAnsi="Calibri" w:eastAsia="宋体" w:cs="Times New Roman"/>
                <w:spacing w:val="-6"/>
                <w:szCs w:val="21"/>
              </w:rPr>
              <w:t>监测记录信息</w:t>
            </w:r>
          </w:p>
        </w:tc>
        <w:tc>
          <w:tcPr>
            <w:tcW w:w="3811" w:type="dxa"/>
            <w:vAlign w:val="center"/>
          </w:tcPr>
          <w:p>
            <w:pPr>
              <w:rPr>
                <w:rFonts w:ascii="Times New Roman" w:hAnsi="Calibri" w:eastAsia="宋体" w:cs="Times New Roman"/>
                <w:spacing w:val="-6"/>
                <w:szCs w:val="21"/>
              </w:rPr>
            </w:pPr>
            <w:r>
              <w:rPr>
                <w:rFonts w:ascii="Times New Roman" w:hAnsi="Calibri" w:eastAsia="宋体" w:cs="Times New Roman"/>
                <w:spacing w:val="-6"/>
                <w:szCs w:val="21"/>
              </w:rPr>
              <w:t>自动监测运维记录包括自动监测及辅助设备运行状况、系统校准、校验记录、定期比对监测记录、维护保养记录、是否故障、故障维修记录、巡检日期等信息。 b）手工监测记录信息 手工监测记录信息包括开展手工监测的日期、时间、污染物排放口和监测点位、监测方法、监测频 次、采样方法、监测结果等。</w:t>
            </w:r>
          </w:p>
        </w:tc>
        <w:tc>
          <w:tcPr>
            <w:tcW w:w="1045" w:type="dxa"/>
            <w:vAlign w:val="center"/>
          </w:tcPr>
          <w:p>
            <w:pPr>
              <w:jc w:val="center"/>
              <w:rPr>
                <w:rFonts w:ascii="Times New Roman" w:hAnsi="Calibri" w:eastAsia="宋体" w:cs="Times New Roman"/>
                <w:spacing w:val="-6"/>
                <w:szCs w:val="21"/>
              </w:rPr>
            </w:pPr>
            <w:r>
              <w:rPr>
                <w:rFonts w:ascii="Times New Roman" w:hAnsi="Calibri" w:eastAsia="宋体" w:cs="Times New Roman"/>
                <w:spacing w:val="-6"/>
                <w:szCs w:val="21"/>
              </w:rPr>
              <w:t>每个监测频次记录一次</w:t>
            </w:r>
          </w:p>
        </w:tc>
        <w:tc>
          <w:tcPr>
            <w:tcW w:w="1148" w:type="dxa"/>
            <w:vAlign w:val="center"/>
          </w:tcPr>
          <w:p>
            <w:pPr>
              <w:jc w:val="center"/>
              <w:rPr>
                <w:rFonts w:ascii="Times New Roman" w:hAnsi="Calibri" w:eastAsia="宋体" w:cs="Times New Roman"/>
                <w:spacing w:val="-6"/>
                <w:szCs w:val="21"/>
              </w:rPr>
            </w:pPr>
            <w:r>
              <w:rPr>
                <w:rFonts w:ascii="Times New Roman" w:hAnsi="Calibri" w:eastAsia="宋体" w:cs="Times New Roman"/>
                <w:spacing w:val="-6"/>
                <w:szCs w:val="21"/>
              </w:rPr>
              <w:t>电子台账+纸质台账</w:t>
            </w:r>
          </w:p>
        </w:tc>
        <w:tc>
          <w:tcPr>
            <w:tcW w:w="1073" w:type="dxa"/>
            <w:vAlign w:val="center"/>
          </w:tcPr>
          <w:p>
            <w:pPr>
              <w:jc w:val="center"/>
              <w:rPr>
                <w:rFonts w:ascii="Times New Roman" w:hAnsi="Calibri" w:eastAsia="宋体" w:cs="Times New Roman"/>
                <w:spacing w:val="-6"/>
                <w:szCs w:val="21"/>
              </w:rPr>
            </w:pPr>
            <w:r>
              <w:rPr>
                <w:rFonts w:ascii="Times New Roman" w:hAnsi="Calibri" w:eastAsia="宋体" w:cs="Times New Roman"/>
                <w:spacing w:val="-6"/>
                <w:szCs w:val="21"/>
              </w:rPr>
              <w:t>台账保存期限至少</w:t>
            </w:r>
            <w:r>
              <w:rPr>
                <w:rFonts w:hint="eastAsia" w:ascii="Times New Roman" w:hAnsi="Calibri" w:eastAsia="宋体" w:cs="Times New Roman"/>
                <w:spacing w:val="-6"/>
                <w:szCs w:val="21"/>
              </w:rPr>
              <w:t>五</w:t>
            </w:r>
            <w:r>
              <w:rPr>
                <w:rFonts w:ascii="Times New Roman" w:hAnsi="Calibri" w:eastAsia="宋体" w:cs="Times New Roman"/>
                <w:spacing w:val="-6"/>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jc w:val="center"/>
              <w:rPr>
                <w:rFonts w:ascii="Times New Roman" w:eastAsia="宋体"/>
                <w:szCs w:val="21"/>
              </w:rPr>
            </w:pPr>
            <w:r>
              <w:rPr>
                <w:rFonts w:ascii="Times New Roman" w:eastAsia="宋体"/>
                <w:szCs w:val="21"/>
              </w:rPr>
              <w:t>2</w:t>
            </w:r>
          </w:p>
        </w:tc>
        <w:tc>
          <w:tcPr>
            <w:tcW w:w="1242" w:type="dxa"/>
            <w:vAlign w:val="center"/>
          </w:tcPr>
          <w:p>
            <w:pPr>
              <w:jc w:val="center"/>
              <w:rPr>
                <w:rFonts w:ascii="Times New Roman" w:eastAsia="宋体"/>
                <w:szCs w:val="21"/>
              </w:rPr>
            </w:pPr>
            <w:r>
              <w:rPr>
                <w:rFonts w:ascii="Times New Roman" w:eastAsia="宋体"/>
                <w:szCs w:val="21"/>
              </w:rPr>
              <w:t>其他环境管理信息</w:t>
            </w:r>
          </w:p>
        </w:tc>
        <w:tc>
          <w:tcPr>
            <w:tcW w:w="3811" w:type="dxa"/>
            <w:vAlign w:val="center"/>
          </w:tcPr>
          <w:p>
            <w:pPr>
              <w:rPr>
                <w:rFonts w:ascii="Times New Roman" w:eastAsia="宋体"/>
                <w:szCs w:val="21"/>
              </w:rPr>
            </w:pPr>
            <w:r>
              <w:rPr>
                <w:rFonts w:ascii="Times New Roman" w:eastAsia="宋体"/>
                <w:szCs w:val="21"/>
              </w:rPr>
              <w:t>危险废物管理信息包括危险废物种类、产生量、转移量、处理消毒情况、处理人员和运输人员等信 息。</w:t>
            </w:r>
          </w:p>
        </w:tc>
        <w:tc>
          <w:tcPr>
            <w:tcW w:w="1045" w:type="dxa"/>
            <w:vAlign w:val="center"/>
          </w:tcPr>
          <w:p>
            <w:pPr>
              <w:jc w:val="center"/>
              <w:rPr>
                <w:rFonts w:ascii="Times New Roman" w:eastAsia="宋体"/>
                <w:szCs w:val="21"/>
              </w:rPr>
            </w:pPr>
            <w:r>
              <w:rPr>
                <w:rFonts w:ascii="Times New Roman" w:eastAsia="宋体"/>
                <w:szCs w:val="21"/>
              </w:rPr>
              <w:t>按日记录</w:t>
            </w:r>
          </w:p>
        </w:tc>
        <w:tc>
          <w:tcPr>
            <w:tcW w:w="1148" w:type="dxa"/>
            <w:vAlign w:val="center"/>
          </w:tcPr>
          <w:p>
            <w:pPr>
              <w:jc w:val="center"/>
              <w:rPr>
                <w:rFonts w:ascii="Times New Roman" w:eastAsia="宋体"/>
                <w:szCs w:val="21"/>
              </w:rPr>
            </w:pPr>
            <w:r>
              <w:rPr>
                <w:rFonts w:ascii="Times New Roman" w:eastAsia="宋体"/>
                <w:szCs w:val="21"/>
              </w:rPr>
              <w:t>电子台账+纸质台账</w:t>
            </w:r>
          </w:p>
        </w:tc>
        <w:tc>
          <w:tcPr>
            <w:tcW w:w="1073" w:type="dxa"/>
            <w:vAlign w:val="center"/>
          </w:tcPr>
          <w:p>
            <w:pPr>
              <w:jc w:val="center"/>
              <w:rPr>
                <w:rFonts w:ascii="Times New Roman" w:eastAsia="宋体"/>
                <w:szCs w:val="21"/>
              </w:rPr>
            </w:pPr>
            <w:r>
              <w:rPr>
                <w:rFonts w:ascii="Times New Roman" w:eastAsia="宋体"/>
                <w:szCs w:val="21"/>
              </w:rPr>
              <w:t>台账保存期限至少</w:t>
            </w:r>
            <w:r>
              <w:rPr>
                <w:rFonts w:hint="eastAsia" w:ascii="Times New Roman" w:eastAsia="宋体"/>
                <w:szCs w:val="21"/>
              </w:rPr>
              <w:t>五</w:t>
            </w:r>
            <w:r>
              <w:rPr>
                <w:rFonts w:ascii="Times New Roman" w:eastAsia="宋体"/>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jc w:val="center"/>
              <w:rPr>
                <w:rFonts w:ascii="Times New Roman" w:eastAsia="宋体"/>
                <w:szCs w:val="21"/>
              </w:rPr>
            </w:pPr>
            <w:r>
              <w:rPr>
                <w:rFonts w:ascii="Times New Roman" w:eastAsia="宋体"/>
                <w:szCs w:val="21"/>
              </w:rPr>
              <w:t>3</w:t>
            </w:r>
          </w:p>
        </w:tc>
        <w:tc>
          <w:tcPr>
            <w:tcW w:w="1242" w:type="dxa"/>
            <w:vAlign w:val="center"/>
          </w:tcPr>
          <w:p>
            <w:pPr>
              <w:jc w:val="center"/>
              <w:rPr>
                <w:rFonts w:ascii="Times New Roman" w:eastAsia="宋体"/>
                <w:szCs w:val="21"/>
              </w:rPr>
            </w:pPr>
            <w:r>
              <w:rPr>
                <w:rFonts w:ascii="Times New Roman" w:eastAsia="宋体"/>
                <w:szCs w:val="21"/>
              </w:rPr>
              <w:t>污染防治设施运行管理信息</w:t>
            </w:r>
          </w:p>
        </w:tc>
        <w:tc>
          <w:tcPr>
            <w:tcW w:w="3811" w:type="dxa"/>
            <w:vAlign w:val="center"/>
          </w:tcPr>
          <w:p>
            <w:pPr>
              <w:rPr>
                <w:rFonts w:ascii="Times New Roman" w:eastAsia="宋体"/>
                <w:szCs w:val="21"/>
              </w:rPr>
            </w:pPr>
            <w:r>
              <w:rPr>
                <w:rFonts w:ascii="Times New Roman" w:eastAsia="宋体"/>
                <w:szCs w:val="21"/>
              </w:rPr>
              <w:t>污染治理设施运行信息应按照设施类别分别记录设施的相关运行参数和维护记录。 a）污染治理设施包括特殊医疗污水收集处理设施以及综合污水处理站的预处理设施、二级处理设施、深度处理设施和消毒设施。分别记录每日进水水量、出水水量、主要污染物排放浓度、药剂名称及 使用量等。b）污染治理设施运维记录，包括设施是否正常运行、故障原因、维护过程、检查人、检查日期及 班次。</w:t>
            </w:r>
          </w:p>
        </w:tc>
        <w:tc>
          <w:tcPr>
            <w:tcW w:w="1045" w:type="dxa"/>
            <w:vAlign w:val="center"/>
          </w:tcPr>
          <w:p>
            <w:pPr>
              <w:jc w:val="center"/>
              <w:rPr>
                <w:rFonts w:ascii="Times New Roman" w:eastAsia="宋体"/>
                <w:szCs w:val="21"/>
              </w:rPr>
            </w:pPr>
            <w:r>
              <w:rPr>
                <w:rFonts w:ascii="Times New Roman" w:eastAsia="宋体"/>
                <w:szCs w:val="21"/>
              </w:rPr>
              <w:t>按日记录</w:t>
            </w:r>
          </w:p>
        </w:tc>
        <w:tc>
          <w:tcPr>
            <w:tcW w:w="1148" w:type="dxa"/>
            <w:vAlign w:val="center"/>
          </w:tcPr>
          <w:p>
            <w:pPr>
              <w:jc w:val="center"/>
              <w:rPr>
                <w:rFonts w:ascii="Times New Roman" w:eastAsia="宋体"/>
                <w:szCs w:val="21"/>
              </w:rPr>
            </w:pPr>
            <w:r>
              <w:rPr>
                <w:rFonts w:ascii="Times New Roman" w:eastAsia="宋体"/>
                <w:szCs w:val="21"/>
              </w:rPr>
              <w:t>电子台账+纸质台账</w:t>
            </w:r>
          </w:p>
        </w:tc>
        <w:tc>
          <w:tcPr>
            <w:tcW w:w="1073" w:type="dxa"/>
            <w:vAlign w:val="center"/>
          </w:tcPr>
          <w:p>
            <w:pPr>
              <w:jc w:val="center"/>
              <w:rPr>
                <w:rFonts w:ascii="Times New Roman" w:eastAsia="宋体"/>
                <w:szCs w:val="21"/>
              </w:rPr>
            </w:pPr>
            <w:r>
              <w:rPr>
                <w:rFonts w:ascii="Times New Roman" w:eastAsia="宋体"/>
                <w:szCs w:val="21"/>
              </w:rPr>
              <w:t>台账保存期限至少</w:t>
            </w:r>
            <w:r>
              <w:rPr>
                <w:rFonts w:hint="eastAsia" w:ascii="Times New Roman" w:eastAsia="宋体"/>
                <w:szCs w:val="21"/>
              </w:rPr>
              <w:t>五</w:t>
            </w:r>
            <w:r>
              <w:rPr>
                <w:rFonts w:ascii="Times New Roman" w:eastAsia="宋体"/>
                <w:szCs w:val="21"/>
              </w:rPr>
              <w:t>年</w:t>
            </w:r>
          </w:p>
        </w:tc>
      </w:tr>
    </w:tbl>
    <w:p>
      <w:pPr>
        <w:pStyle w:val="4"/>
      </w:pPr>
      <w:r>
        <w:rPr>
          <w:rFonts w:hint="eastAsia"/>
        </w:rPr>
        <w:t>排污口</w:t>
      </w:r>
      <w:r>
        <w:t>规范化</w:t>
      </w:r>
    </w:p>
    <w:p>
      <w:pPr>
        <w:pStyle w:val="49"/>
        <w:ind w:firstLine="480"/>
        <w:rPr>
          <w:rFonts w:cs="Times New Roman"/>
        </w:rPr>
      </w:pPr>
      <w:r>
        <w:rPr>
          <w:rFonts w:cs="Times New Roman"/>
        </w:rPr>
        <w:t>根据国家环境保护总局环发[1999]24号文件的规定：一切新建、扩建、改建的排污单位必须在建设污染治理设施的同时建设规范化排污口，作为落实环境保护</w:t>
      </w:r>
      <w:r>
        <w:rPr>
          <w:rFonts w:cs="Times New Roman" w:asciiTheme="minorEastAsia" w:hAnsiTheme="minorEastAsia" w:eastAsiaTheme="minorEastAsia"/>
        </w:rPr>
        <w:t>“三同时”</w:t>
      </w:r>
      <w:r>
        <w:rPr>
          <w:rFonts w:cs="Times New Roman"/>
        </w:rPr>
        <w:t>制度的必要组成和项目验收内容之一。</w:t>
      </w:r>
    </w:p>
    <w:p>
      <w:pPr>
        <w:pStyle w:val="49"/>
        <w:ind w:firstLine="480"/>
        <w:rPr>
          <w:rFonts w:cs="Times New Roman"/>
        </w:rPr>
      </w:pPr>
      <w:r>
        <w:rPr>
          <w:rFonts w:cs="Times New Roman"/>
        </w:rPr>
        <w:t>（1）</w:t>
      </w:r>
      <w:r>
        <w:rPr>
          <w:rFonts w:hint="eastAsia" w:cs="Times New Roman"/>
        </w:rPr>
        <w:t>排污口</w:t>
      </w:r>
      <w:r>
        <w:rPr>
          <w:rFonts w:cs="Times New Roman"/>
        </w:rPr>
        <w:t>的技术要求</w:t>
      </w:r>
    </w:p>
    <w:p>
      <w:pPr>
        <w:pStyle w:val="49"/>
        <w:ind w:firstLine="480"/>
        <w:rPr>
          <w:rFonts w:cs="Times New Roman"/>
        </w:rPr>
      </w:pPr>
      <w:r>
        <w:rPr>
          <w:rFonts w:hint="eastAsia" w:cs="Times New Roman"/>
        </w:rPr>
        <w:t>① 排污口的位置必须合理确定，按环监（1996）470号文件要求进行规范化管理。</w:t>
      </w:r>
    </w:p>
    <w:p>
      <w:pPr>
        <w:pStyle w:val="49"/>
        <w:ind w:firstLine="480"/>
        <w:rPr>
          <w:rFonts w:cs="Times New Roman"/>
        </w:rPr>
      </w:pPr>
      <w:r>
        <w:rPr>
          <w:rFonts w:hint="eastAsia" w:cs="Times New Roman"/>
        </w:rPr>
        <w:t>② 排放污染物的采样点设置应按《污染源监测技术规范》要求，设置在污水总排口、废气排放筒出口等处。</w:t>
      </w:r>
    </w:p>
    <w:p>
      <w:pPr>
        <w:pStyle w:val="49"/>
        <w:ind w:firstLine="480"/>
        <w:rPr>
          <w:rFonts w:cs="Times New Roman"/>
        </w:rPr>
      </w:pPr>
      <w:r>
        <w:rPr>
          <w:rFonts w:hint="eastAsia" w:cs="Times New Roman"/>
        </w:rPr>
        <w:t>（</w:t>
      </w:r>
      <w:r>
        <w:rPr>
          <w:rFonts w:cs="Times New Roman"/>
        </w:rPr>
        <w:t>2</w:t>
      </w:r>
      <w:r>
        <w:rPr>
          <w:rFonts w:hint="eastAsia" w:cs="Times New Roman"/>
        </w:rPr>
        <w:t>）排污口</w:t>
      </w:r>
      <w:r>
        <w:rPr>
          <w:rFonts w:cs="Times New Roman"/>
        </w:rPr>
        <w:t>立标管理</w:t>
      </w:r>
    </w:p>
    <w:p>
      <w:pPr>
        <w:pStyle w:val="49"/>
        <w:ind w:firstLine="480"/>
        <w:rPr>
          <w:rFonts w:cs="Times New Roman"/>
        </w:rPr>
      </w:pPr>
      <w:r>
        <w:rPr>
          <w:rFonts w:hint="eastAsia" w:cs="Times New Roman"/>
        </w:rPr>
        <w:t>① 企业污染物排放口的标志，应按国家《环境保护图形标志 排放口》（15562.1-1995）及《环境保护图形标志 固体废物贮存（处置）场》（15562.2-1995）的规定，设置国家环保总局统一制作的环境保护图形标志牌。排污口图形示例见表</w:t>
      </w:r>
      <w:r>
        <w:rPr>
          <w:rFonts w:cs="Times New Roman"/>
        </w:rPr>
        <w:t>10</w:t>
      </w:r>
      <w:r>
        <w:rPr>
          <w:rFonts w:hint="eastAsia" w:cs="Times New Roman"/>
        </w:rPr>
        <w:t>.2-1。</w:t>
      </w:r>
    </w:p>
    <w:p>
      <w:pPr>
        <w:pStyle w:val="49"/>
        <w:ind w:firstLine="480"/>
        <w:rPr>
          <w:rFonts w:cs="Times New Roman"/>
        </w:rPr>
      </w:pPr>
      <w:r>
        <w:rPr>
          <w:rFonts w:hint="eastAsia" w:cs="Times New Roman"/>
        </w:rPr>
        <w:t>② 污染物排放口的环保图形标志牌应设置在靠近采样点的醒目处，标志牌设置高度为其上缘距地面2m。</w:t>
      </w:r>
    </w:p>
    <w:p>
      <w:pPr>
        <w:pStyle w:val="49"/>
        <w:ind w:firstLine="480"/>
        <w:rPr>
          <w:rFonts w:cs="Times New Roman"/>
        </w:rPr>
      </w:pPr>
      <w:r>
        <w:rPr>
          <w:rFonts w:cs="Times New Roman"/>
        </w:rPr>
        <w:t>（3）污口建档管理</w:t>
      </w:r>
    </w:p>
    <w:p>
      <w:pPr>
        <w:pStyle w:val="49"/>
        <w:ind w:firstLine="480"/>
        <w:rPr>
          <w:rFonts w:cs="Times New Roman"/>
        </w:rPr>
      </w:pPr>
      <w:r>
        <w:rPr>
          <w:rFonts w:hint="eastAsia" w:ascii="宋体" w:hAnsi="宋体" w:cs="宋体"/>
        </w:rPr>
        <w:t>①</w:t>
      </w:r>
      <w:r>
        <w:rPr>
          <w:rFonts w:cs="Times New Roman"/>
        </w:rPr>
        <w:t>使用《中华人民共和国规范化排污口标志登记证》，并按要求填写有关内容。</w:t>
      </w:r>
    </w:p>
    <w:p>
      <w:pPr>
        <w:pStyle w:val="49"/>
        <w:ind w:firstLine="480"/>
        <w:rPr>
          <w:rFonts w:cs="Times New Roman"/>
        </w:rPr>
      </w:pPr>
      <w:r>
        <w:rPr>
          <w:rFonts w:hint="eastAsia" w:ascii="宋体" w:hAnsi="宋体" w:cs="宋体"/>
        </w:rPr>
        <w:t>②</w:t>
      </w:r>
      <w:r>
        <w:rPr>
          <w:rFonts w:cs="Times New Roman"/>
        </w:rPr>
        <w:t>按照环境管理监控计划及排污口管理内容要求，在项目建成后将主要污染物种类、数量、排放浓度与去向，立标及环保设施运行情况记录在案。</w:t>
      </w:r>
    </w:p>
    <w:p>
      <w:pPr>
        <w:adjustRightInd w:val="0"/>
        <w:snapToGrid w:val="0"/>
        <w:ind w:firstLine="480" w:firstLineChars="200"/>
        <w:jc w:val="center"/>
        <w:rPr>
          <w:rFonts w:ascii="Times New Roman" w:hAnsi="Times New Roman" w:eastAsia="宋体" w:cs="Times New Roman"/>
          <w:b/>
          <w:snapToGrid w:val="0"/>
          <w:sz w:val="24"/>
          <w:szCs w:val="24"/>
        </w:rPr>
      </w:pPr>
      <w:r>
        <w:rPr>
          <w:rFonts w:hint="eastAsia" w:ascii="Times New Roman" w:hAnsi="Times New Roman" w:eastAsia="宋体" w:cs="Times New Roman"/>
          <w:b/>
          <w:snapToGrid w:val="0"/>
          <w:sz w:val="24"/>
          <w:szCs w:val="24"/>
        </w:rPr>
        <w:t>表</w:t>
      </w:r>
      <w:r>
        <w:rPr>
          <w:rFonts w:ascii="Times New Roman" w:hAnsi="Times New Roman" w:eastAsia="宋体" w:cs="Times New Roman"/>
          <w:b/>
          <w:snapToGrid w:val="0"/>
          <w:sz w:val="24"/>
          <w:szCs w:val="24"/>
        </w:rPr>
        <w:t>10.2-3</w:t>
      </w:r>
      <w:r>
        <w:rPr>
          <w:rFonts w:hint="eastAsia" w:ascii="Times New Roman" w:hAnsi="Times New Roman" w:eastAsia="宋体" w:cs="Times New Roman"/>
          <w:b/>
          <w:snapToGrid w:val="0"/>
          <w:sz w:val="24"/>
          <w:szCs w:val="24"/>
        </w:rPr>
        <w:t xml:space="preserve">  排污口图形</w:t>
      </w:r>
      <w:r>
        <w:rPr>
          <w:rFonts w:ascii="Times New Roman" w:hAnsi="Times New Roman" w:eastAsia="宋体" w:cs="Times New Roman"/>
          <w:b/>
          <w:snapToGrid w:val="0"/>
          <w:sz w:val="24"/>
          <w:szCs w:val="24"/>
        </w:rPr>
        <w:t>标志</w:t>
      </w:r>
      <w:r>
        <w:rPr>
          <w:rFonts w:hint="eastAsia" w:ascii="Times New Roman" w:hAnsi="Times New Roman" w:eastAsia="宋体" w:cs="Times New Roman"/>
          <w:b/>
          <w:snapToGrid w:val="0"/>
          <w:sz w:val="24"/>
          <w:szCs w:val="24"/>
        </w:rPr>
        <w:t>示例</w:t>
      </w:r>
    </w:p>
    <w:tbl>
      <w:tblPr>
        <w:tblStyle w:val="25"/>
        <w:tblW w:w="8870"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698"/>
        <w:gridCol w:w="1781"/>
        <w:gridCol w:w="1783"/>
        <w:gridCol w:w="1385"/>
        <w:gridCol w:w="3223"/>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blHeader/>
        </w:trPr>
        <w:tc>
          <w:tcPr>
            <w:tcW w:w="698" w:type="dxa"/>
            <w:shd w:val="clear" w:color="auto" w:fill="auto"/>
            <w:vAlign w:val="center"/>
          </w:tcPr>
          <w:p>
            <w:pPr>
              <w:adjustRightInd w:val="0"/>
              <w:snapToGrid w:val="0"/>
              <w:jc w:val="center"/>
              <w:rPr>
                <w:rFonts w:ascii="Times New Roman" w:hAnsi="Times New Roman" w:eastAsia="宋体" w:cs="Times New Roman"/>
                <w:b/>
                <w:szCs w:val="24"/>
              </w:rPr>
            </w:pPr>
            <w:r>
              <w:rPr>
                <w:rFonts w:hint="eastAsia" w:ascii="Times New Roman" w:hAnsi="Times New Roman" w:eastAsia="宋体" w:cs="Times New Roman"/>
                <w:b/>
                <w:szCs w:val="24"/>
              </w:rPr>
              <w:t>序号</w:t>
            </w:r>
          </w:p>
        </w:tc>
        <w:tc>
          <w:tcPr>
            <w:tcW w:w="1781" w:type="dxa"/>
            <w:shd w:val="clear" w:color="auto" w:fill="auto"/>
            <w:vAlign w:val="center"/>
          </w:tcPr>
          <w:p>
            <w:pPr>
              <w:adjustRightInd w:val="0"/>
              <w:snapToGrid w:val="0"/>
              <w:jc w:val="center"/>
              <w:rPr>
                <w:rFonts w:ascii="Times New Roman" w:hAnsi="Times New Roman" w:eastAsia="宋体" w:cs="Times New Roman"/>
                <w:b/>
                <w:szCs w:val="24"/>
              </w:rPr>
            </w:pPr>
            <w:r>
              <w:rPr>
                <w:rFonts w:hint="eastAsia" w:ascii="Times New Roman" w:hAnsi="Times New Roman" w:eastAsia="宋体" w:cs="Times New Roman"/>
                <w:b/>
                <w:szCs w:val="24"/>
              </w:rPr>
              <w:t>提示</w:t>
            </w:r>
            <w:r>
              <w:rPr>
                <w:rFonts w:ascii="Times New Roman" w:hAnsi="Times New Roman" w:eastAsia="宋体" w:cs="Times New Roman"/>
                <w:b/>
                <w:szCs w:val="24"/>
              </w:rPr>
              <w:t>图形符号</w:t>
            </w:r>
          </w:p>
        </w:tc>
        <w:tc>
          <w:tcPr>
            <w:tcW w:w="1783" w:type="dxa"/>
            <w:shd w:val="clear" w:color="auto" w:fill="auto"/>
            <w:vAlign w:val="center"/>
          </w:tcPr>
          <w:p>
            <w:pPr>
              <w:adjustRightInd w:val="0"/>
              <w:snapToGrid w:val="0"/>
              <w:jc w:val="center"/>
              <w:rPr>
                <w:rFonts w:ascii="Times New Roman" w:hAnsi="Times New Roman" w:eastAsia="宋体" w:cs="Times New Roman"/>
                <w:b/>
                <w:szCs w:val="24"/>
              </w:rPr>
            </w:pPr>
            <w:r>
              <w:rPr>
                <w:rFonts w:hint="eastAsia" w:ascii="Times New Roman" w:hAnsi="Times New Roman" w:eastAsia="宋体" w:cs="Times New Roman"/>
                <w:b/>
                <w:szCs w:val="24"/>
              </w:rPr>
              <w:t>警告</w:t>
            </w:r>
            <w:r>
              <w:rPr>
                <w:rFonts w:ascii="Times New Roman" w:hAnsi="Times New Roman" w:eastAsia="宋体" w:cs="Times New Roman"/>
                <w:b/>
                <w:szCs w:val="24"/>
              </w:rPr>
              <w:t>图形标志</w:t>
            </w:r>
          </w:p>
        </w:tc>
        <w:tc>
          <w:tcPr>
            <w:tcW w:w="1385" w:type="dxa"/>
            <w:shd w:val="clear" w:color="auto" w:fill="auto"/>
            <w:vAlign w:val="center"/>
          </w:tcPr>
          <w:p>
            <w:pPr>
              <w:adjustRightInd w:val="0"/>
              <w:snapToGrid w:val="0"/>
              <w:jc w:val="center"/>
              <w:rPr>
                <w:rFonts w:ascii="Times New Roman" w:hAnsi="Times New Roman" w:eastAsia="宋体" w:cs="Times New Roman"/>
                <w:b/>
                <w:szCs w:val="24"/>
              </w:rPr>
            </w:pPr>
            <w:r>
              <w:rPr>
                <w:rFonts w:hint="eastAsia" w:ascii="Times New Roman" w:hAnsi="Times New Roman" w:eastAsia="宋体" w:cs="Times New Roman"/>
                <w:b/>
                <w:szCs w:val="24"/>
              </w:rPr>
              <w:t>名称</w:t>
            </w:r>
          </w:p>
        </w:tc>
        <w:tc>
          <w:tcPr>
            <w:tcW w:w="3223" w:type="dxa"/>
            <w:shd w:val="clear" w:color="auto" w:fill="auto"/>
            <w:vAlign w:val="center"/>
          </w:tcPr>
          <w:p>
            <w:pPr>
              <w:adjustRightInd w:val="0"/>
              <w:snapToGrid w:val="0"/>
              <w:jc w:val="center"/>
              <w:rPr>
                <w:rFonts w:ascii="Times New Roman" w:hAnsi="Times New Roman" w:eastAsia="宋体" w:cs="Times New Roman"/>
                <w:b/>
                <w:szCs w:val="24"/>
              </w:rPr>
            </w:pPr>
            <w:r>
              <w:rPr>
                <w:rFonts w:hint="eastAsia" w:ascii="Times New Roman" w:hAnsi="Times New Roman" w:eastAsia="宋体" w:cs="Times New Roman"/>
                <w:b/>
                <w:szCs w:val="24"/>
              </w:rPr>
              <w:t>功能</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698"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1</w:t>
            </w:r>
          </w:p>
        </w:tc>
        <w:tc>
          <w:tcPr>
            <w:tcW w:w="1781"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93445" cy="893445"/>
                  <wp:effectExtent l="0" t="0" r="1905" b="1905"/>
                  <wp:docPr id="2" name="图片 2" descr="QQ截图201708181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1708181202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893445" cy="893445"/>
                          </a:xfrm>
                          <a:prstGeom prst="rect">
                            <a:avLst/>
                          </a:prstGeom>
                          <a:noFill/>
                          <a:ln>
                            <a:noFill/>
                          </a:ln>
                        </pic:spPr>
                      </pic:pic>
                    </a:graphicData>
                  </a:graphic>
                </wp:inline>
              </w:drawing>
            </w:r>
          </w:p>
        </w:tc>
        <w:tc>
          <w:tcPr>
            <w:tcW w:w="1783"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900430" cy="893445"/>
                  <wp:effectExtent l="0" t="0" r="0" b="1905"/>
                  <wp:docPr id="4" name="图片 4" descr="QQ截图20170818120247"/>
                  <wp:cNvGraphicFramePr/>
                  <a:graphic xmlns:a="http://schemas.openxmlformats.org/drawingml/2006/main">
                    <a:graphicData uri="http://schemas.openxmlformats.org/drawingml/2006/picture">
                      <pic:pic xmlns:pic="http://schemas.openxmlformats.org/drawingml/2006/picture">
                        <pic:nvPicPr>
                          <pic:cNvPr id="4" name="图片 4" descr="QQ截图20170818120247"/>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900430" cy="893445"/>
                          </a:xfrm>
                          <a:prstGeom prst="rect">
                            <a:avLst/>
                          </a:prstGeom>
                          <a:noFill/>
                          <a:ln>
                            <a:noFill/>
                          </a:ln>
                        </pic:spPr>
                      </pic:pic>
                    </a:graphicData>
                  </a:graphic>
                </wp:inline>
              </w:drawing>
            </w:r>
          </w:p>
        </w:tc>
        <w:tc>
          <w:tcPr>
            <w:tcW w:w="1385"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废气</w:t>
            </w:r>
            <w:r>
              <w:rPr>
                <w:rFonts w:ascii="Times New Roman" w:hAnsi="Times New Roman" w:eastAsia="宋体" w:cs="Times New Roman"/>
                <w:szCs w:val="24"/>
              </w:rPr>
              <w:t>排放口</w:t>
            </w:r>
          </w:p>
        </w:tc>
        <w:tc>
          <w:tcPr>
            <w:tcW w:w="3223"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表示</w:t>
            </w:r>
            <w:r>
              <w:rPr>
                <w:rFonts w:ascii="Times New Roman" w:hAnsi="Times New Roman" w:eastAsia="宋体" w:cs="Times New Roman"/>
                <w:szCs w:val="24"/>
              </w:rPr>
              <w:t>向大气环境排放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698"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2</w:t>
            </w:r>
          </w:p>
        </w:tc>
        <w:tc>
          <w:tcPr>
            <w:tcW w:w="1781"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93445" cy="893445"/>
                  <wp:effectExtent l="0" t="0" r="1905" b="1905"/>
                  <wp:docPr id="6" name="图片 6" descr="QQ截图20170818120312"/>
                  <wp:cNvGraphicFramePr/>
                  <a:graphic xmlns:a="http://schemas.openxmlformats.org/drawingml/2006/main">
                    <a:graphicData uri="http://schemas.openxmlformats.org/drawingml/2006/picture">
                      <pic:pic xmlns:pic="http://schemas.openxmlformats.org/drawingml/2006/picture">
                        <pic:nvPicPr>
                          <pic:cNvPr id="6" name="图片 6" descr="QQ截图20170818120312"/>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893445" cy="893445"/>
                          </a:xfrm>
                          <a:prstGeom prst="rect">
                            <a:avLst/>
                          </a:prstGeom>
                          <a:noFill/>
                          <a:ln>
                            <a:noFill/>
                          </a:ln>
                        </pic:spPr>
                      </pic:pic>
                    </a:graphicData>
                  </a:graphic>
                </wp:inline>
              </w:drawing>
            </w:r>
          </w:p>
        </w:tc>
        <w:tc>
          <w:tcPr>
            <w:tcW w:w="1783"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900430" cy="893445"/>
                  <wp:effectExtent l="0" t="0" r="0" b="1905"/>
                  <wp:docPr id="7" name="图片 7" descr="QQ截图20170818120321"/>
                  <wp:cNvGraphicFramePr/>
                  <a:graphic xmlns:a="http://schemas.openxmlformats.org/drawingml/2006/main">
                    <a:graphicData uri="http://schemas.openxmlformats.org/drawingml/2006/picture">
                      <pic:pic xmlns:pic="http://schemas.openxmlformats.org/drawingml/2006/picture">
                        <pic:nvPicPr>
                          <pic:cNvPr id="7" name="图片 7" descr="QQ截图2017081812032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900430" cy="893445"/>
                          </a:xfrm>
                          <a:prstGeom prst="rect">
                            <a:avLst/>
                          </a:prstGeom>
                          <a:noFill/>
                          <a:ln>
                            <a:noFill/>
                          </a:ln>
                        </pic:spPr>
                      </pic:pic>
                    </a:graphicData>
                  </a:graphic>
                </wp:inline>
              </w:drawing>
            </w:r>
          </w:p>
        </w:tc>
        <w:tc>
          <w:tcPr>
            <w:tcW w:w="1385"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噪声</w:t>
            </w:r>
            <w:r>
              <w:rPr>
                <w:rFonts w:ascii="Times New Roman" w:hAnsi="Times New Roman" w:eastAsia="宋体" w:cs="Times New Roman"/>
                <w:szCs w:val="24"/>
              </w:rPr>
              <w:t>排放源</w:t>
            </w:r>
          </w:p>
        </w:tc>
        <w:tc>
          <w:tcPr>
            <w:tcW w:w="3223"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表示噪声</w:t>
            </w:r>
            <w:r>
              <w:rPr>
                <w:rFonts w:ascii="Times New Roman" w:hAnsi="Times New Roman" w:eastAsia="宋体" w:cs="Times New Roman"/>
                <w:szCs w:val="24"/>
              </w:rPr>
              <w:t>向外环境排放</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698"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3</w:t>
            </w:r>
          </w:p>
        </w:tc>
        <w:tc>
          <w:tcPr>
            <w:tcW w:w="1781"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93445" cy="893445"/>
                  <wp:effectExtent l="0" t="0" r="1905" b="1905"/>
                  <wp:docPr id="8" name="图片 8" descr="QQ截图20171117165619"/>
                  <wp:cNvGraphicFramePr/>
                  <a:graphic xmlns:a="http://schemas.openxmlformats.org/drawingml/2006/main">
                    <a:graphicData uri="http://schemas.openxmlformats.org/drawingml/2006/picture">
                      <pic:pic xmlns:pic="http://schemas.openxmlformats.org/drawingml/2006/picture">
                        <pic:nvPicPr>
                          <pic:cNvPr id="8" name="图片 8" descr="QQ截图20171117165619"/>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893445" cy="893445"/>
                          </a:xfrm>
                          <a:prstGeom prst="rect">
                            <a:avLst/>
                          </a:prstGeom>
                          <a:noFill/>
                          <a:ln>
                            <a:noFill/>
                          </a:ln>
                        </pic:spPr>
                      </pic:pic>
                    </a:graphicData>
                  </a:graphic>
                </wp:inline>
              </w:drawing>
            </w:r>
          </w:p>
        </w:tc>
        <w:tc>
          <w:tcPr>
            <w:tcW w:w="1783"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93445" cy="893445"/>
                  <wp:effectExtent l="0" t="0" r="1905" b="1905"/>
                  <wp:docPr id="9" name="图片 9" descr="QQ截图20171117185651"/>
                  <wp:cNvGraphicFramePr/>
                  <a:graphic xmlns:a="http://schemas.openxmlformats.org/drawingml/2006/main">
                    <a:graphicData uri="http://schemas.openxmlformats.org/drawingml/2006/picture">
                      <pic:pic xmlns:pic="http://schemas.openxmlformats.org/drawingml/2006/picture">
                        <pic:nvPicPr>
                          <pic:cNvPr id="9" name="图片 9" descr="QQ截图20171117185651"/>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893445" cy="893445"/>
                          </a:xfrm>
                          <a:prstGeom prst="rect">
                            <a:avLst/>
                          </a:prstGeom>
                          <a:noFill/>
                          <a:ln>
                            <a:noFill/>
                          </a:ln>
                        </pic:spPr>
                      </pic:pic>
                    </a:graphicData>
                  </a:graphic>
                </wp:inline>
              </w:drawing>
            </w:r>
          </w:p>
        </w:tc>
        <w:tc>
          <w:tcPr>
            <w:tcW w:w="1385"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一般</w:t>
            </w:r>
            <w:r>
              <w:rPr>
                <w:rFonts w:ascii="Times New Roman" w:hAnsi="Times New Roman" w:eastAsia="宋体" w:cs="Times New Roman"/>
                <w:szCs w:val="24"/>
              </w:rPr>
              <w:t>固体废物</w:t>
            </w:r>
          </w:p>
        </w:tc>
        <w:tc>
          <w:tcPr>
            <w:tcW w:w="3223"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表示</w:t>
            </w:r>
            <w:r>
              <w:rPr>
                <w:rFonts w:ascii="Times New Roman" w:hAnsi="Times New Roman" w:eastAsia="宋体" w:cs="Times New Roman"/>
                <w:szCs w:val="24"/>
              </w:rPr>
              <w:t>一般固体废物</w:t>
            </w:r>
            <w:r>
              <w:rPr>
                <w:rFonts w:hint="eastAsia" w:ascii="Times New Roman" w:hAnsi="Times New Roman" w:eastAsia="宋体" w:cs="Times New Roman"/>
                <w:szCs w:val="24"/>
              </w:rPr>
              <w:t>贮存</w:t>
            </w:r>
            <w:r>
              <w:rPr>
                <w:rFonts w:ascii="Times New Roman" w:hAnsi="Times New Roman" w:eastAsia="宋体" w:cs="Times New Roman"/>
                <w:szCs w:val="24"/>
              </w:rPr>
              <w:t>、处置场</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698"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t>4</w:t>
            </w:r>
          </w:p>
        </w:tc>
        <w:tc>
          <w:tcPr>
            <w:tcW w:w="1781"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783"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93445" cy="900430"/>
                  <wp:effectExtent l="0" t="0" r="1905" b="0"/>
                  <wp:docPr id="10" name="图片 10" descr="QQ截图20170818120401"/>
                  <wp:cNvGraphicFramePr/>
                  <a:graphic xmlns:a="http://schemas.openxmlformats.org/drawingml/2006/main">
                    <a:graphicData uri="http://schemas.openxmlformats.org/drawingml/2006/picture">
                      <pic:pic xmlns:pic="http://schemas.openxmlformats.org/drawingml/2006/picture">
                        <pic:nvPicPr>
                          <pic:cNvPr id="10" name="图片 10" descr="QQ截图20170818120401"/>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893445" cy="900430"/>
                          </a:xfrm>
                          <a:prstGeom prst="rect">
                            <a:avLst/>
                          </a:prstGeom>
                          <a:noFill/>
                          <a:ln>
                            <a:noFill/>
                          </a:ln>
                        </pic:spPr>
                      </pic:pic>
                    </a:graphicData>
                  </a:graphic>
                </wp:inline>
              </w:drawing>
            </w:r>
          </w:p>
        </w:tc>
        <w:tc>
          <w:tcPr>
            <w:tcW w:w="1385"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危险</w:t>
            </w:r>
            <w:r>
              <w:rPr>
                <w:rFonts w:ascii="Times New Roman" w:hAnsi="Times New Roman" w:eastAsia="宋体" w:cs="Times New Roman"/>
                <w:szCs w:val="24"/>
              </w:rPr>
              <w:t>废物</w:t>
            </w:r>
          </w:p>
        </w:tc>
        <w:tc>
          <w:tcPr>
            <w:tcW w:w="3223"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表示</w:t>
            </w:r>
            <w:r>
              <w:rPr>
                <w:rFonts w:ascii="Times New Roman" w:hAnsi="Times New Roman" w:eastAsia="宋体" w:cs="Times New Roman"/>
                <w:szCs w:val="24"/>
              </w:rPr>
              <w:t>危险废物贮存、处置场所</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c>
          <w:tcPr>
            <w:tcW w:w="698"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5</w:t>
            </w:r>
          </w:p>
        </w:tc>
        <w:tc>
          <w:tcPr>
            <w:tcW w:w="1781"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w:t>
            </w:r>
          </w:p>
        </w:tc>
        <w:tc>
          <w:tcPr>
            <w:tcW w:w="1783" w:type="dxa"/>
            <w:shd w:val="clear" w:color="auto" w:fill="auto"/>
            <w:vAlign w:val="center"/>
          </w:tcPr>
          <w:p>
            <w:pPr>
              <w:adjustRightInd w:val="0"/>
              <w:snapToGrid w:val="0"/>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900430" cy="900430"/>
                  <wp:effectExtent l="0" t="0" r="0" b="0"/>
                  <wp:docPr id="11" name="图片 11" descr="QQ截图20171117190643"/>
                  <wp:cNvGraphicFramePr/>
                  <a:graphic xmlns:a="http://schemas.openxmlformats.org/drawingml/2006/main">
                    <a:graphicData uri="http://schemas.openxmlformats.org/drawingml/2006/picture">
                      <pic:pic xmlns:pic="http://schemas.openxmlformats.org/drawingml/2006/picture">
                        <pic:nvPicPr>
                          <pic:cNvPr id="11" name="图片 11" descr="QQ截图20171117190643"/>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900430" cy="900430"/>
                          </a:xfrm>
                          <a:prstGeom prst="rect">
                            <a:avLst/>
                          </a:prstGeom>
                          <a:noFill/>
                          <a:ln>
                            <a:noFill/>
                          </a:ln>
                        </pic:spPr>
                      </pic:pic>
                    </a:graphicData>
                  </a:graphic>
                </wp:inline>
              </w:drawing>
            </w:r>
          </w:p>
        </w:tc>
        <w:tc>
          <w:tcPr>
            <w:tcW w:w="1385"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医疗废物</w:t>
            </w:r>
          </w:p>
        </w:tc>
        <w:tc>
          <w:tcPr>
            <w:tcW w:w="3223" w:type="dxa"/>
            <w:shd w:val="clear" w:color="auto" w:fill="auto"/>
            <w:vAlign w:val="center"/>
          </w:tcPr>
          <w:p>
            <w:pPr>
              <w:adjustRightInd w:val="0"/>
              <w:snapToGrid w:val="0"/>
              <w:jc w:val="center"/>
              <w:rPr>
                <w:rFonts w:ascii="Times New Roman" w:hAnsi="Times New Roman" w:eastAsia="宋体" w:cs="Times New Roman"/>
                <w:szCs w:val="24"/>
              </w:rPr>
            </w:pPr>
            <w:r>
              <w:rPr>
                <w:rFonts w:hint="eastAsia" w:ascii="Times New Roman" w:hAnsi="Times New Roman" w:eastAsia="宋体" w:cs="Times New Roman"/>
                <w:szCs w:val="24"/>
              </w:rPr>
              <w:t>表示医疗</w:t>
            </w:r>
            <w:r>
              <w:rPr>
                <w:rFonts w:ascii="Times New Roman" w:hAnsi="Times New Roman" w:eastAsia="宋体" w:cs="Times New Roman"/>
                <w:szCs w:val="24"/>
              </w:rPr>
              <w:t>废物贮存、处置场所</w:t>
            </w:r>
          </w:p>
        </w:tc>
      </w:tr>
    </w:tbl>
    <w:p>
      <w:pPr>
        <w:pStyle w:val="4"/>
      </w:pPr>
      <w:r>
        <w:rPr>
          <w:rFonts w:hint="eastAsia"/>
        </w:rPr>
        <w:t>企业</w:t>
      </w:r>
      <w:r>
        <w:t>信息公开</w:t>
      </w:r>
    </w:p>
    <w:p>
      <w:pPr>
        <w:pStyle w:val="49"/>
        <w:ind w:firstLine="480"/>
        <w:rPr>
          <w:rFonts w:cs="Times New Roman"/>
        </w:rPr>
      </w:pPr>
      <w:r>
        <w:rPr>
          <w:rFonts w:cs="Times New Roman"/>
        </w:rPr>
        <w:t>（1）企业环境信息公开的内容</w:t>
      </w:r>
    </w:p>
    <w:p>
      <w:pPr>
        <w:pStyle w:val="49"/>
        <w:ind w:firstLine="480"/>
        <w:rPr>
          <w:rFonts w:cs="Times New Roman"/>
        </w:rPr>
      </w:pPr>
      <w:r>
        <w:rPr>
          <w:rFonts w:cs="Times New Roman"/>
        </w:rPr>
        <w:t>根据《企业事业单位环境信息公开办法》（环保部令第31号）的规定，以及环保局的要求，本项目应公开如下环境信息：</w:t>
      </w:r>
    </w:p>
    <w:p>
      <w:pPr>
        <w:pStyle w:val="49"/>
        <w:ind w:firstLine="480"/>
        <w:rPr>
          <w:rFonts w:cs="Times New Roman"/>
        </w:rPr>
      </w:pPr>
      <w:r>
        <w:rPr>
          <w:rFonts w:hint="eastAsia" w:ascii="宋体" w:hAnsi="宋体" w:cs="宋体"/>
        </w:rPr>
        <w:t>①</w:t>
      </w:r>
      <w:r>
        <w:rPr>
          <w:rFonts w:cs="Times New Roman"/>
        </w:rPr>
        <w:t>基础信息，包括单位名称、组织机构代码、法定代表人、生产地址、联系方式，以及生产经营和管理服务的主要内容、产品及规模；</w:t>
      </w:r>
    </w:p>
    <w:p>
      <w:pPr>
        <w:pStyle w:val="49"/>
        <w:ind w:firstLine="480"/>
        <w:rPr>
          <w:rFonts w:cs="Times New Roman"/>
        </w:rPr>
      </w:pPr>
      <w:r>
        <w:rPr>
          <w:rFonts w:hint="eastAsia" w:ascii="宋体" w:hAnsi="宋体" w:cs="宋体"/>
        </w:rPr>
        <w:t>②</w:t>
      </w:r>
      <w:r>
        <w:rPr>
          <w:rFonts w:cs="Times New Roman"/>
        </w:rPr>
        <w:t>排污信息，包括主要污染物及特征污染物的名称、排放方式、排放口数量和分布情况、排放浓度和总量、超标情况，以及执行的污染物排放标准、核定的排放总量；</w:t>
      </w:r>
    </w:p>
    <w:p>
      <w:pPr>
        <w:pStyle w:val="49"/>
        <w:ind w:firstLine="480"/>
        <w:rPr>
          <w:rFonts w:cs="Times New Roman"/>
        </w:rPr>
      </w:pPr>
      <w:r>
        <w:rPr>
          <w:rFonts w:hint="eastAsia" w:ascii="宋体" w:hAnsi="宋体" w:cs="宋体"/>
        </w:rPr>
        <w:t>③</w:t>
      </w:r>
      <w:r>
        <w:rPr>
          <w:rFonts w:cs="Times New Roman"/>
        </w:rPr>
        <w:t>防治污染设施的建设和运行情况；</w:t>
      </w:r>
    </w:p>
    <w:p>
      <w:pPr>
        <w:pStyle w:val="49"/>
        <w:ind w:firstLine="480"/>
        <w:rPr>
          <w:rFonts w:cs="Times New Roman"/>
        </w:rPr>
      </w:pPr>
      <w:r>
        <w:rPr>
          <w:rFonts w:hint="eastAsia" w:ascii="宋体" w:hAnsi="宋体" w:cs="宋体"/>
        </w:rPr>
        <w:t>④</w:t>
      </w:r>
      <w:r>
        <w:rPr>
          <w:rFonts w:cs="Times New Roman"/>
        </w:rPr>
        <w:t>建设项目环境影响评价及其他环境保护行政许可情况；</w:t>
      </w:r>
    </w:p>
    <w:p>
      <w:pPr>
        <w:pStyle w:val="49"/>
        <w:ind w:firstLine="480"/>
        <w:rPr>
          <w:rFonts w:cs="Times New Roman"/>
        </w:rPr>
      </w:pPr>
      <w:r>
        <w:rPr>
          <w:rFonts w:hint="eastAsia" w:ascii="宋体" w:hAnsi="宋体" w:cs="宋体"/>
        </w:rPr>
        <w:t>⑤</w:t>
      </w:r>
      <w:r>
        <w:rPr>
          <w:rFonts w:cs="Times New Roman"/>
        </w:rPr>
        <w:t>突发环境事件应急预案；</w:t>
      </w:r>
    </w:p>
    <w:p>
      <w:pPr>
        <w:pStyle w:val="49"/>
        <w:ind w:firstLine="480"/>
        <w:rPr>
          <w:rFonts w:cs="Times New Roman"/>
        </w:rPr>
      </w:pPr>
      <w:r>
        <w:rPr>
          <w:rFonts w:hint="eastAsia" w:ascii="宋体" w:hAnsi="宋体" w:cs="宋体"/>
        </w:rPr>
        <w:t>⑥</w:t>
      </w:r>
      <w:r>
        <w:rPr>
          <w:rFonts w:cs="Times New Roman"/>
        </w:rPr>
        <w:t>其他应当公开的环境信息。</w:t>
      </w:r>
    </w:p>
    <w:p>
      <w:pPr>
        <w:pStyle w:val="49"/>
        <w:ind w:firstLine="480"/>
        <w:rPr>
          <w:rFonts w:cs="Times New Roman"/>
        </w:rPr>
      </w:pPr>
      <w:r>
        <w:rPr>
          <w:rFonts w:cs="Times New Roman"/>
        </w:rPr>
        <w:t>（2）公开信息的方式</w:t>
      </w:r>
    </w:p>
    <w:p>
      <w:pPr>
        <w:pStyle w:val="49"/>
        <w:ind w:firstLine="480"/>
        <w:rPr>
          <w:rFonts w:cs="Times New Roman"/>
        </w:rPr>
      </w:pPr>
      <w:r>
        <w:rPr>
          <w:rFonts w:cs="Times New Roman"/>
        </w:rPr>
        <w:t>排污单位应当通过其网站、建设单位环境信息公开平台或者当地报刊等便于公众知晓的方式公开环境信息，同时可以采取以下一种或者几种方式予以公开：</w:t>
      </w:r>
    </w:p>
    <w:p>
      <w:pPr>
        <w:pStyle w:val="49"/>
        <w:ind w:firstLine="480"/>
        <w:rPr>
          <w:rFonts w:cs="Times New Roman"/>
        </w:rPr>
      </w:pPr>
      <w:r>
        <w:rPr>
          <w:rFonts w:hint="eastAsia" w:ascii="宋体" w:hAnsi="宋体" w:cs="宋体"/>
        </w:rPr>
        <w:t>①</w:t>
      </w:r>
      <w:r>
        <w:rPr>
          <w:rFonts w:cs="Times New Roman"/>
        </w:rPr>
        <w:t>公告或者公开发行的信息专刊；</w:t>
      </w:r>
    </w:p>
    <w:p>
      <w:pPr>
        <w:pStyle w:val="49"/>
        <w:ind w:firstLine="480"/>
        <w:rPr>
          <w:rFonts w:cs="Times New Roman"/>
        </w:rPr>
      </w:pPr>
      <w:r>
        <w:rPr>
          <w:rFonts w:hint="eastAsia" w:ascii="宋体" w:hAnsi="宋体" w:cs="宋体"/>
        </w:rPr>
        <w:t>②</w:t>
      </w:r>
      <w:r>
        <w:rPr>
          <w:rFonts w:cs="Times New Roman"/>
        </w:rPr>
        <w:t>广播、电视等新闻媒体；</w:t>
      </w:r>
    </w:p>
    <w:p>
      <w:pPr>
        <w:pStyle w:val="49"/>
        <w:ind w:firstLine="480"/>
        <w:rPr>
          <w:rFonts w:cs="Times New Roman"/>
        </w:rPr>
      </w:pPr>
      <w:r>
        <w:rPr>
          <w:rFonts w:hint="eastAsia" w:ascii="宋体" w:hAnsi="宋体" w:cs="宋体"/>
        </w:rPr>
        <w:t>③</w:t>
      </w:r>
      <w:r>
        <w:rPr>
          <w:rFonts w:cs="Times New Roman"/>
        </w:rPr>
        <w:t>信息公开服务、监督热线电话；</w:t>
      </w:r>
    </w:p>
    <w:p>
      <w:pPr>
        <w:pStyle w:val="49"/>
        <w:ind w:firstLine="480"/>
        <w:rPr>
          <w:rFonts w:cs="Times New Roman"/>
        </w:rPr>
      </w:pPr>
      <w:r>
        <w:rPr>
          <w:rFonts w:hint="eastAsia" w:ascii="宋体" w:hAnsi="宋体" w:cs="宋体"/>
        </w:rPr>
        <w:t>④</w:t>
      </w:r>
      <w:r>
        <w:rPr>
          <w:rFonts w:cs="Times New Roman"/>
        </w:rPr>
        <w:t>本单位的资料索取点、信息公开栏、信息亭、电子屏幕、电子触摸屏等场所或者设施。</w:t>
      </w:r>
    </w:p>
    <w:p>
      <w:pPr>
        <w:pStyle w:val="3"/>
      </w:pPr>
      <w:bookmarkStart w:id="96" w:name="_Toc113260454"/>
      <w:r>
        <w:rPr>
          <w:rFonts w:hint="eastAsia"/>
        </w:rPr>
        <w:t>总量</w:t>
      </w:r>
      <w:r>
        <w:t>控制</w:t>
      </w:r>
      <w:bookmarkEnd w:id="96"/>
    </w:p>
    <w:p>
      <w:pPr>
        <w:pStyle w:val="49"/>
        <w:ind w:firstLine="480"/>
        <w:rPr>
          <w:rFonts w:cs="Times New Roman"/>
        </w:rPr>
      </w:pPr>
      <w:r>
        <w:rPr>
          <w:rFonts w:cs="Times New Roman"/>
        </w:rPr>
        <w:t>国家实行重点污染物排放总量控制制度。重点污染物排放总量控制指标由国务院下达，省、自治区、直辖市人民政府分解落实。企业事业单位在执行国家和地方污染物排放标准的同时，应当遵守分解落实到本单位的重点污染物排放总量控制指标。</w:t>
      </w:r>
    </w:p>
    <w:p>
      <w:pPr>
        <w:pStyle w:val="40"/>
        <w:ind w:firstLine="480"/>
      </w:pPr>
      <w:r>
        <w:rPr>
          <w:rFonts w:hint="eastAsia"/>
        </w:rPr>
        <w:t>（1）SO</w:t>
      </w:r>
      <w:r>
        <w:rPr>
          <w:rFonts w:hint="eastAsia"/>
          <w:vertAlign w:val="subscript"/>
        </w:rPr>
        <w:t>2</w:t>
      </w:r>
      <w:r>
        <w:rPr>
          <w:rFonts w:hint="eastAsia"/>
        </w:rPr>
        <w:t>和NOx</w:t>
      </w:r>
    </w:p>
    <w:p>
      <w:pPr>
        <w:pStyle w:val="40"/>
        <w:ind w:firstLine="480"/>
      </w:pPr>
      <w:r>
        <w:rPr>
          <w:rFonts w:hint="eastAsia"/>
        </w:rPr>
        <w:t>本项目设有燃气锅炉，因此，项目SO</w:t>
      </w:r>
      <w:r>
        <w:rPr>
          <w:rFonts w:hint="eastAsia"/>
          <w:vertAlign w:val="subscript"/>
        </w:rPr>
        <w:t>2</w:t>
      </w:r>
      <w:r>
        <w:rPr>
          <w:rFonts w:hint="eastAsia"/>
        </w:rPr>
        <w:t>和NOx排放量</w:t>
      </w:r>
      <w:r>
        <w:t>分别为</w:t>
      </w:r>
      <w:r>
        <w:rPr>
          <w:rFonts w:hint="eastAsia"/>
          <w:color w:val="FF0000"/>
        </w:rPr>
        <w:t>0.</w:t>
      </w:r>
      <w:r>
        <w:rPr>
          <w:color w:val="FF0000"/>
        </w:rPr>
        <w:t>271t/a</w:t>
      </w:r>
      <w:r>
        <w:rPr>
          <w:rFonts w:hint="eastAsia"/>
          <w:color w:val="FF0000"/>
        </w:rPr>
        <w:t>、0</w:t>
      </w:r>
      <w:r>
        <w:rPr>
          <w:color w:val="FF0000"/>
        </w:rPr>
        <w:t>.409 t/a</w:t>
      </w:r>
      <w:r>
        <w:rPr>
          <w:rFonts w:hint="eastAsia"/>
          <w:color w:val="FF0000"/>
        </w:rPr>
        <w:t>。</w:t>
      </w:r>
    </w:p>
    <w:p>
      <w:pPr>
        <w:pStyle w:val="40"/>
        <w:ind w:firstLine="480"/>
      </w:pPr>
      <w:r>
        <w:rPr>
          <w:rFonts w:hint="eastAsia"/>
        </w:rPr>
        <w:t>（2）COD和NH</w:t>
      </w:r>
      <w:r>
        <w:rPr>
          <w:rFonts w:hint="eastAsia"/>
          <w:vertAlign w:val="subscript"/>
        </w:rPr>
        <w:t>3</w:t>
      </w:r>
      <w:r>
        <w:rPr>
          <w:rFonts w:hint="eastAsia"/>
        </w:rPr>
        <w:t>-N</w:t>
      </w:r>
    </w:p>
    <w:p>
      <w:pPr>
        <w:pStyle w:val="40"/>
        <w:ind w:firstLine="480"/>
      </w:pPr>
      <w:r>
        <w:rPr>
          <w:rFonts w:hint="eastAsia"/>
        </w:rPr>
        <w:t>生活污水经化粪池处理后与其余医疗废水混合进入自建污水</w:t>
      </w:r>
      <w:r>
        <w:t>处理</w:t>
      </w:r>
      <w:r>
        <w:rPr>
          <w:rFonts w:hint="eastAsia"/>
        </w:rPr>
        <w:t>站</w:t>
      </w:r>
      <w:r>
        <w:t>处理</w:t>
      </w:r>
      <w:r>
        <w:rPr>
          <w:rFonts w:hint="eastAsia"/>
        </w:rPr>
        <w:t>，处理</w:t>
      </w:r>
      <w:r>
        <w:t>后</w:t>
      </w:r>
      <w:r>
        <w:rPr>
          <w:rFonts w:hint="eastAsia"/>
        </w:rPr>
        <w:t>废水经市政</w:t>
      </w:r>
      <w:r>
        <w:t>管网排入安康市恒口示范区污水处理厂，项目</w:t>
      </w:r>
      <w:r>
        <w:rPr>
          <w:rFonts w:hint="eastAsia"/>
        </w:rPr>
        <w:t>排入</w:t>
      </w:r>
      <w:r>
        <w:t>污水处理厂的</w:t>
      </w:r>
      <w:r>
        <w:rPr>
          <w:rFonts w:hint="eastAsia"/>
        </w:rPr>
        <w:t>COD排放量</w:t>
      </w:r>
      <w:r>
        <w:t>12.83t/a</w:t>
      </w:r>
      <w:r>
        <w:rPr>
          <w:rFonts w:hint="eastAsia"/>
        </w:rPr>
        <w:t>，NH</w:t>
      </w:r>
      <w:r>
        <w:rPr>
          <w:rFonts w:hint="eastAsia"/>
          <w:vertAlign w:val="subscript"/>
        </w:rPr>
        <w:t>3</w:t>
      </w:r>
      <w:r>
        <w:rPr>
          <w:rFonts w:hint="eastAsia"/>
        </w:rPr>
        <w:t>-N排放量</w:t>
      </w:r>
      <w:r>
        <w:t>2.14t/a</w:t>
      </w:r>
      <w:r>
        <w:rPr>
          <w:rFonts w:hint="eastAsia"/>
        </w:rPr>
        <w:t>。项目</w:t>
      </w:r>
      <w:r>
        <w:t>废水总量纳入</w:t>
      </w:r>
      <w:r>
        <w:rPr>
          <w:rFonts w:hint="eastAsia"/>
        </w:rPr>
        <w:t>安康市恒口示范区污水处理厂总量</w:t>
      </w:r>
      <w:r>
        <w:t>指标，</w:t>
      </w:r>
      <w:r>
        <w:rPr>
          <w:rFonts w:hint="eastAsia"/>
          <w:color w:val="FF0000"/>
        </w:rPr>
        <w:t>经</w:t>
      </w:r>
      <w:r>
        <w:rPr>
          <w:color w:val="FF0000"/>
        </w:rPr>
        <w:t>污水处理厂处理后</w:t>
      </w:r>
      <w:r>
        <w:rPr>
          <w:rFonts w:hint="eastAsia"/>
          <w:color w:val="FF0000"/>
        </w:rPr>
        <w:t>排放</w:t>
      </w:r>
      <w:r>
        <w:rPr>
          <w:color w:val="FF0000"/>
        </w:rPr>
        <w:t>的</w:t>
      </w:r>
      <w:r>
        <w:rPr>
          <w:rFonts w:hint="eastAsia"/>
        </w:rPr>
        <w:t>COD总量为</w:t>
      </w:r>
      <w:r>
        <w:rPr>
          <w:color w:val="FF0000"/>
        </w:rPr>
        <w:t>3.56t/a</w:t>
      </w:r>
      <w:r>
        <w:rPr>
          <w:rFonts w:hint="eastAsia"/>
        </w:rPr>
        <w:t>，NH</w:t>
      </w:r>
      <w:r>
        <w:rPr>
          <w:rFonts w:hint="eastAsia"/>
          <w:vertAlign w:val="subscript"/>
        </w:rPr>
        <w:t>3</w:t>
      </w:r>
      <w:r>
        <w:rPr>
          <w:rFonts w:hint="eastAsia"/>
        </w:rPr>
        <w:t>-N总量</w:t>
      </w:r>
      <w:r>
        <w:rPr>
          <w:color w:val="FF0000"/>
        </w:rPr>
        <w:t>0.36t/a</w:t>
      </w:r>
      <w:r>
        <w:rPr>
          <w:rFonts w:hint="eastAsia"/>
          <w:color w:val="FF0000"/>
        </w:rPr>
        <w:t>。</w:t>
      </w:r>
    </w:p>
    <w:p>
      <w:pPr>
        <w:pStyle w:val="3"/>
      </w:pPr>
      <w:bookmarkStart w:id="97" w:name="_Toc113260455"/>
      <w:r>
        <w:rPr>
          <w:rFonts w:hint="eastAsia"/>
        </w:rPr>
        <w:t>环境</w:t>
      </w:r>
      <w:r>
        <w:t>监测计划</w:t>
      </w:r>
      <w:bookmarkEnd w:id="97"/>
    </w:p>
    <w:p>
      <w:pPr>
        <w:pStyle w:val="49"/>
        <w:ind w:firstLine="480"/>
        <w:rPr>
          <w:rFonts w:cs="Times New Roman"/>
        </w:rPr>
      </w:pPr>
      <w:r>
        <w:t>根据《排污单位自行监测技术指南 总则》（HJ819-2017）</w:t>
      </w:r>
      <w:r>
        <w:rPr>
          <w:rFonts w:hint="eastAsia"/>
        </w:rPr>
        <w:t>，</w:t>
      </w:r>
      <w:r>
        <w:t xml:space="preserve">《排污单位自行监测技术指南 </w:t>
      </w:r>
      <w:r>
        <w:rPr>
          <w:rFonts w:hint="eastAsia"/>
        </w:rPr>
        <w:t>火力</w:t>
      </w:r>
      <w:r>
        <w:t>发电</w:t>
      </w:r>
      <w:r>
        <w:rPr>
          <w:rFonts w:hint="eastAsia"/>
        </w:rPr>
        <w:t>及锅炉</w:t>
      </w:r>
      <w:r>
        <w:t>》</w:t>
      </w:r>
      <w:r>
        <w:rPr>
          <w:rFonts w:hint="eastAsia"/>
        </w:rPr>
        <w:t>（HJ</w:t>
      </w:r>
      <w:r>
        <w:t>820-2017</w:t>
      </w:r>
      <w:r>
        <w:rPr>
          <w:rFonts w:hint="eastAsia"/>
        </w:rPr>
        <w:t>）、《排污</w:t>
      </w:r>
      <w:r>
        <w:t>许可证申请与核发技术规范</w:t>
      </w:r>
      <w:r>
        <w:rPr>
          <w:rFonts w:hint="eastAsia"/>
        </w:rPr>
        <w:t xml:space="preserve"> 医疗</w:t>
      </w:r>
      <w:r>
        <w:t>机构</w:t>
      </w:r>
      <w:r>
        <w:rPr>
          <w:rFonts w:hint="eastAsia"/>
        </w:rPr>
        <w:t>》（HJ</w:t>
      </w:r>
      <w:r>
        <w:t>1105-2020</w:t>
      </w:r>
      <w:r>
        <w:rPr>
          <w:rFonts w:hint="eastAsia"/>
        </w:rPr>
        <w:t>），</w:t>
      </w:r>
      <w:r>
        <w:rPr>
          <w:rFonts w:cs="Times New Roman"/>
        </w:rPr>
        <w:t>为保证项目污染治理措施有效稳定运行，实现污染物稳定达标排放，建设单位可根据自身条件和能力，利用自有人员、场所和设备自行监测；也可委托其他有资质的检（监）测机构代其开展自行监测，以便及时掌握产排污规律，加强污染治理。</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本项目营运期污染源监测计划见</w:t>
      </w:r>
      <w:r>
        <w:rPr>
          <w:rFonts w:hint="eastAsia" w:ascii="Times New Roman" w:hAnsi="Times New Roman" w:eastAsia="宋体" w:cs="Times New Roman"/>
          <w:sz w:val="24"/>
        </w:rPr>
        <w:t>10.4-1。</w:t>
      </w:r>
    </w:p>
    <w:p>
      <w:pPr>
        <w:pStyle w:val="22"/>
        <w:rPr>
          <w:szCs w:val="21"/>
        </w:rPr>
      </w:pPr>
      <w:bookmarkStart w:id="98" w:name="_Ref25834876"/>
      <w:r>
        <w:t>表</w:t>
      </w:r>
      <w:r>
        <w:fldChar w:fldCharType="begin"/>
      </w:r>
      <w:r>
        <w:instrText xml:space="preserve"> STYLEREF 2 \s </w:instrText>
      </w:r>
      <w:r>
        <w:fldChar w:fldCharType="separate"/>
      </w:r>
      <w:r>
        <w:t>10.4</w:t>
      </w:r>
      <w:r>
        <w:fldChar w:fldCharType="end"/>
      </w:r>
      <w:r>
        <w:noBreakHyphen/>
      </w:r>
      <w:r>
        <w:fldChar w:fldCharType="begin"/>
      </w:r>
      <w:r>
        <w:instrText xml:space="preserve"> SEQ 表 \* ARABIC \s 2 </w:instrText>
      </w:r>
      <w:r>
        <w:fldChar w:fldCharType="separate"/>
      </w:r>
      <w:r>
        <w:t>1</w:t>
      </w:r>
      <w:r>
        <w:fldChar w:fldCharType="end"/>
      </w:r>
      <w:bookmarkEnd w:id="98"/>
      <w:r>
        <w:rPr>
          <w:szCs w:val="21"/>
        </w:rPr>
        <w:t xml:space="preserve">  污染源监测计划表</w:t>
      </w:r>
    </w:p>
    <w:tbl>
      <w:tblPr>
        <w:tblStyle w:val="25"/>
        <w:tblW w:w="916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812"/>
        <w:gridCol w:w="995"/>
        <w:gridCol w:w="1132"/>
        <w:gridCol w:w="4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973"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污染源</w:t>
            </w:r>
          </w:p>
          <w:p>
            <w:pPr>
              <w:jc w:val="center"/>
              <w:rPr>
                <w:rFonts w:ascii="Times New Roman" w:hAnsi="Calibri" w:eastAsia="宋体" w:cs="Times New Roman"/>
                <w:szCs w:val="21"/>
              </w:rPr>
            </w:pPr>
            <w:r>
              <w:rPr>
                <w:rFonts w:ascii="Times New Roman" w:hAnsi="Calibri" w:eastAsia="宋体" w:cs="Times New Roman"/>
                <w:szCs w:val="21"/>
              </w:rPr>
              <w:t>名称</w:t>
            </w: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监测项目</w:t>
            </w:r>
          </w:p>
        </w:tc>
        <w:tc>
          <w:tcPr>
            <w:tcW w:w="995"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监测点</w:t>
            </w:r>
          </w:p>
        </w:tc>
        <w:tc>
          <w:tcPr>
            <w:tcW w:w="113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监测频率</w:t>
            </w:r>
          </w:p>
        </w:tc>
        <w:tc>
          <w:tcPr>
            <w:tcW w:w="4257"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restart"/>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废气</w:t>
            </w:r>
          </w:p>
        </w:tc>
        <w:tc>
          <w:tcPr>
            <w:tcW w:w="181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氨气、硫化氢、臭气浓度</w:t>
            </w:r>
          </w:p>
        </w:tc>
        <w:tc>
          <w:tcPr>
            <w:tcW w:w="995"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厂界</w:t>
            </w: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季度</w:t>
            </w:r>
          </w:p>
        </w:tc>
        <w:tc>
          <w:tcPr>
            <w:tcW w:w="4257"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《医疗机构水污染物排放标准》（GB18466-2005）中表3的标准要求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NO</w:t>
            </w:r>
            <w:r>
              <w:rPr>
                <w:rFonts w:ascii="Times New Roman" w:hAnsi="Calibri" w:eastAsia="宋体" w:cs="Times New Roman"/>
                <w:szCs w:val="21"/>
                <w:vertAlign w:val="subscript"/>
              </w:rPr>
              <w:t>X</w:t>
            </w:r>
          </w:p>
        </w:tc>
        <w:tc>
          <w:tcPr>
            <w:tcW w:w="995" w:type="dxa"/>
            <w:vMerge w:val="restart"/>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天然气</w:t>
            </w:r>
            <w:r>
              <w:rPr>
                <w:rFonts w:ascii="Times New Roman" w:hAnsi="Calibri" w:eastAsia="宋体" w:cs="Times New Roman"/>
                <w:szCs w:val="21"/>
              </w:rPr>
              <w:t>锅炉</w:t>
            </w:r>
            <w:r>
              <w:rPr>
                <w:rFonts w:hint="eastAsia" w:ascii="Times New Roman" w:hAnsi="Calibri" w:eastAsia="宋体" w:cs="Times New Roman"/>
                <w:szCs w:val="21"/>
              </w:rPr>
              <w:t>排气筒</w:t>
            </w:r>
            <w:r>
              <w:rPr>
                <w:rFonts w:ascii="Times New Roman" w:hAnsi="Calibri" w:eastAsia="宋体" w:cs="Times New Roman"/>
                <w:szCs w:val="21"/>
              </w:rPr>
              <w:t>出口</w:t>
            </w: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月</w:t>
            </w:r>
          </w:p>
        </w:tc>
        <w:tc>
          <w:tcPr>
            <w:tcW w:w="4257" w:type="dxa"/>
            <w:vMerge w:val="restart"/>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《锅炉大气污染物排放标准》（DB</w:t>
            </w:r>
            <w:r>
              <w:rPr>
                <w:rFonts w:ascii="Times New Roman" w:hAnsi="Calibri" w:eastAsia="宋体" w:cs="Times New Roman"/>
                <w:szCs w:val="21"/>
              </w:rPr>
              <w:t>61/1226-2018</w:t>
            </w:r>
            <w:r>
              <w:rPr>
                <w:rFonts w:hint="eastAsia" w:ascii="Times New Roman" w:hAnsi="Calibri"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颗粒物</w:t>
            </w:r>
            <w:r>
              <w:rPr>
                <w:rFonts w:ascii="Times New Roman" w:hAnsi="Calibri" w:eastAsia="宋体" w:cs="Times New Roman"/>
                <w:szCs w:val="21"/>
              </w:rPr>
              <w:t>、SO</w:t>
            </w:r>
            <w:r>
              <w:rPr>
                <w:rFonts w:ascii="Times New Roman" w:hAnsi="Calibri" w:eastAsia="宋体" w:cs="Times New Roman"/>
                <w:szCs w:val="21"/>
                <w:vertAlign w:val="subscript"/>
              </w:rPr>
              <w:t>2</w:t>
            </w:r>
          </w:p>
        </w:tc>
        <w:tc>
          <w:tcPr>
            <w:tcW w:w="995" w:type="dxa"/>
            <w:vMerge w:val="continue"/>
            <w:tcMar>
              <w:left w:w="57" w:type="dxa"/>
              <w:right w:w="57" w:type="dxa"/>
            </w:tcMar>
            <w:vAlign w:val="center"/>
          </w:tcPr>
          <w:p>
            <w:pPr>
              <w:jc w:val="center"/>
              <w:rPr>
                <w:rFonts w:ascii="Times New Roman" w:hAnsi="Calibri" w:eastAsia="宋体" w:cs="Times New Roman"/>
                <w:szCs w:val="21"/>
              </w:rPr>
            </w:pP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季度</w:t>
            </w:r>
          </w:p>
        </w:tc>
        <w:tc>
          <w:tcPr>
            <w:tcW w:w="4257" w:type="dxa"/>
            <w:vMerge w:val="continue"/>
            <w:tcMar>
              <w:left w:w="57" w:type="dxa"/>
              <w:right w:w="57" w:type="dxa"/>
            </w:tcMar>
            <w:vAlign w:val="center"/>
          </w:tcPr>
          <w:p>
            <w:pPr>
              <w:jc w:val="center"/>
              <w:rPr>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restart"/>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废水</w:t>
            </w:r>
          </w:p>
        </w:tc>
        <w:tc>
          <w:tcPr>
            <w:tcW w:w="181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流量</w:t>
            </w:r>
          </w:p>
        </w:tc>
        <w:tc>
          <w:tcPr>
            <w:tcW w:w="995" w:type="dxa"/>
            <w:vMerge w:val="restart"/>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污水总排放口</w:t>
            </w: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自动</w:t>
            </w:r>
            <w:r>
              <w:rPr>
                <w:rFonts w:ascii="Times New Roman" w:hAnsi="Calibri" w:eastAsia="宋体" w:cs="Times New Roman"/>
                <w:szCs w:val="21"/>
              </w:rPr>
              <w:t>监测</w:t>
            </w:r>
          </w:p>
        </w:tc>
        <w:tc>
          <w:tcPr>
            <w:tcW w:w="4257" w:type="dxa"/>
            <w:vMerge w:val="restart"/>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《医疗机构水污染物排放标准》（GB18466-2005）表2预处理标准和《污水排入城镇下水道水质标准》（GB/T31962-2015）</w:t>
            </w:r>
            <w:r>
              <w:rPr>
                <w:rFonts w:hint="eastAsia" w:ascii="Times New Roman" w:hAnsi="Calibri" w:eastAsia="宋体" w:cs="Times New Roman"/>
                <w:szCs w:val="21"/>
              </w:rPr>
              <w:t>B</w:t>
            </w:r>
            <w:r>
              <w:rPr>
                <w:rFonts w:ascii="Times New Roman" w:hAnsi="Calibri" w:eastAsia="宋体" w:cs="Times New Roman"/>
                <w:szCs w:val="21"/>
              </w:rPr>
              <w:t>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pH</w:t>
            </w:r>
            <w:r>
              <w:rPr>
                <w:rFonts w:hint="eastAsia" w:ascii="Times New Roman" w:hAnsi="Calibri" w:eastAsia="宋体" w:cs="Times New Roman"/>
                <w:szCs w:val="21"/>
              </w:rPr>
              <w:t>值</w:t>
            </w:r>
          </w:p>
        </w:tc>
        <w:tc>
          <w:tcPr>
            <w:tcW w:w="995" w:type="dxa"/>
            <w:vMerge w:val="continue"/>
            <w:tcMar>
              <w:left w:w="57" w:type="dxa"/>
              <w:right w:w="57" w:type="dxa"/>
            </w:tcMar>
            <w:vAlign w:val="center"/>
          </w:tcPr>
          <w:p>
            <w:pPr>
              <w:jc w:val="center"/>
              <w:rPr>
                <w:rFonts w:ascii="Times New Roman" w:hAnsi="Calibri" w:eastAsia="宋体" w:cs="Times New Roman"/>
                <w:szCs w:val="21"/>
              </w:rPr>
            </w:pP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12h</w:t>
            </w:r>
          </w:p>
        </w:tc>
        <w:tc>
          <w:tcPr>
            <w:tcW w:w="4257" w:type="dxa"/>
            <w:vMerge w:val="continue"/>
            <w:tcMar>
              <w:left w:w="57" w:type="dxa"/>
              <w:right w:w="57" w:type="dxa"/>
            </w:tcMar>
            <w:vAlign w:val="center"/>
          </w:tcPr>
          <w:p>
            <w:pPr>
              <w:jc w:val="center"/>
              <w:rPr>
                <w:rFonts w:ascii="Times New Roman" w:hAnsi="Calibri"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COD、SS</w:t>
            </w:r>
          </w:p>
        </w:tc>
        <w:tc>
          <w:tcPr>
            <w:tcW w:w="995" w:type="dxa"/>
            <w:vMerge w:val="continue"/>
            <w:tcMar>
              <w:left w:w="57" w:type="dxa"/>
              <w:right w:w="57" w:type="dxa"/>
            </w:tcMar>
            <w:vAlign w:val="center"/>
          </w:tcPr>
          <w:p>
            <w:pPr>
              <w:jc w:val="center"/>
              <w:rPr>
                <w:rFonts w:ascii="Times New Roman" w:hAnsi="Calibri" w:eastAsia="宋体" w:cs="Times New Roman"/>
                <w:szCs w:val="21"/>
              </w:rPr>
            </w:pP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周</w:t>
            </w:r>
          </w:p>
        </w:tc>
        <w:tc>
          <w:tcPr>
            <w:tcW w:w="4257" w:type="dxa"/>
            <w:vMerge w:val="continue"/>
            <w:tcMar>
              <w:left w:w="57" w:type="dxa"/>
              <w:right w:w="57" w:type="dxa"/>
            </w:tcMar>
            <w:vAlign w:val="center"/>
          </w:tcPr>
          <w:p>
            <w:pPr>
              <w:jc w:val="center"/>
              <w:rPr>
                <w:rFonts w:ascii="Times New Roman" w:hAnsi="Calibri"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粪大肠菌群数</w:t>
            </w:r>
          </w:p>
        </w:tc>
        <w:tc>
          <w:tcPr>
            <w:tcW w:w="995" w:type="dxa"/>
            <w:vMerge w:val="continue"/>
            <w:tcMar>
              <w:left w:w="57" w:type="dxa"/>
              <w:right w:w="57" w:type="dxa"/>
            </w:tcMar>
            <w:vAlign w:val="center"/>
          </w:tcPr>
          <w:p>
            <w:pPr>
              <w:jc w:val="center"/>
              <w:rPr>
                <w:rFonts w:ascii="Times New Roman" w:hAnsi="Calibri" w:eastAsia="宋体" w:cs="Times New Roman"/>
                <w:szCs w:val="21"/>
              </w:rPr>
            </w:pP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月</w:t>
            </w:r>
          </w:p>
        </w:tc>
        <w:tc>
          <w:tcPr>
            <w:tcW w:w="4257" w:type="dxa"/>
            <w:vMerge w:val="continue"/>
            <w:tcMar>
              <w:left w:w="57" w:type="dxa"/>
              <w:right w:w="57" w:type="dxa"/>
            </w:tcMar>
            <w:vAlign w:val="center"/>
          </w:tcPr>
          <w:p>
            <w:pPr>
              <w:jc w:val="center"/>
              <w:rPr>
                <w:rFonts w:ascii="Times New Roman" w:hAnsi="Calibri"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eastAsia="宋体"/>
                <w:szCs w:val="21"/>
              </w:rPr>
              <w:t>BOD</w:t>
            </w:r>
            <w:r>
              <w:rPr>
                <w:rFonts w:ascii="Times New Roman" w:eastAsia="宋体"/>
                <w:szCs w:val="21"/>
                <w:vertAlign w:val="subscript"/>
              </w:rPr>
              <w:t>5</w:t>
            </w:r>
            <w:r>
              <w:rPr>
                <w:rFonts w:hint="eastAsia" w:ascii="Times New Roman" w:eastAsia="宋体"/>
                <w:szCs w:val="21"/>
              </w:rPr>
              <w:t>、石油类、挥发酚</w:t>
            </w:r>
            <w:r>
              <w:rPr>
                <w:rFonts w:ascii="Times New Roman" w:eastAsia="宋体"/>
                <w:szCs w:val="21"/>
              </w:rPr>
              <w:t>、</w:t>
            </w:r>
            <w:r>
              <w:rPr>
                <w:rFonts w:hint="eastAsia" w:ascii="Times New Roman" w:eastAsia="宋体"/>
                <w:szCs w:val="21"/>
              </w:rPr>
              <w:t>动植物油，</w:t>
            </w:r>
            <w:r>
              <w:rPr>
                <w:rFonts w:ascii="Times New Roman" w:eastAsia="宋体"/>
                <w:szCs w:val="21"/>
              </w:rPr>
              <w:t>阴离子表面活性剂</w:t>
            </w:r>
            <w:r>
              <w:rPr>
                <w:rFonts w:hint="eastAsia" w:ascii="Times New Roman" w:eastAsia="宋体"/>
                <w:szCs w:val="21"/>
              </w:rPr>
              <w:t>、</w:t>
            </w:r>
            <w:r>
              <w:rPr>
                <w:rFonts w:ascii="Times New Roman" w:eastAsia="宋体"/>
                <w:szCs w:val="21"/>
              </w:rPr>
              <w:t>总氰化物</w:t>
            </w:r>
            <w:r>
              <w:rPr>
                <w:rFonts w:hint="eastAsia" w:ascii="Times New Roman" w:eastAsia="宋体"/>
                <w:szCs w:val="21"/>
              </w:rPr>
              <w:t>，</w:t>
            </w:r>
            <w:r>
              <w:rPr>
                <w:rFonts w:ascii="Times New Roman" w:eastAsia="宋体"/>
                <w:szCs w:val="21"/>
              </w:rPr>
              <w:t>肠道治病菌、</w:t>
            </w:r>
            <w:r>
              <w:rPr>
                <w:rFonts w:hint="eastAsia" w:ascii="Times New Roman" w:eastAsia="宋体"/>
                <w:szCs w:val="21"/>
              </w:rPr>
              <w:t>色度</w:t>
            </w:r>
            <w:r>
              <w:rPr>
                <w:rFonts w:ascii="Times New Roman" w:eastAsia="宋体"/>
                <w:szCs w:val="21"/>
              </w:rPr>
              <w:t>、氨氮</w:t>
            </w:r>
            <w:r>
              <w:rPr>
                <w:rFonts w:hint="eastAsia" w:ascii="Times New Roman" w:eastAsia="宋体"/>
                <w:szCs w:val="21"/>
              </w:rPr>
              <w:t>、</w:t>
            </w:r>
            <w:r>
              <w:rPr>
                <w:rFonts w:ascii="Times New Roman" w:eastAsia="宋体"/>
                <w:szCs w:val="21"/>
              </w:rPr>
              <w:t>总余氯</w:t>
            </w:r>
          </w:p>
        </w:tc>
        <w:tc>
          <w:tcPr>
            <w:tcW w:w="995" w:type="dxa"/>
            <w:vMerge w:val="continue"/>
            <w:tcMar>
              <w:left w:w="57" w:type="dxa"/>
              <w:right w:w="57" w:type="dxa"/>
            </w:tcMar>
            <w:vAlign w:val="center"/>
          </w:tcPr>
          <w:p>
            <w:pPr>
              <w:jc w:val="center"/>
              <w:rPr>
                <w:rFonts w:ascii="Times New Roman" w:hAnsi="Calibri" w:eastAsia="宋体" w:cs="Times New Roman"/>
                <w:szCs w:val="21"/>
              </w:rPr>
            </w:pP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季度</w:t>
            </w:r>
          </w:p>
        </w:tc>
        <w:tc>
          <w:tcPr>
            <w:tcW w:w="4257" w:type="dxa"/>
            <w:vMerge w:val="continue"/>
            <w:tcMar>
              <w:left w:w="57" w:type="dxa"/>
              <w:right w:w="57" w:type="dxa"/>
            </w:tcMar>
            <w:vAlign w:val="center"/>
          </w:tcPr>
          <w:p>
            <w:pPr>
              <w:jc w:val="center"/>
              <w:rPr>
                <w:rFonts w:ascii="Times New Roman" w:hAnsi="Calibri" w:eastAsia="宋体" w:cs="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vMerge w:val="continue"/>
            <w:tcMar>
              <w:left w:w="57" w:type="dxa"/>
              <w:right w:w="57" w:type="dxa"/>
            </w:tcMar>
            <w:vAlign w:val="center"/>
          </w:tcPr>
          <w:p>
            <w:pPr>
              <w:jc w:val="center"/>
              <w:rPr>
                <w:rFonts w:ascii="Times New Roman" w:hAnsi="Calibri" w:eastAsia="宋体" w:cs="Times New Roman"/>
                <w:szCs w:val="21"/>
              </w:rPr>
            </w:pPr>
          </w:p>
        </w:tc>
        <w:tc>
          <w:tcPr>
            <w:tcW w:w="1812" w:type="dxa"/>
            <w:tcMar>
              <w:left w:w="57" w:type="dxa"/>
              <w:right w:w="57" w:type="dxa"/>
            </w:tcMar>
            <w:vAlign w:val="center"/>
          </w:tcPr>
          <w:p>
            <w:pPr>
              <w:jc w:val="center"/>
              <w:rPr>
                <w:rFonts w:ascii="Times New Roman" w:eastAsia="宋体"/>
                <w:szCs w:val="21"/>
              </w:rPr>
            </w:pPr>
            <w:r>
              <w:rPr>
                <w:rFonts w:hint="eastAsia" w:ascii="Times New Roman" w:eastAsia="宋体"/>
                <w:szCs w:val="21"/>
              </w:rPr>
              <w:t>总余氯</w:t>
            </w:r>
          </w:p>
        </w:tc>
        <w:tc>
          <w:tcPr>
            <w:tcW w:w="995"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接触池</w:t>
            </w:r>
            <w:r>
              <w:rPr>
                <w:rFonts w:ascii="Times New Roman" w:hAnsi="Calibri" w:eastAsia="宋体" w:cs="Times New Roman"/>
                <w:szCs w:val="21"/>
              </w:rPr>
              <w:t>出口</w:t>
            </w: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12</w:t>
            </w:r>
            <w:r>
              <w:rPr>
                <w:rFonts w:ascii="Times New Roman" w:hAnsi="Calibri" w:eastAsia="宋体" w:cs="Times New Roman"/>
                <w:szCs w:val="21"/>
              </w:rPr>
              <w:t>h</w:t>
            </w:r>
          </w:p>
        </w:tc>
        <w:tc>
          <w:tcPr>
            <w:tcW w:w="4257"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《医疗机构水污染物排放标准》（GB18466-2005）表2预处理标准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973"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厂界噪声</w:t>
            </w:r>
          </w:p>
        </w:tc>
        <w:tc>
          <w:tcPr>
            <w:tcW w:w="1812"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Leq(A)</w:t>
            </w:r>
          </w:p>
        </w:tc>
        <w:tc>
          <w:tcPr>
            <w:tcW w:w="995"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厂界四周</w:t>
            </w:r>
          </w:p>
        </w:tc>
        <w:tc>
          <w:tcPr>
            <w:tcW w:w="1132" w:type="dxa"/>
            <w:tcMar>
              <w:left w:w="57" w:type="dxa"/>
              <w:right w:w="57" w:type="dxa"/>
            </w:tcMar>
            <w:vAlign w:val="center"/>
          </w:tcPr>
          <w:p>
            <w:pPr>
              <w:jc w:val="center"/>
              <w:rPr>
                <w:rFonts w:ascii="Times New Roman" w:hAnsi="Calibri" w:eastAsia="宋体" w:cs="Times New Roman"/>
                <w:szCs w:val="21"/>
              </w:rPr>
            </w:pPr>
            <w:r>
              <w:rPr>
                <w:rFonts w:hint="eastAsia" w:ascii="Times New Roman" w:hAnsi="Calibri" w:eastAsia="宋体" w:cs="Times New Roman"/>
                <w:szCs w:val="21"/>
              </w:rPr>
              <w:t>每季度一</w:t>
            </w:r>
            <w:r>
              <w:rPr>
                <w:rFonts w:ascii="Times New Roman" w:hAnsi="Calibri" w:eastAsia="宋体" w:cs="Times New Roman"/>
                <w:szCs w:val="21"/>
              </w:rPr>
              <w:t>次</w:t>
            </w:r>
          </w:p>
        </w:tc>
        <w:tc>
          <w:tcPr>
            <w:tcW w:w="4257" w:type="dxa"/>
            <w:tcMar>
              <w:left w:w="57" w:type="dxa"/>
              <w:right w:w="57" w:type="dxa"/>
            </w:tcMar>
            <w:vAlign w:val="center"/>
          </w:tcPr>
          <w:p>
            <w:pPr>
              <w:jc w:val="center"/>
              <w:rPr>
                <w:rFonts w:ascii="Times New Roman" w:hAnsi="Calibri" w:eastAsia="宋体" w:cs="Times New Roman"/>
                <w:szCs w:val="21"/>
              </w:rPr>
            </w:pPr>
            <w:r>
              <w:rPr>
                <w:rFonts w:ascii="Times New Roman" w:hAnsi="Calibri" w:eastAsia="宋体" w:cs="Times New Roman"/>
                <w:szCs w:val="21"/>
              </w:rPr>
              <w:t>《工业企业厂界环境噪声排放标准》（GB 12348-2008）中的</w:t>
            </w:r>
            <w:r>
              <w:rPr>
                <w:rFonts w:hint="eastAsia" w:ascii="Times New Roman" w:hAnsi="Calibri" w:eastAsia="宋体" w:cs="Times New Roman"/>
                <w:szCs w:val="21"/>
              </w:rPr>
              <w:t>2</w:t>
            </w:r>
            <w:r>
              <w:rPr>
                <w:rFonts w:ascii="Times New Roman" w:hAnsi="Calibri" w:eastAsia="宋体" w:cs="Times New Roman"/>
                <w:szCs w:val="21"/>
              </w:rPr>
              <w:t>类标准</w:t>
            </w:r>
          </w:p>
        </w:tc>
      </w:tr>
    </w:tbl>
    <w:p>
      <w:pPr>
        <w:pStyle w:val="3"/>
      </w:pPr>
      <w:bookmarkStart w:id="99" w:name="_Toc113260456"/>
      <w:r>
        <w:rPr>
          <w:rFonts w:hint="eastAsia"/>
        </w:rPr>
        <w:t>环保</w:t>
      </w:r>
      <w:r>
        <w:t>设施竣工验收</w:t>
      </w:r>
      <w:bookmarkEnd w:id="99"/>
    </w:p>
    <w:p>
      <w:pPr>
        <w:pStyle w:val="49"/>
        <w:ind w:firstLine="480"/>
        <w:rPr>
          <w:rFonts w:cs="Times New Roman"/>
        </w:rPr>
      </w:pPr>
      <w:r>
        <w:rPr>
          <w:rFonts w:cs="Times New Roman"/>
        </w:rPr>
        <w:t>（1）验收范围：环评报告书、批复文件和有关设计文件规定应采取的各项环保治理设施与措施。</w:t>
      </w:r>
    </w:p>
    <w:p>
      <w:pPr>
        <w:pStyle w:val="49"/>
        <w:ind w:firstLine="480"/>
        <w:rPr>
          <w:rFonts w:cs="Times New Roman"/>
        </w:rPr>
      </w:pPr>
      <w:r>
        <w:rPr>
          <w:rFonts w:cs="Times New Roman"/>
        </w:rPr>
        <w:t>（2）验收主体：根据《建设项目环境保护管理条例》、关于发布《建设项目竣工环境保护验收暂行办法的公告》（国环规环评[2017]4号）及《建设项目竣工环境保护验收暂行办法》（2017.11.20），建设项目需要配套建设的废气、废水、噪声</w:t>
      </w:r>
      <w:r>
        <w:rPr>
          <w:rFonts w:hint="eastAsia" w:cs="Times New Roman"/>
        </w:rPr>
        <w:t>、</w:t>
      </w:r>
      <w:r>
        <w:rPr>
          <w:rFonts w:cs="Times New Roman"/>
        </w:rPr>
        <w:t>固废措施由建设单位自主开展环保验收。</w:t>
      </w:r>
    </w:p>
    <w:p>
      <w:pPr>
        <w:pStyle w:val="49"/>
        <w:ind w:firstLine="480"/>
        <w:rPr>
          <w:rFonts w:cs="Times New Roman"/>
        </w:rPr>
      </w:pPr>
      <w:r>
        <w:rPr>
          <w:rFonts w:cs="Times New Roman"/>
        </w:rPr>
        <w:t>（3）建设单位责任：依据《建设项目竣工环境保护验收暂行办法》（国环规环评[2017]4号，2017.11.20），建设单位应当按照建设项目竣工环境保护验收暂行办法规定的标准和程序，组织对配套建设的环境保护设施进行验收，编制验收监测报告，公开相关信息，接受社会监督，确保建设项目需要配套建设的环境保护设施与主体工程同时投产或者使用，并对验收内容、结论和所公开信息的真实性、准确性和完整性负责，不得在验收过程中弄虚作假。</w:t>
      </w:r>
    </w:p>
    <w:p>
      <w:pPr>
        <w:pStyle w:val="49"/>
        <w:ind w:firstLine="480"/>
        <w:rPr>
          <w:rFonts w:cs="Times New Roman"/>
        </w:rPr>
      </w:pPr>
      <w:r>
        <w:rPr>
          <w:rFonts w:cs="Times New Roman"/>
        </w:rPr>
        <w:t>（4）监督管理：环境保护行政主管部门应当按照《</w:t>
      </w:r>
      <w:r>
        <w:rPr>
          <w:rFonts w:hint="eastAsia" w:cs="Times New Roman"/>
        </w:rPr>
        <w:t>关于强化建设</w:t>
      </w:r>
      <w:r>
        <w:rPr>
          <w:rFonts w:cs="Times New Roman"/>
        </w:rPr>
        <w:t>项目环境影响评价事中事后监管的实施意见》</w:t>
      </w:r>
      <w:r>
        <w:rPr>
          <w:rFonts w:hint="eastAsia" w:cs="Times New Roman"/>
        </w:rPr>
        <w:t>（环</w:t>
      </w:r>
      <w:r>
        <w:rPr>
          <w:rFonts w:cs="Times New Roman"/>
        </w:rPr>
        <w:t>环评</w:t>
      </w:r>
      <w:r>
        <w:rPr>
          <w:rFonts w:hint="eastAsia" w:cs="Times New Roman"/>
        </w:rPr>
        <w:t>[</w:t>
      </w:r>
      <w:r>
        <w:rPr>
          <w:rFonts w:cs="Times New Roman"/>
        </w:rPr>
        <w:t>2018</w:t>
      </w:r>
      <w:r>
        <w:rPr>
          <w:rFonts w:hint="eastAsia" w:cs="Times New Roman"/>
        </w:rPr>
        <w:t>]</w:t>
      </w:r>
      <w:r>
        <w:rPr>
          <w:rFonts w:cs="Times New Roman"/>
        </w:rPr>
        <w:t>11</w:t>
      </w:r>
      <w:r>
        <w:rPr>
          <w:rFonts w:hint="eastAsia" w:cs="Times New Roman"/>
        </w:rPr>
        <w:t>号）</w:t>
      </w:r>
      <w:r>
        <w:rPr>
          <w:rFonts w:cs="Times New Roman"/>
        </w:rPr>
        <w:t>等规定，通过“双随机一公开”抽查制度，强化建设项目环境保护事中事后监督管理，对建设项目环境保护设施“三同时”落实情况、竣工验收等情况进行监督性检查，监督结果向社会公开。</w:t>
      </w:r>
    </w:p>
    <w:p>
      <w:pPr>
        <w:pStyle w:val="40"/>
        <w:ind w:firstLine="480"/>
        <w:rPr>
          <w:highlight w:val="yellow"/>
        </w:rPr>
        <w:sectPr>
          <w:headerReference r:id="rId62" w:type="default"/>
          <w:headerReference r:id="rId63" w:type="even"/>
          <w:pgSz w:w="11906" w:h="16838"/>
          <w:pgMar w:top="1418" w:right="1418" w:bottom="1418" w:left="1588" w:header="851" w:footer="992" w:gutter="0"/>
          <w:pgNumType w:fmt="numberInDash"/>
          <w:cols w:space="425" w:num="1"/>
          <w:docGrid w:type="linesAndChars" w:linePitch="312" w:charSpace="0"/>
        </w:sectPr>
      </w:pP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本项目环保设施竣工验收一览表见</w:t>
      </w:r>
      <w:r>
        <w:rPr>
          <w:rFonts w:hint="eastAsia" w:ascii="Times New Roman" w:hAnsi="Times New Roman" w:eastAsia="宋体" w:cs="Times New Roman"/>
          <w:sz w:val="24"/>
        </w:rPr>
        <w:t>表10.5-1。</w:t>
      </w:r>
    </w:p>
    <w:p>
      <w:pPr>
        <w:adjustRightInd w:val="0"/>
        <w:snapToGrid w:val="0"/>
        <w:jc w:val="center"/>
        <w:rPr>
          <w:rFonts w:ascii="Times New Roman" w:hAnsi="Times New Roman" w:eastAsia="宋体" w:cs="Times New Roman"/>
          <w:b/>
          <w:szCs w:val="24"/>
        </w:rPr>
      </w:pPr>
      <w:r>
        <w:rPr>
          <w:rFonts w:ascii="Times New Roman" w:hAnsi="Times New Roman" w:eastAsia="宋体" w:cs="Times New Roman"/>
          <w:b/>
          <w:szCs w:val="24"/>
        </w:rPr>
        <w:t>表</w:t>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STYLEREF 2 \s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10.5</w:t>
      </w:r>
      <w:r>
        <w:rPr>
          <w:rFonts w:ascii="Times New Roman" w:hAnsi="Times New Roman" w:eastAsia="宋体" w:cs="Times New Roman"/>
          <w:b/>
          <w:szCs w:val="24"/>
        </w:rPr>
        <w:fldChar w:fldCharType="end"/>
      </w:r>
      <w:r>
        <w:rPr>
          <w:rFonts w:ascii="Times New Roman" w:hAnsi="Times New Roman" w:eastAsia="宋体" w:cs="Times New Roman"/>
          <w:b/>
          <w:szCs w:val="24"/>
        </w:rPr>
        <w:noBreakHyphen/>
      </w: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SEQ 表 \* ARABIC \s 2 </w:instrText>
      </w:r>
      <w:r>
        <w:rPr>
          <w:rFonts w:ascii="Times New Roman" w:hAnsi="Times New Roman" w:eastAsia="宋体" w:cs="Times New Roman"/>
          <w:b/>
          <w:szCs w:val="24"/>
        </w:rPr>
        <w:fldChar w:fldCharType="separate"/>
      </w:r>
      <w:r>
        <w:rPr>
          <w:rFonts w:ascii="Times New Roman" w:hAnsi="Times New Roman" w:eastAsia="宋体" w:cs="Times New Roman"/>
          <w:b/>
          <w:szCs w:val="24"/>
        </w:rPr>
        <w:t>1</w:t>
      </w:r>
      <w:r>
        <w:rPr>
          <w:rFonts w:ascii="Times New Roman" w:hAnsi="Times New Roman" w:eastAsia="宋体" w:cs="Times New Roman"/>
          <w:b/>
          <w:szCs w:val="24"/>
        </w:rPr>
        <w:fldChar w:fldCharType="end"/>
      </w:r>
      <w:r>
        <w:rPr>
          <w:rFonts w:ascii="Times New Roman" w:hAnsi="Times New Roman" w:eastAsia="宋体" w:cs="Times New Roman"/>
          <w:b/>
          <w:szCs w:val="24"/>
        </w:rPr>
        <w:t xml:space="preserve">  项目环保验收建议一览表</w:t>
      </w:r>
    </w:p>
    <w:tbl>
      <w:tblPr>
        <w:tblStyle w:val="25"/>
        <w:tblW w:w="139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98"/>
        <w:gridCol w:w="1515"/>
        <w:gridCol w:w="3334"/>
        <w:gridCol w:w="1128"/>
        <w:gridCol w:w="745"/>
        <w:gridCol w:w="762"/>
        <w:gridCol w:w="5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blHeader/>
        </w:trPr>
        <w:tc>
          <w:tcPr>
            <w:tcW w:w="49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类别</w:t>
            </w: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污染源</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环保设施名称</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位置</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要求</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数量</w:t>
            </w:r>
          </w:p>
        </w:tc>
        <w:tc>
          <w:tcPr>
            <w:tcW w:w="599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blHeader/>
        </w:trPr>
        <w:tc>
          <w:tcPr>
            <w:tcW w:w="498" w:type="dxa"/>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锅炉</w:t>
            </w:r>
            <w:r>
              <w:rPr>
                <w:rFonts w:ascii="Times New Roman" w:hAnsi="Times New Roman" w:eastAsia="宋体" w:cs="Times New Roman"/>
                <w:kern w:val="0"/>
                <w:szCs w:val="20"/>
              </w:rPr>
              <w:t>废气</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低氮</w:t>
            </w:r>
            <w:r>
              <w:rPr>
                <w:rFonts w:ascii="Times New Roman" w:hAnsi="Times New Roman" w:eastAsia="宋体" w:cs="Times New Roman"/>
                <w:kern w:val="0"/>
                <w:szCs w:val="20"/>
              </w:rPr>
              <w:t>燃烧</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60m高排气筒</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color w:val="FF0000"/>
                <w:kern w:val="0"/>
                <w:szCs w:val="20"/>
              </w:rPr>
              <w:t>门诊楼</w:t>
            </w:r>
            <w:r>
              <w:rPr>
                <w:rFonts w:ascii="Times New Roman" w:hAnsi="Times New Roman" w:eastAsia="宋体" w:cs="Times New Roman"/>
                <w:color w:val="FF0000"/>
                <w:kern w:val="0"/>
                <w:szCs w:val="20"/>
              </w:rPr>
              <w:t>负一层</w:t>
            </w:r>
            <w:r>
              <w:rPr>
                <w:rFonts w:hint="eastAsia" w:ascii="Times New Roman" w:hAnsi="Times New Roman" w:eastAsia="宋体" w:cs="Times New Roman"/>
                <w:color w:val="FF0000"/>
                <w:kern w:val="0"/>
                <w:szCs w:val="20"/>
              </w:rPr>
              <w:t>东北</w:t>
            </w:r>
            <w:r>
              <w:rPr>
                <w:rFonts w:ascii="Times New Roman" w:hAnsi="Times New Roman" w:eastAsia="宋体" w:cs="Times New Roman"/>
                <w:color w:val="FF0000"/>
                <w:kern w:val="0"/>
                <w:szCs w:val="20"/>
              </w:rPr>
              <w:t>侧</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3</w:t>
            </w:r>
            <w:r>
              <w:rPr>
                <w:rFonts w:hint="eastAsia" w:ascii="Times New Roman" w:hAnsi="Times New Roman" w:eastAsia="宋体" w:cs="Times New Roman"/>
                <w:kern w:val="0"/>
                <w:szCs w:val="20"/>
              </w:rPr>
              <w:t>套</w:t>
            </w:r>
          </w:p>
        </w:tc>
        <w:tc>
          <w:tcPr>
            <w:tcW w:w="599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《锅炉大气污染物排放标准》（DB61/1226-2018）表3燃气锅炉限值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498" w:type="dxa"/>
            <w:vMerge w:val="restart"/>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废气</w:t>
            </w: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处理站恶臭</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地埋式</w:t>
            </w:r>
            <w:r>
              <w:rPr>
                <w:rFonts w:ascii="Times New Roman" w:hAnsi="Times New Roman" w:eastAsia="宋体" w:cs="Times New Roman"/>
                <w:kern w:val="0"/>
                <w:szCs w:val="20"/>
              </w:rPr>
              <w:t>，</w:t>
            </w:r>
            <w:r>
              <w:rPr>
                <w:rFonts w:hint="eastAsia" w:ascii="Times New Roman" w:hAnsi="Times New Roman" w:eastAsia="宋体" w:cs="Times New Roman"/>
                <w:szCs w:val="21"/>
              </w:rPr>
              <w:t>加盖板密闭，加强污水处理站的运行操作管理，保证设备的正常运行，定期喷洒生物除臭剂</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东北</w:t>
            </w:r>
            <w:r>
              <w:rPr>
                <w:rFonts w:ascii="Times New Roman" w:hAnsi="Times New Roman" w:eastAsia="宋体" w:cs="Times New Roman"/>
                <w:kern w:val="0"/>
                <w:szCs w:val="20"/>
              </w:rPr>
              <w:t>侧</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1套</w:t>
            </w:r>
          </w:p>
        </w:tc>
        <w:tc>
          <w:tcPr>
            <w:tcW w:w="599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《医疗机构水污染物排放标准》（GB18466-2005）表3中的污水处理站周边大气污染物最高允许浓度限值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498"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rPr>
            </w:pP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食堂</w:t>
            </w:r>
            <w:r>
              <w:rPr>
                <w:rFonts w:ascii="Times New Roman" w:hAnsi="Times New Roman" w:eastAsia="宋体" w:cs="Times New Roman"/>
                <w:kern w:val="0"/>
                <w:szCs w:val="20"/>
              </w:rPr>
              <w:t>油烟</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油烟净化装置处理后经烟道引至楼顶排放</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后勤</w:t>
            </w:r>
            <w:r>
              <w:rPr>
                <w:rFonts w:ascii="Times New Roman" w:hAnsi="Times New Roman" w:eastAsia="宋体" w:cs="Times New Roman"/>
                <w:kern w:val="0"/>
                <w:szCs w:val="20"/>
              </w:rPr>
              <w:t>楼一层</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75%</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1套</w:t>
            </w:r>
          </w:p>
        </w:tc>
        <w:tc>
          <w:tcPr>
            <w:tcW w:w="5990"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《饮食业油烟排放标准（试行）》（GB18483-2001）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956" w:hRule="atLeast"/>
        </w:trPr>
        <w:tc>
          <w:tcPr>
            <w:tcW w:w="498" w:type="dxa"/>
            <w:vMerge w:val="continue"/>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备用</w:t>
            </w:r>
            <w:r>
              <w:rPr>
                <w:rFonts w:ascii="Times New Roman" w:hAnsi="Times New Roman" w:eastAsia="宋体" w:cs="Times New Roman"/>
                <w:kern w:val="0"/>
                <w:szCs w:val="20"/>
              </w:rPr>
              <w:t>发电机废气</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r>
              <w:rPr>
                <w:rFonts w:hint="eastAsia" w:ascii="Times New Roman" w:hAnsi="Times New Roman" w:eastAsia="宋体" w:cs="Times New Roman"/>
                <w:szCs w:val="21"/>
              </w:rPr>
              <w:t>烟气收集系统，废气经专用排气</w:t>
            </w:r>
            <w:r>
              <w:rPr>
                <w:rFonts w:ascii="Times New Roman" w:hAnsi="Times New Roman" w:eastAsia="宋体" w:cs="Times New Roman"/>
                <w:szCs w:val="21"/>
              </w:rPr>
              <w:t>管道</w:t>
            </w:r>
            <w:r>
              <w:rPr>
                <w:rFonts w:hint="eastAsia" w:ascii="Times New Roman" w:hAnsi="Times New Roman" w:eastAsia="宋体" w:cs="Times New Roman"/>
                <w:szCs w:val="21"/>
              </w:rPr>
              <w:t>引至</w:t>
            </w:r>
            <w:r>
              <w:rPr>
                <w:rFonts w:ascii="Times New Roman" w:hAnsi="Times New Roman" w:eastAsia="宋体" w:cs="Times New Roman"/>
                <w:szCs w:val="21"/>
              </w:rPr>
              <w:t>楼顶</w:t>
            </w:r>
            <w:r>
              <w:rPr>
                <w:rFonts w:hint="eastAsia" w:ascii="Times New Roman" w:hAnsi="Times New Roman" w:eastAsia="宋体" w:cs="Times New Roman"/>
                <w:szCs w:val="21"/>
              </w:rPr>
              <w:t>排出，背向人群易聚集处。</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highlight w:val="yellow"/>
              </w:rPr>
            </w:pPr>
            <w:r>
              <w:rPr>
                <w:rFonts w:hint="eastAsia" w:ascii="Times New Roman" w:hAnsi="Times New Roman" w:eastAsia="宋体" w:cs="Times New Roman"/>
                <w:kern w:val="0"/>
                <w:szCs w:val="20"/>
              </w:rPr>
              <w:t>设备房</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1套</w:t>
            </w:r>
          </w:p>
        </w:tc>
        <w:tc>
          <w:tcPr>
            <w:tcW w:w="5990" w:type="dxa"/>
            <w:vAlign w:val="center"/>
          </w:tcPr>
          <w:p>
            <w:pPr>
              <w:autoSpaceDE w:val="0"/>
              <w:autoSpaceDN w:val="0"/>
              <w:adjustRightInd w:val="0"/>
              <w:jc w:val="left"/>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49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废水</w:t>
            </w: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综合废水</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化粪池预处理</w:t>
            </w:r>
            <w:r>
              <w:rPr>
                <w:rFonts w:ascii="Times New Roman" w:hAnsi="Times New Roman" w:eastAsia="宋体" w:cs="Times New Roman"/>
                <w:kern w:val="0"/>
                <w:szCs w:val="20"/>
              </w:rPr>
              <w:t>，</w:t>
            </w:r>
            <w:r>
              <w:rPr>
                <w:rFonts w:hint="eastAsia" w:ascii="Times New Roman" w:hAnsi="Times New Roman" w:eastAsia="宋体" w:cs="Times New Roman"/>
                <w:kern w:val="0"/>
                <w:szCs w:val="20"/>
              </w:rPr>
              <w:t>污水处理站，处理规模</w:t>
            </w:r>
            <w:r>
              <w:rPr>
                <w:rFonts w:ascii="Times New Roman" w:hAnsi="Times New Roman" w:eastAsia="宋体" w:cs="Times New Roman"/>
                <w:kern w:val="0"/>
                <w:szCs w:val="20"/>
              </w:rPr>
              <w:t>250</w:t>
            </w:r>
            <w:r>
              <w:rPr>
                <w:rFonts w:hint="eastAsia" w:ascii="Times New Roman" w:hAnsi="Times New Roman" w:eastAsia="宋体" w:cs="Times New Roman"/>
                <w:kern w:val="0"/>
                <w:szCs w:val="20"/>
              </w:rPr>
              <w:t>m</w:t>
            </w:r>
            <w:r>
              <w:rPr>
                <w:rFonts w:hint="eastAsia" w:ascii="Times New Roman" w:hAnsi="Times New Roman" w:eastAsia="宋体" w:cs="Times New Roman"/>
                <w:kern w:val="0"/>
                <w:szCs w:val="20"/>
                <w:vertAlign w:val="superscript"/>
              </w:rPr>
              <w:t>3</w:t>
            </w:r>
            <w:r>
              <w:rPr>
                <w:rFonts w:hint="eastAsia" w:ascii="Times New Roman" w:hAnsi="Times New Roman" w:eastAsia="宋体" w:cs="Times New Roman"/>
                <w:kern w:val="0"/>
                <w:szCs w:val="20"/>
              </w:rPr>
              <w:t>/d，采用“混凝沉淀+次氯酸钠消毒”处理工艺</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场地东北侧</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1座</w:t>
            </w:r>
          </w:p>
        </w:tc>
        <w:tc>
          <w:tcPr>
            <w:tcW w:w="5990" w:type="dxa"/>
            <w:vAlign w:val="center"/>
          </w:tcPr>
          <w:p>
            <w:pPr>
              <w:autoSpaceDE w:val="0"/>
              <w:autoSpaceDN w:val="0"/>
              <w:adjustRightInd w:val="0"/>
              <w:jc w:val="left"/>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《医疗机构水污染物排放标准》（GB18466-2005）表2中预处理标准限值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49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固废</w:t>
            </w:r>
          </w:p>
        </w:tc>
        <w:tc>
          <w:tcPr>
            <w:tcW w:w="151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危险</w:t>
            </w:r>
            <w:r>
              <w:rPr>
                <w:rFonts w:ascii="Times New Roman" w:hAnsi="Times New Roman" w:eastAsia="宋体" w:cs="Times New Roman"/>
                <w:kern w:val="0"/>
                <w:szCs w:val="20"/>
              </w:rPr>
              <w:t>废物</w:t>
            </w:r>
          </w:p>
        </w:tc>
        <w:tc>
          <w:tcPr>
            <w:tcW w:w="3334"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医疗废物</w:t>
            </w:r>
            <w:r>
              <w:rPr>
                <w:rFonts w:ascii="Times New Roman" w:hAnsi="Times New Roman" w:eastAsia="宋体" w:cs="Times New Roman"/>
                <w:kern w:val="0"/>
                <w:szCs w:val="20"/>
              </w:rPr>
              <w:t>暂存间</w:t>
            </w:r>
          </w:p>
        </w:tc>
        <w:tc>
          <w:tcPr>
            <w:tcW w:w="1128"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住院</w:t>
            </w:r>
            <w:r>
              <w:rPr>
                <w:rFonts w:ascii="Times New Roman" w:hAnsi="Times New Roman" w:eastAsia="宋体" w:cs="Times New Roman"/>
                <w:kern w:val="0"/>
                <w:szCs w:val="20"/>
              </w:rPr>
              <w:t>楼负一层</w:t>
            </w:r>
          </w:p>
        </w:tc>
        <w:tc>
          <w:tcPr>
            <w:tcW w:w="745"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w:t>
            </w:r>
          </w:p>
        </w:tc>
        <w:tc>
          <w:tcPr>
            <w:tcW w:w="762" w:type="dxa"/>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40.66m</w:t>
            </w:r>
            <w:r>
              <w:rPr>
                <w:rFonts w:ascii="Times New Roman" w:hAnsi="Times New Roman" w:eastAsia="宋体" w:cs="Times New Roman"/>
                <w:kern w:val="0"/>
                <w:szCs w:val="20"/>
                <w:vertAlign w:val="superscript"/>
              </w:rPr>
              <w:t>2</w:t>
            </w:r>
          </w:p>
        </w:tc>
        <w:tc>
          <w:tcPr>
            <w:tcW w:w="5990" w:type="dxa"/>
            <w:vAlign w:val="center"/>
          </w:tcPr>
          <w:p>
            <w:pPr>
              <w:autoSpaceDE w:val="0"/>
              <w:autoSpaceDN w:val="0"/>
              <w:adjustRightInd w:val="0"/>
              <w:jc w:val="left"/>
              <w:textAlignment w:val="bottom"/>
              <w:rPr>
                <w:rFonts w:ascii="Times New Roman" w:hAnsi="Times New Roman" w:eastAsia="宋体" w:cs="Times New Roman"/>
                <w:kern w:val="0"/>
                <w:szCs w:val="21"/>
              </w:rPr>
            </w:pPr>
            <w:r>
              <w:rPr>
                <w:rFonts w:ascii="Times New Roman" w:hAnsi="Times New Roman" w:eastAsia="宋体" w:cs="Times New Roman"/>
                <w:kern w:val="0"/>
                <w:szCs w:val="21"/>
              </w:rPr>
              <w:t>《危险废物贮存污染控制标准》（GB18597-2001）及修改单有关规定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498" w:type="dxa"/>
            <w:tcBorders>
              <w:bottom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噪声</w:t>
            </w:r>
          </w:p>
        </w:tc>
        <w:tc>
          <w:tcPr>
            <w:tcW w:w="1515" w:type="dxa"/>
            <w:tcBorders>
              <w:bottom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污水</w:t>
            </w:r>
            <w:r>
              <w:rPr>
                <w:rFonts w:ascii="Times New Roman" w:hAnsi="Times New Roman" w:eastAsia="宋体" w:cs="Times New Roman"/>
                <w:kern w:val="0"/>
                <w:szCs w:val="20"/>
              </w:rPr>
              <w:t>处理站</w:t>
            </w:r>
            <w:r>
              <w:rPr>
                <w:rFonts w:hint="eastAsia" w:ascii="Times New Roman" w:hAnsi="Times New Roman" w:eastAsia="宋体" w:cs="Times New Roman"/>
                <w:kern w:val="0"/>
                <w:szCs w:val="20"/>
              </w:rPr>
              <w:t>水泵、</w:t>
            </w:r>
            <w:r>
              <w:rPr>
                <w:rFonts w:ascii="Times New Roman" w:hAnsi="Times New Roman" w:eastAsia="宋体" w:cs="Times New Roman"/>
                <w:kern w:val="0"/>
                <w:szCs w:val="20"/>
              </w:rPr>
              <w:t>风机</w:t>
            </w:r>
            <w:r>
              <w:rPr>
                <w:rFonts w:hint="eastAsia" w:ascii="Times New Roman" w:hAnsi="Times New Roman" w:eastAsia="宋体" w:cs="Times New Roman"/>
                <w:kern w:val="0"/>
                <w:szCs w:val="20"/>
              </w:rPr>
              <w:t>、</w:t>
            </w:r>
            <w:r>
              <w:rPr>
                <w:rFonts w:ascii="Times New Roman" w:hAnsi="Times New Roman" w:eastAsia="宋体" w:cs="Times New Roman"/>
                <w:kern w:val="0"/>
                <w:szCs w:val="20"/>
              </w:rPr>
              <w:t>备用发电机</w:t>
            </w:r>
          </w:p>
        </w:tc>
        <w:tc>
          <w:tcPr>
            <w:tcW w:w="4462" w:type="dxa"/>
            <w:gridSpan w:val="2"/>
            <w:tcBorders>
              <w:bottom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hint="eastAsia" w:ascii="Times New Roman" w:hAnsi="Times New Roman" w:eastAsia="宋体" w:cs="Times New Roman"/>
                <w:kern w:val="0"/>
                <w:szCs w:val="20"/>
              </w:rPr>
              <w:t>选用低噪声设备，布置在地下，加减振基础，</w:t>
            </w:r>
            <w:r>
              <w:rPr>
                <w:rFonts w:cs="Times New Roman"/>
              </w:rPr>
              <w:t>风机风管与设备采用软连接，排风口安装消声器</w:t>
            </w:r>
          </w:p>
        </w:tc>
        <w:tc>
          <w:tcPr>
            <w:tcW w:w="745" w:type="dxa"/>
            <w:tcBorders>
              <w:bottom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降噪15~20 dB（A）</w:t>
            </w:r>
          </w:p>
        </w:tc>
        <w:tc>
          <w:tcPr>
            <w:tcW w:w="762" w:type="dxa"/>
            <w:tcBorders>
              <w:bottom w:val="single" w:color="auto" w:sz="4" w:space="0"/>
            </w:tcBorders>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若干</w:t>
            </w:r>
          </w:p>
        </w:tc>
        <w:tc>
          <w:tcPr>
            <w:tcW w:w="5990" w:type="dxa"/>
            <w:vAlign w:val="center"/>
          </w:tcPr>
          <w:p>
            <w:pPr>
              <w:autoSpaceDE w:val="0"/>
              <w:autoSpaceDN w:val="0"/>
              <w:adjustRightInd w:val="0"/>
              <w:jc w:val="left"/>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2013"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排污口规范化设置</w:t>
            </w:r>
          </w:p>
        </w:tc>
        <w:tc>
          <w:tcPr>
            <w:tcW w:w="11959" w:type="dxa"/>
            <w:gridSpan w:val="5"/>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废气采样口，排放源标志牌等；医疗废物暂存间环境保护图形标志灯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2013" w:type="dxa"/>
            <w:gridSpan w:val="2"/>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环境管理</w:t>
            </w:r>
          </w:p>
        </w:tc>
        <w:tc>
          <w:tcPr>
            <w:tcW w:w="11959" w:type="dxa"/>
            <w:gridSpan w:val="5"/>
            <w:vAlign w:val="center"/>
          </w:tcPr>
          <w:p>
            <w:pPr>
              <w:autoSpaceDE w:val="0"/>
              <w:autoSpaceDN w:val="0"/>
              <w:adjustRightInd w:val="0"/>
              <w:jc w:val="center"/>
              <w:textAlignment w:val="bottom"/>
              <w:rPr>
                <w:rFonts w:ascii="Times New Roman" w:hAnsi="Times New Roman" w:eastAsia="宋体" w:cs="Times New Roman"/>
                <w:kern w:val="0"/>
                <w:szCs w:val="20"/>
              </w:rPr>
            </w:pPr>
            <w:r>
              <w:rPr>
                <w:rFonts w:ascii="Times New Roman" w:hAnsi="Times New Roman" w:eastAsia="宋体" w:cs="Times New Roman"/>
                <w:kern w:val="0"/>
                <w:szCs w:val="20"/>
              </w:rPr>
              <w:t>设专职环保管理人员；建立健全风险防范措施；环保设施、环境管理规章制度、运行期环境监测制度等</w:t>
            </w:r>
          </w:p>
        </w:tc>
      </w:tr>
    </w:tbl>
    <w:p>
      <w:pPr>
        <w:rPr>
          <w:highlight w:val="yellow"/>
        </w:rPr>
        <w:sectPr>
          <w:headerReference r:id="rId64" w:type="default"/>
          <w:headerReference r:id="rId65" w:type="even"/>
          <w:pgSz w:w="16838" w:h="11906" w:orient="landscape"/>
          <w:pgMar w:top="1418" w:right="1418" w:bottom="1418" w:left="1418" w:header="851" w:footer="992" w:gutter="0"/>
          <w:pgNumType w:fmt="numberInDash"/>
          <w:cols w:space="425" w:num="1"/>
          <w:docGrid w:type="linesAndChars" w:linePitch="312" w:charSpace="0"/>
        </w:sectPr>
      </w:pPr>
    </w:p>
    <w:p>
      <w:pPr>
        <w:pStyle w:val="2"/>
      </w:pPr>
      <w:bookmarkStart w:id="100" w:name="_Toc113260457"/>
      <w:r>
        <w:rPr>
          <w:rFonts w:hint="eastAsia"/>
        </w:rPr>
        <w:t>结论</w:t>
      </w:r>
      <w:r>
        <w:t>和建议</w:t>
      </w:r>
      <w:bookmarkEnd w:id="100"/>
    </w:p>
    <w:p>
      <w:pPr>
        <w:pStyle w:val="3"/>
      </w:pPr>
      <w:bookmarkStart w:id="101" w:name="_Toc113260458"/>
      <w:r>
        <w:rPr>
          <w:rFonts w:hint="eastAsia"/>
        </w:rPr>
        <w:t>项目</w:t>
      </w:r>
      <w:r>
        <w:t>概况</w:t>
      </w:r>
      <w:bookmarkEnd w:id="101"/>
    </w:p>
    <w:p>
      <w:pPr>
        <w:pStyle w:val="40"/>
        <w:ind w:firstLine="480"/>
        <w:rPr>
          <w:highlight w:val="yellow"/>
        </w:rPr>
      </w:pPr>
      <w:r>
        <w:rPr>
          <w:rFonts w:hint="eastAsia"/>
        </w:rPr>
        <w:t>安康市</w:t>
      </w:r>
      <w:r>
        <w:t>恒口</w:t>
      </w:r>
      <w:r>
        <w:rPr>
          <w:rFonts w:hint="eastAsia"/>
        </w:rPr>
        <w:t>示范区</w:t>
      </w:r>
      <w:r>
        <w:t>（</w:t>
      </w:r>
      <w:r>
        <w:rPr>
          <w:rFonts w:hint="eastAsia"/>
        </w:rPr>
        <w:t>试验区</w:t>
      </w:r>
      <w:r>
        <w:t>）</w:t>
      </w:r>
      <w:r>
        <w:rPr>
          <w:rFonts w:hint="eastAsia"/>
        </w:rPr>
        <w:t>综合性三级中医医院建设项目位于安康市恒口示范区（试验区）月滨南大道，规划总用地面积46666.67m</w:t>
      </w:r>
      <w:r>
        <w:rPr>
          <w:rFonts w:hint="eastAsia"/>
          <w:vertAlign w:val="superscript"/>
        </w:rPr>
        <w:t>2</w:t>
      </w:r>
      <w:r>
        <w:rPr>
          <w:rFonts w:hint="eastAsia"/>
        </w:rPr>
        <w:t>，主要建设内容为医技</w:t>
      </w:r>
      <w:r>
        <w:t>综合楼。办公后勤楼，设置</w:t>
      </w:r>
      <w:r>
        <w:rPr>
          <w:rFonts w:hint="eastAsia"/>
        </w:rPr>
        <w:t>急诊部、门诊部、住院部、医技部、保障系统用房，配套建设供排水、电气、暖通、消防、道路、停车场、广场和绿化等附属设施。项目建成后，项目病床500张，医护人员595人，办公及后勤服务人员225人，门诊人数1500人/d。</w:t>
      </w:r>
    </w:p>
    <w:p>
      <w:pPr>
        <w:pStyle w:val="40"/>
        <w:ind w:firstLine="480"/>
        <w:rPr>
          <w:highlight w:val="yellow"/>
        </w:rPr>
      </w:pPr>
      <w:r>
        <w:rPr>
          <w:rFonts w:hint="eastAsia"/>
        </w:rPr>
        <w:t>项目</w:t>
      </w:r>
      <w:r>
        <w:t>总投资42503.55</w:t>
      </w:r>
      <w:r>
        <w:rPr>
          <w:rFonts w:hint="eastAsia"/>
        </w:rPr>
        <w:t>万元</w:t>
      </w:r>
      <w:r>
        <w:t>，</w:t>
      </w:r>
      <w:r>
        <w:rPr>
          <w:rFonts w:hint="eastAsia"/>
        </w:rPr>
        <w:t>其中环保投</w:t>
      </w:r>
      <w:r>
        <w:rPr>
          <w:rFonts w:hint="eastAsia"/>
          <w:color w:val="FF0000"/>
        </w:rPr>
        <w:t>入</w:t>
      </w:r>
      <w:r>
        <w:rPr>
          <w:color w:val="FF0000"/>
        </w:rPr>
        <w:t>93</w:t>
      </w:r>
      <w:r>
        <w:rPr>
          <w:rFonts w:hint="eastAsia"/>
          <w:color w:val="FF0000"/>
        </w:rPr>
        <w:t>万元，占总投资的</w:t>
      </w:r>
      <w:r>
        <w:rPr>
          <w:color w:val="FF0000"/>
        </w:rPr>
        <w:t>0.22</w:t>
      </w:r>
      <w:r>
        <w:rPr>
          <w:rFonts w:hint="eastAsia"/>
          <w:color w:val="FF0000"/>
        </w:rPr>
        <w:t>%。</w:t>
      </w:r>
    </w:p>
    <w:p>
      <w:pPr>
        <w:pStyle w:val="3"/>
      </w:pPr>
      <w:bookmarkStart w:id="102" w:name="_Toc113260459"/>
      <w:r>
        <w:rPr>
          <w:rFonts w:hint="eastAsia"/>
        </w:rPr>
        <w:t>环境</w:t>
      </w:r>
      <w:r>
        <w:t>质量现状结论</w:t>
      </w:r>
      <w:bookmarkEnd w:id="102"/>
    </w:p>
    <w:p>
      <w:pPr>
        <w:pStyle w:val="4"/>
      </w:pPr>
      <w:r>
        <w:rPr>
          <w:rFonts w:hint="eastAsia"/>
        </w:rPr>
        <w:t>环境</w:t>
      </w:r>
      <w:r>
        <w:t>空气质量现状</w:t>
      </w:r>
    </w:p>
    <w:p>
      <w:pPr>
        <w:pStyle w:val="40"/>
        <w:ind w:firstLine="480"/>
      </w:pPr>
      <w:r>
        <w:rPr>
          <w:rFonts w:hint="eastAsia"/>
        </w:rPr>
        <w:t>根据安康市汉滨区20</w:t>
      </w:r>
      <w:r>
        <w:t>21</w:t>
      </w:r>
      <w:r>
        <w:rPr>
          <w:rFonts w:hint="eastAsia"/>
        </w:rPr>
        <w:t>年度环境质量状况可知，项目所在区域汉滨区</w:t>
      </w:r>
      <w:r>
        <w:t>PM</w:t>
      </w:r>
      <w:r>
        <w:rPr>
          <w:vertAlign w:val="subscript"/>
        </w:rPr>
        <w:t>10</w:t>
      </w:r>
      <w:r>
        <w:rPr>
          <w:rFonts w:hint="eastAsia"/>
        </w:rPr>
        <w:t>、PM</w:t>
      </w:r>
      <w:r>
        <w:rPr>
          <w:rFonts w:hint="eastAsia"/>
          <w:vertAlign w:val="subscript"/>
        </w:rPr>
        <w:t>2.5</w:t>
      </w:r>
      <w:r>
        <w:rPr>
          <w:rFonts w:hint="eastAsia"/>
        </w:rPr>
        <w:t>、SO</w:t>
      </w:r>
      <w:r>
        <w:rPr>
          <w:rFonts w:hint="eastAsia"/>
          <w:vertAlign w:val="subscript"/>
        </w:rPr>
        <w:t>2</w:t>
      </w:r>
      <w:r>
        <w:rPr>
          <w:rFonts w:hint="eastAsia"/>
        </w:rPr>
        <w:t>、NO</w:t>
      </w:r>
      <w:r>
        <w:rPr>
          <w:rFonts w:hint="eastAsia"/>
          <w:vertAlign w:val="subscript"/>
        </w:rPr>
        <w:t>2</w:t>
      </w:r>
      <w:r>
        <w:rPr>
          <w:rFonts w:hint="eastAsia"/>
        </w:rPr>
        <w:t>年均浓度，CO第95百分位数日均值浓度，O</w:t>
      </w:r>
      <w:r>
        <w:rPr>
          <w:rFonts w:hint="eastAsia"/>
          <w:vertAlign w:val="subscript"/>
        </w:rPr>
        <w:t>3</w:t>
      </w:r>
      <w:r>
        <w:rPr>
          <w:rFonts w:hint="eastAsia"/>
        </w:rPr>
        <w:t>第90百分位浓度均满足《环境空气质量标准》（GB3095-2012）中二级标准，项目所在区域为达标区。</w:t>
      </w:r>
    </w:p>
    <w:p>
      <w:pPr>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本次环评委托</w:t>
      </w:r>
      <w:r>
        <w:rPr>
          <w:rFonts w:hint="eastAsia" w:ascii="Times New Roman" w:hAnsi="Times New Roman" w:eastAsia="宋体" w:cs="Times New Roman"/>
          <w:sz w:val="24"/>
        </w:rPr>
        <w:t>陕西华准通</w:t>
      </w:r>
      <w:r>
        <w:rPr>
          <w:rFonts w:ascii="Times New Roman" w:hAnsi="Times New Roman" w:eastAsia="宋体" w:cs="Times New Roman"/>
          <w:sz w:val="24"/>
        </w:rPr>
        <w:t>检测技术有限公司对项目所在地</w:t>
      </w:r>
      <w:r>
        <w:rPr>
          <w:rFonts w:hint="eastAsia" w:ascii="Times New Roman" w:hAnsi="Times New Roman" w:eastAsia="宋体" w:cs="Times New Roman"/>
          <w:sz w:val="24"/>
        </w:rPr>
        <w:t>特征</w:t>
      </w:r>
      <w:r>
        <w:rPr>
          <w:rFonts w:ascii="Times New Roman" w:hAnsi="Times New Roman" w:eastAsia="宋体" w:cs="Times New Roman"/>
          <w:sz w:val="24"/>
        </w:rPr>
        <w:t>污染物进行了监测。</w:t>
      </w:r>
      <w:r>
        <w:rPr>
          <w:rFonts w:hint="eastAsia" w:ascii="Times New Roman" w:hAnsi="Times New Roman" w:eastAsia="宋体" w:cs="Times New Roman"/>
          <w:sz w:val="24"/>
        </w:rPr>
        <w:t>由监测</w:t>
      </w:r>
      <w:r>
        <w:rPr>
          <w:rFonts w:ascii="Times New Roman" w:hAnsi="Times New Roman" w:eastAsia="宋体" w:cs="Times New Roman"/>
          <w:sz w:val="24"/>
        </w:rPr>
        <w:t>结果可知，特征</w:t>
      </w:r>
      <w:r>
        <w:rPr>
          <w:rFonts w:hint="eastAsia" w:ascii="Times New Roman" w:hAnsi="Times New Roman" w:eastAsia="宋体" w:cs="Times New Roman"/>
          <w:sz w:val="24"/>
        </w:rPr>
        <w:t>污染物NH</w:t>
      </w:r>
      <w:r>
        <w:rPr>
          <w:rFonts w:ascii="Times New Roman" w:hAnsi="Times New Roman" w:eastAsia="宋体" w:cs="Times New Roman"/>
          <w:sz w:val="24"/>
          <w:vertAlign w:val="subscript"/>
        </w:rPr>
        <w:t>3</w:t>
      </w:r>
      <w:r>
        <w:rPr>
          <w:rFonts w:ascii="Times New Roman" w:hAnsi="Times New Roman" w:eastAsia="宋体" w:cs="Times New Roman"/>
          <w:sz w:val="24"/>
        </w:rPr>
        <w:t>、H</w:t>
      </w:r>
      <w:r>
        <w:rPr>
          <w:rFonts w:ascii="Times New Roman" w:hAnsi="Times New Roman" w:eastAsia="宋体" w:cs="Times New Roman"/>
          <w:sz w:val="24"/>
          <w:vertAlign w:val="subscript"/>
        </w:rPr>
        <w:t>2</w:t>
      </w:r>
      <w:r>
        <w:rPr>
          <w:rFonts w:ascii="Times New Roman" w:hAnsi="Times New Roman" w:eastAsia="宋体" w:cs="Times New Roman"/>
          <w:sz w:val="24"/>
        </w:rPr>
        <w:t>S满足《环境影响评价技术导则 大气环境》（HJ2.2-2018）表D.1中其他污染物空气质量浓度参考限值</w:t>
      </w:r>
      <w:r>
        <w:rPr>
          <w:rFonts w:hint="eastAsia" w:ascii="Times New Roman" w:hAnsi="Times New Roman" w:eastAsia="宋体" w:cs="Times New Roman"/>
          <w:sz w:val="24"/>
        </w:rPr>
        <w:t>，非甲烷总烃满足《大气污染物综合排放标准详解》规定的小时平均值标准</w:t>
      </w:r>
      <w:r>
        <w:rPr>
          <w:rFonts w:ascii="Times New Roman" w:hAnsi="Times New Roman" w:eastAsia="宋体" w:cs="Times New Roman"/>
          <w:sz w:val="24"/>
        </w:rPr>
        <w:t>。项目建址地周边特征污染物环境背景值现状质量良好。</w:t>
      </w:r>
    </w:p>
    <w:p>
      <w:pPr>
        <w:pStyle w:val="4"/>
      </w:pPr>
      <w:r>
        <w:rPr>
          <w:rFonts w:hint="eastAsia"/>
        </w:rPr>
        <w:t>声环境</w:t>
      </w:r>
      <w:r>
        <w:t>质量现状</w:t>
      </w:r>
    </w:p>
    <w:p>
      <w:pPr>
        <w:pStyle w:val="40"/>
        <w:ind w:firstLine="480"/>
      </w:pPr>
      <w:r>
        <w:rPr>
          <w:rFonts w:hint="eastAsia"/>
        </w:rPr>
        <w:t>由监测结果可知，项目所在区域声环境现状良好，厂界四周</w:t>
      </w:r>
      <w:r>
        <w:t>和敏感点</w:t>
      </w:r>
      <w:r>
        <w:rPr>
          <w:rFonts w:hint="eastAsia"/>
        </w:rPr>
        <w:t>越南村</w:t>
      </w:r>
      <w:r>
        <w:t>、刘星耀小学</w:t>
      </w:r>
      <w:r>
        <w:rPr>
          <w:rFonts w:hint="eastAsia"/>
        </w:rPr>
        <w:t>昼间、夜间监测值均满足《声环境质量标准》中2类标准要求，周围声环境质量较好。</w:t>
      </w:r>
    </w:p>
    <w:p>
      <w:pPr>
        <w:pStyle w:val="3"/>
      </w:pPr>
      <w:bookmarkStart w:id="103" w:name="_Toc113260460"/>
      <w:r>
        <w:rPr>
          <w:rFonts w:hint="eastAsia"/>
        </w:rPr>
        <w:t>施工期</w:t>
      </w:r>
      <w:r>
        <w:t>环境影响分析及环保措施</w:t>
      </w:r>
      <w:bookmarkEnd w:id="103"/>
    </w:p>
    <w:p>
      <w:pPr>
        <w:pStyle w:val="40"/>
        <w:ind w:firstLine="480"/>
      </w:pPr>
      <w:r>
        <w:rPr>
          <w:rFonts w:hint="eastAsia"/>
        </w:rPr>
        <w:t>施工期采取“洒水、覆盖、硬化、冲洗、绿化、围挡”六个100%措施，满足《施工场界扬尘排放限值》（DB61/1078-2017）要求，在采取相应措施后，扬尘和机械废气对 周围环境影响较小；施工期生产废水经沉淀池沉淀后全部回用，施工场地设临时旱厕，定 期清运用作农田施肥，生活人员盥洗水用于场内洒水抑尘；项目合理安排工期，选用低 噪声设备，禁止夜间施工，严格执行《建筑施工场界环境噪声排放标准》(GB12523-2011) 对施工阶段的场界限值的规定，将噪声影响降低到最小；施工期施工渣土用于项目地的平整，全部回用，建筑垃圾按有关规定报地方建设主管部门，并按照当地主管部门规定路线运输，生活垃圾集中收集由环卫部门处理。</w:t>
      </w:r>
    </w:p>
    <w:p>
      <w:pPr>
        <w:pStyle w:val="3"/>
      </w:pPr>
      <w:bookmarkStart w:id="104" w:name="_Toc113260461"/>
      <w:r>
        <w:rPr>
          <w:rFonts w:hint="eastAsia"/>
        </w:rPr>
        <w:t>运营期</w:t>
      </w:r>
      <w:r>
        <w:t>环境影响分析及保护措施</w:t>
      </w:r>
      <w:bookmarkEnd w:id="104"/>
    </w:p>
    <w:p>
      <w:pPr>
        <w:pStyle w:val="4"/>
      </w:pPr>
      <w:r>
        <w:rPr>
          <w:rFonts w:hint="eastAsia"/>
        </w:rPr>
        <w:t>大气</w:t>
      </w:r>
      <w:r>
        <w:t>环境影响</w:t>
      </w:r>
      <w:r>
        <w:rPr>
          <w:rFonts w:hint="eastAsia"/>
        </w:rPr>
        <w:t>分析</w:t>
      </w:r>
      <w:r>
        <w:t>及保护措施</w:t>
      </w:r>
    </w:p>
    <w:p>
      <w:pPr>
        <w:pStyle w:val="40"/>
        <w:ind w:firstLine="480"/>
      </w:pPr>
      <w:r>
        <w:rPr>
          <w:rFonts w:hint="eastAsia"/>
        </w:rPr>
        <w:t>天然气锅炉废气、污水处理站废气、食堂燃料废气、食堂油烟、停车场废气、备用发电机燃油废气以及</w:t>
      </w:r>
      <w:r>
        <w:t>中药煎药废气</w:t>
      </w:r>
      <w:r>
        <w:rPr>
          <w:rFonts w:hint="eastAsia"/>
        </w:rPr>
        <w:t>等。</w:t>
      </w:r>
    </w:p>
    <w:p>
      <w:pPr>
        <w:pStyle w:val="40"/>
        <w:ind w:firstLine="480"/>
      </w:pPr>
      <w:r>
        <w:rPr>
          <w:rFonts w:hint="eastAsia"/>
        </w:rPr>
        <w:t>锅炉</w:t>
      </w:r>
      <w:r>
        <w:t>废气经</w:t>
      </w:r>
      <w:r>
        <w:rPr>
          <w:rFonts w:hint="eastAsia"/>
        </w:rPr>
        <w:t>低氮</w:t>
      </w:r>
      <w:r>
        <w:t>燃烧</w:t>
      </w:r>
      <w:r>
        <w:rPr>
          <w:rFonts w:hint="eastAsia"/>
        </w:rPr>
        <w:t>+</w:t>
      </w:r>
      <w:r>
        <w:t>60m高排气筒</w:t>
      </w:r>
      <w:r>
        <w:rPr>
          <w:rFonts w:hint="eastAsia"/>
        </w:rPr>
        <w:t>排放</w:t>
      </w:r>
      <w:r>
        <w:t>，</w:t>
      </w:r>
      <w:r>
        <w:rPr>
          <w:rFonts w:hint="eastAsia"/>
        </w:rPr>
        <w:t>食堂燃料</w:t>
      </w:r>
      <w:r>
        <w:t>废气和油烟经油烟</w:t>
      </w:r>
      <w:r>
        <w:rPr>
          <w:rFonts w:hint="eastAsia"/>
        </w:rPr>
        <w:t>净化器</w:t>
      </w:r>
      <w:r>
        <w:t>处理后经烟道</w:t>
      </w:r>
      <w:r>
        <w:rPr>
          <w:rFonts w:hint="eastAsia"/>
        </w:rPr>
        <w:t>引</w:t>
      </w:r>
      <w:r>
        <w:t>至楼顶排放</w:t>
      </w:r>
      <w:r>
        <w:rPr>
          <w:rFonts w:hint="eastAsia"/>
        </w:rPr>
        <w:t>。地面</w:t>
      </w:r>
      <w:r>
        <w:t>停车场</w:t>
      </w:r>
      <w:r>
        <w:rPr>
          <w:rFonts w:hint="eastAsia"/>
        </w:rPr>
        <w:t>废气经</w:t>
      </w:r>
      <w:r>
        <w:t>空气扩散后对周围环境影响较小。</w:t>
      </w:r>
    </w:p>
    <w:p>
      <w:pPr>
        <w:pStyle w:val="40"/>
        <w:ind w:firstLine="480"/>
      </w:pPr>
      <w:r>
        <w:rPr>
          <w:rFonts w:hint="eastAsia"/>
        </w:rPr>
        <w:t>污水处理站采用全封闭设计，安装机械排风系统，并定期投放生物除臭剂，在污水处理站四周空地种植树木，经绿化阻隔后，污水处理站周边大气污染物浓度能够满足《医疗机构水污染物排放标准》（GB18466-2005）表3周边大气污染物最高允许浓度要求。</w:t>
      </w:r>
    </w:p>
    <w:p>
      <w:pPr>
        <w:pStyle w:val="4"/>
      </w:pPr>
      <w:r>
        <w:rPr>
          <w:rFonts w:hint="eastAsia"/>
        </w:rPr>
        <w:t>地表水</w:t>
      </w:r>
      <w:r>
        <w:t>环境影响分析及保护措施</w:t>
      </w:r>
    </w:p>
    <w:p>
      <w:pPr>
        <w:pStyle w:val="40"/>
        <w:ind w:firstLine="480"/>
        <w:rPr>
          <w:rFonts w:cs="Times New Roman"/>
          <w:kern w:val="0"/>
          <w:szCs w:val="20"/>
          <w:highlight w:val="yellow"/>
        </w:rPr>
      </w:pPr>
      <w:r>
        <w:rPr>
          <w:rFonts w:hint="eastAsia" w:cs="Times New Roman"/>
          <w:kern w:val="0"/>
          <w:szCs w:val="20"/>
        </w:rPr>
        <w:t>本项目食堂</w:t>
      </w:r>
      <w:r>
        <w:rPr>
          <w:rFonts w:cs="Times New Roman"/>
          <w:kern w:val="0"/>
          <w:szCs w:val="20"/>
        </w:rPr>
        <w:t>废水经隔油预处理</w:t>
      </w:r>
      <w:r>
        <w:rPr>
          <w:rFonts w:hint="eastAsia" w:cs="Times New Roman"/>
          <w:kern w:val="0"/>
          <w:szCs w:val="20"/>
        </w:rPr>
        <w:t>后</w:t>
      </w:r>
      <w:r>
        <w:rPr>
          <w:rFonts w:cs="Times New Roman"/>
          <w:kern w:val="0"/>
          <w:szCs w:val="20"/>
        </w:rPr>
        <w:t>，与其余</w:t>
      </w:r>
      <w:r>
        <w:rPr>
          <w:rFonts w:hint="eastAsia" w:cs="Times New Roman"/>
          <w:kern w:val="0"/>
          <w:szCs w:val="20"/>
        </w:rPr>
        <w:t>医疗</w:t>
      </w:r>
      <w:r>
        <w:rPr>
          <w:rFonts w:cs="Times New Roman"/>
          <w:kern w:val="0"/>
          <w:szCs w:val="20"/>
        </w:rPr>
        <w:t>废水</w:t>
      </w:r>
      <w:r>
        <w:rPr>
          <w:rFonts w:hint="eastAsia" w:cs="Times New Roman"/>
          <w:kern w:val="0"/>
          <w:szCs w:val="20"/>
        </w:rPr>
        <w:t>混合进入化粪池，经化粪池处理后，进入污水处理站处理，</w:t>
      </w:r>
      <w:r>
        <w:t>项目</w:t>
      </w:r>
      <w:r>
        <w:rPr>
          <w:rFonts w:hint="eastAsia"/>
        </w:rPr>
        <w:t>进入</w:t>
      </w:r>
      <w:r>
        <w:t>污水处理站的废水量为195.32m</w:t>
      </w:r>
      <w:r>
        <w:rPr>
          <w:vertAlign w:val="superscript"/>
        </w:rPr>
        <w:t>3</w:t>
      </w:r>
      <w:r>
        <w:t>/d，71291.8m</w:t>
      </w:r>
      <w:r>
        <w:rPr>
          <w:vertAlign w:val="superscript"/>
        </w:rPr>
        <w:t>3</w:t>
      </w:r>
      <w:r>
        <w:t>/a，</w:t>
      </w:r>
      <w:r>
        <w:rPr>
          <w:rFonts w:hint="eastAsia"/>
        </w:rPr>
        <w:t>污水</w:t>
      </w:r>
      <w:r>
        <w:t>处理站采用地埋式设计，</w:t>
      </w:r>
      <w:r>
        <w:rPr>
          <w:rFonts w:hint="eastAsia"/>
        </w:rPr>
        <w:t>处理</w:t>
      </w:r>
      <w:r>
        <w:t>规模250m</w:t>
      </w:r>
      <w:r>
        <w:rPr>
          <w:vertAlign w:val="superscript"/>
        </w:rPr>
        <w:t>3</w:t>
      </w:r>
      <w:r>
        <w:t>/d，</w:t>
      </w:r>
      <w:r>
        <w:rPr>
          <w:rFonts w:hAnsi="宋体"/>
          <w:bCs/>
          <w:szCs w:val="21"/>
        </w:rPr>
        <w:t>采用</w:t>
      </w:r>
      <w:r>
        <w:rPr>
          <w:rFonts w:hint="eastAsia"/>
          <w:bCs/>
          <w:szCs w:val="21"/>
        </w:rPr>
        <w:t>“混凝沉淀</w:t>
      </w:r>
      <w:r>
        <w:t>+</w:t>
      </w:r>
      <w:r>
        <w:rPr>
          <w:rFonts w:hint="eastAsia" w:hAnsi="宋体"/>
          <w:bCs/>
          <w:szCs w:val="21"/>
        </w:rPr>
        <w:t>次氯酸钠消毒</w:t>
      </w:r>
      <w:r>
        <w:rPr>
          <w:rFonts w:hint="eastAsia"/>
          <w:bCs/>
          <w:szCs w:val="21"/>
        </w:rPr>
        <w:t>”</w:t>
      </w:r>
      <w:r>
        <w:rPr>
          <w:rFonts w:hAnsi="宋体"/>
          <w:bCs/>
          <w:szCs w:val="21"/>
        </w:rPr>
        <w:t>处理</w:t>
      </w:r>
      <w:r>
        <w:rPr>
          <w:rFonts w:hint="eastAsia" w:hAnsi="宋体"/>
          <w:bCs/>
          <w:szCs w:val="21"/>
        </w:rPr>
        <w:t>工艺，处理</w:t>
      </w:r>
      <w:r>
        <w:rPr>
          <w:rFonts w:hAnsi="宋体"/>
          <w:bCs/>
          <w:szCs w:val="21"/>
        </w:rPr>
        <w:t>后废水能够</w:t>
      </w:r>
      <w:r>
        <w:rPr>
          <w:rFonts w:hint="eastAsia" w:cs="Times New Roman"/>
          <w:kern w:val="0"/>
          <w:szCs w:val="20"/>
        </w:rPr>
        <w:t>达到《医疗机构水污染物排放标准》（GB18466-2005）表2综合</w:t>
      </w:r>
      <w:r>
        <w:rPr>
          <w:rFonts w:cs="Times New Roman"/>
          <w:kern w:val="0"/>
          <w:szCs w:val="20"/>
        </w:rPr>
        <w:t>医疗</w:t>
      </w:r>
      <w:r>
        <w:rPr>
          <w:rFonts w:hint="eastAsia" w:cs="Times New Roman"/>
          <w:kern w:val="0"/>
          <w:szCs w:val="20"/>
        </w:rPr>
        <w:t>机构</w:t>
      </w:r>
      <w:r>
        <w:rPr>
          <w:rFonts w:cs="Times New Roman"/>
          <w:kern w:val="0"/>
          <w:szCs w:val="20"/>
        </w:rPr>
        <w:t>和其他医疗机构</w:t>
      </w:r>
      <w:r>
        <w:rPr>
          <w:rFonts w:hint="eastAsia" w:cs="Times New Roman"/>
          <w:kern w:val="0"/>
          <w:szCs w:val="20"/>
        </w:rPr>
        <w:t>预处理标准后，排入市政污水管网，进入安康市恒口示范区污水处理厂</w:t>
      </w:r>
      <w:r>
        <w:rPr>
          <w:rFonts w:cs="Times New Roman"/>
          <w:kern w:val="0"/>
          <w:szCs w:val="20"/>
        </w:rPr>
        <w:t>处理，</w:t>
      </w:r>
      <w:r>
        <w:rPr>
          <w:rFonts w:hint="eastAsia" w:cs="Times New Roman"/>
          <w:kern w:val="0"/>
          <w:szCs w:val="20"/>
        </w:rPr>
        <w:t>最终受纳水体为月河，对周围水环境影响较小。</w:t>
      </w:r>
    </w:p>
    <w:p>
      <w:pPr>
        <w:pStyle w:val="4"/>
      </w:pPr>
      <w:r>
        <w:rPr>
          <w:rFonts w:hint="eastAsia"/>
        </w:rPr>
        <w:t>噪声</w:t>
      </w:r>
      <w:r>
        <w:t>影响分析及保护措施</w:t>
      </w:r>
    </w:p>
    <w:p>
      <w:pPr>
        <w:pStyle w:val="40"/>
        <w:ind w:firstLine="480"/>
      </w:pPr>
      <w:r>
        <w:rPr>
          <w:rFonts w:hint="eastAsia"/>
        </w:rPr>
        <w:t>本项目通过选用低噪声设备，针对不同产噪源采用不同的隔声、减振、消声等措施后，项目建成运营期后场界噪声预测值可以满足《工业企业厂界环境噪声排放标准》（GB12348-2008）2类标准的要求。敏感点越南村、</w:t>
      </w:r>
      <w:r>
        <w:t>刘星耀小学</w:t>
      </w:r>
      <w:r>
        <w:rPr>
          <w:rFonts w:hint="eastAsia"/>
        </w:rPr>
        <w:t>噪声预测值可以满足《声环境质量标准》（GB3096-2008）2类标准要求，本项目建成后对周围声环境影响较小。</w:t>
      </w:r>
    </w:p>
    <w:p>
      <w:pPr>
        <w:pStyle w:val="4"/>
      </w:pPr>
      <w:r>
        <w:rPr>
          <w:rFonts w:hint="eastAsia"/>
        </w:rPr>
        <w:t>固体废物</w:t>
      </w:r>
      <w:r>
        <w:t>环境影响分析及保护措施</w:t>
      </w:r>
    </w:p>
    <w:p>
      <w:pPr>
        <w:pStyle w:val="40"/>
        <w:ind w:firstLine="480"/>
      </w:pPr>
      <w:r>
        <w:rPr>
          <w:rFonts w:hint="eastAsia"/>
        </w:rPr>
        <w:t>项目各楼层设有垃圾收集桶，生活垃圾经清洁人员收集后，日产日清，交由环卫部门清运处置。餐厨垃圾及食堂废油脂经专用容器收集后，定期交由回收单位处置。中药渣分类</w:t>
      </w:r>
      <w:r>
        <w:t>收集后，交环卫部门清运。</w:t>
      </w:r>
      <w:r>
        <w:rPr>
          <w:rFonts w:hint="eastAsia"/>
        </w:rPr>
        <w:t>废</w:t>
      </w:r>
      <w:r>
        <w:t>离子交换树脂由厂家定期更换并回收。</w:t>
      </w:r>
      <w:r>
        <w:rPr>
          <w:rFonts w:hint="eastAsia" w:cs="Times New Roman"/>
          <w:color w:val="000000"/>
          <w:spacing w:val="-6"/>
          <w:kern w:val="0"/>
          <w:szCs w:val="24"/>
        </w:rPr>
        <w:t>医疗</w:t>
      </w:r>
      <w:r>
        <w:rPr>
          <w:rFonts w:cs="Times New Roman"/>
          <w:color w:val="000000"/>
          <w:spacing w:val="-6"/>
          <w:kern w:val="0"/>
          <w:szCs w:val="24"/>
        </w:rPr>
        <w:t>废物经运输通道运输至医疗废物暂存间</w:t>
      </w:r>
      <w:r>
        <w:rPr>
          <w:rFonts w:hint="eastAsia" w:cs="Times New Roman"/>
          <w:color w:val="000000"/>
          <w:spacing w:val="-6"/>
          <w:kern w:val="0"/>
          <w:szCs w:val="24"/>
        </w:rPr>
        <w:t>暂存</w:t>
      </w:r>
      <w:r>
        <w:rPr>
          <w:rFonts w:cs="Times New Roman"/>
          <w:color w:val="000000"/>
          <w:spacing w:val="-6"/>
          <w:kern w:val="0"/>
          <w:szCs w:val="24"/>
        </w:rPr>
        <w:t>，</w:t>
      </w:r>
      <w:r>
        <w:rPr>
          <w:rFonts w:hint="eastAsia" w:cs="Times New Roman"/>
          <w:color w:val="000000"/>
          <w:spacing w:val="-6"/>
          <w:kern w:val="0"/>
          <w:szCs w:val="24"/>
        </w:rPr>
        <w:t>暂存间</w:t>
      </w:r>
      <w:r>
        <w:rPr>
          <w:rFonts w:cs="Times New Roman"/>
          <w:color w:val="000000"/>
          <w:spacing w:val="-6"/>
          <w:kern w:val="0"/>
          <w:szCs w:val="24"/>
        </w:rPr>
        <w:t>位于</w:t>
      </w:r>
      <w:r>
        <w:rPr>
          <w:rFonts w:hint="eastAsia" w:cs="Times New Roman"/>
          <w:szCs w:val="20"/>
        </w:rPr>
        <w:t>住院楼</w:t>
      </w:r>
      <w:r>
        <w:rPr>
          <w:rFonts w:cs="Times New Roman"/>
          <w:szCs w:val="20"/>
        </w:rPr>
        <w:t>医技楼</w:t>
      </w:r>
      <w:r>
        <w:rPr>
          <w:rFonts w:hint="eastAsia" w:cs="Times New Roman"/>
          <w:color w:val="000000"/>
          <w:spacing w:val="-6"/>
          <w:kern w:val="0"/>
          <w:szCs w:val="24"/>
        </w:rPr>
        <w:t>地下</w:t>
      </w:r>
      <w:r>
        <w:rPr>
          <w:rFonts w:cs="Times New Roman"/>
          <w:color w:val="000000"/>
          <w:spacing w:val="-6"/>
          <w:kern w:val="0"/>
          <w:szCs w:val="24"/>
        </w:rPr>
        <w:t>一层</w:t>
      </w:r>
      <w:r>
        <w:rPr>
          <w:rFonts w:hint="eastAsia" w:cs="Times New Roman"/>
          <w:color w:val="000000"/>
          <w:spacing w:val="-6"/>
          <w:kern w:val="0"/>
          <w:szCs w:val="24"/>
        </w:rPr>
        <w:t>，</w:t>
      </w:r>
      <w:r>
        <w:rPr>
          <w:rFonts w:cs="Times New Roman"/>
          <w:color w:val="000000"/>
          <w:spacing w:val="-6"/>
          <w:kern w:val="0"/>
          <w:szCs w:val="24"/>
        </w:rPr>
        <w:t>面积约40</w:t>
      </w:r>
      <w:r>
        <w:rPr>
          <w:rFonts w:hint="eastAsia" w:cs="Times New Roman"/>
          <w:color w:val="000000"/>
          <w:spacing w:val="-6"/>
          <w:kern w:val="0"/>
          <w:szCs w:val="24"/>
        </w:rPr>
        <w:t>.66</w:t>
      </w:r>
      <w:r>
        <w:rPr>
          <w:rFonts w:cs="Times New Roman"/>
          <w:color w:val="000000"/>
          <w:spacing w:val="-6"/>
          <w:kern w:val="0"/>
          <w:szCs w:val="24"/>
        </w:rPr>
        <w:t>m</w:t>
      </w:r>
      <w:r>
        <w:rPr>
          <w:rFonts w:cs="Times New Roman"/>
          <w:color w:val="000000"/>
          <w:spacing w:val="-6"/>
          <w:kern w:val="0"/>
          <w:szCs w:val="24"/>
          <w:vertAlign w:val="superscript"/>
        </w:rPr>
        <w:t>2</w:t>
      </w:r>
      <w:r>
        <w:rPr>
          <w:rFonts w:hint="eastAsia" w:cs="Times New Roman"/>
          <w:color w:val="000000"/>
          <w:spacing w:val="-6"/>
          <w:kern w:val="0"/>
          <w:szCs w:val="24"/>
        </w:rPr>
        <w:t>，</w:t>
      </w:r>
      <w:r>
        <w:rPr>
          <w:rFonts w:cs="Times New Roman"/>
          <w:color w:val="000000"/>
          <w:spacing w:val="-6"/>
          <w:kern w:val="0"/>
          <w:szCs w:val="24"/>
        </w:rPr>
        <w:t>交由</w:t>
      </w:r>
      <w:r>
        <w:rPr>
          <w:rFonts w:hint="eastAsia" w:cs="Times New Roman"/>
          <w:color w:val="000000"/>
          <w:spacing w:val="-6"/>
          <w:kern w:val="0"/>
          <w:szCs w:val="24"/>
        </w:rPr>
        <w:t>有资质</w:t>
      </w:r>
      <w:r>
        <w:rPr>
          <w:rFonts w:cs="Times New Roman"/>
          <w:color w:val="000000"/>
          <w:spacing w:val="-6"/>
          <w:kern w:val="0"/>
          <w:szCs w:val="24"/>
        </w:rPr>
        <w:t>单位</w:t>
      </w:r>
      <w:r>
        <w:rPr>
          <w:rFonts w:hint="eastAsia" w:cs="Times New Roman"/>
          <w:color w:val="000000"/>
          <w:spacing w:val="-6"/>
          <w:kern w:val="0"/>
          <w:szCs w:val="24"/>
        </w:rPr>
        <w:t>处置</w:t>
      </w:r>
      <w:r>
        <w:rPr>
          <w:rFonts w:cs="Times New Roman"/>
          <w:color w:val="000000"/>
          <w:spacing w:val="-6"/>
          <w:kern w:val="0"/>
          <w:szCs w:val="24"/>
        </w:rPr>
        <w:t>。</w:t>
      </w:r>
      <w:r>
        <w:rPr>
          <w:rFonts w:hint="eastAsia" w:cs="Times New Roman"/>
          <w:color w:val="000000"/>
          <w:spacing w:val="-6"/>
          <w:kern w:val="0"/>
          <w:szCs w:val="24"/>
        </w:rPr>
        <w:t>污水</w:t>
      </w:r>
      <w:r>
        <w:rPr>
          <w:rFonts w:cs="Times New Roman"/>
          <w:color w:val="000000"/>
          <w:spacing w:val="-6"/>
          <w:kern w:val="0"/>
          <w:szCs w:val="24"/>
        </w:rPr>
        <w:t>处理站污泥</w:t>
      </w:r>
      <w:r>
        <w:rPr>
          <w:rFonts w:hint="eastAsia" w:cs="Times New Roman"/>
          <w:color w:val="000000"/>
          <w:spacing w:val="-6"/>
          <w:kern w:val="0"/>
          <w:szCs w:val="24"/>
        </w:rPr>
        <w:t>采用生石灰对污泥及栅渣进行消毒，</w:t>
      </w:r>
      <w:r>
        <w:rPr>
          <w:rFonts w:cs="Times New Roman"/>
          <w:color w:val="000000"/>
          <w:spacing w:val="-6"/>
          <w:kern w:val="0"/>
          <w:szCs w:val="24"/>
        </w:rPr>
        <w:t>消毒后脱水</w:t>
      </w:r>
      <w:r>
        <w:rPr>
          <w:rFonts w:hint="eastAsia" w:cs="Times New Roman"/>
          <w:color w:val="000000"/>
          <w:spacing w:val="-6"/>
          <w:kern w:val="0"/>
          <w:szCs w:val="24"/>
        </w:rPr>
        <w:t>外运</w:t>
      </w:r>
      <w:r>
        <w:rPr>
          <w:rFonts w:cs="Times New Roman"/>
          <w:color w:val="000000"/>
          <w:spacing w:val="-6"/>
          <w:kern w:val="0"/>
          <w:szCs w:val="24"/>
        </w:rPr>
        <w:t>，交由资质单位处置。</w:t>
      </w:r>
    </w:p>
    <w:p>
      <w:pPr>
        <w:pStyle w:val="3"/>
      </w:pPr>
      <w:bookmarkStart w:id="105" w:name="_Toc113260462"/>
      <w:r>
        <w:rPr>
          <w:rFonts w:hint="eastAsia"/>
        </w:rPr>
        <w:t>公众</w:t>
      </w:r>
      <w:r>
        <w:t>意见采纳情况说明</w:t>
      </w:r>
      <w:bookmarkEnd w:id="105"/>
    </w:p>
    <w:p>
      <w:pPr>
        <w:pStyle w:val="49"/>
        <w:ind w:firstLine="480"/>
        <w:rPr>
          <w:rFonts w:cs="Times New Roman"/>
        </w:rPr>
      </w:pPr>
      <w:r>
        <w:rPr>
          <w:rFonts w:cs="Times New Roman"/>
        </w:rPr>
        <w:t>根据《环境影响评价公众参与办法》（部令 第4号），建设单位在《</w:t>
      </w:r>
      <w:r>
        <w:rPr>
          <w:rFonts w:hint="eastAsia"/>
        </w:rPr>
        <w:t xml:space="preserve"> 恒口镇人民政府（恒口示范区卫生健康局）恒口示范区（试验区）综合性三级中医医院建设项目</w:t>
      </w:r>
      <w:r>
        <w:rPr>
          <w:rFonts w:cs="Times New Roman"/>
        </w:rPr>
        <w:t>环境影响报告书》委托编制及征求意见稿完成后进行了公开，环境影响报告书委托后7个工作日内首次公开选取</w:t>
      </w:r>
      <w:r>
        <w:rPr>
          <w:rFonts w:hint="eastAsia" w:cs="Times New Roman"/>
        </w:rPr>
        <w:t>安康市</w:t>
      </w:r>
      <w:r>
        <w:rPr>
          <w:rFonts w:cs="Times New Roman"/>
        </w:rPr>
        <w:t>恒口示范区（</w:t>
      </w:r>
      <w:r>
        <w:rPr>
          <w:rFonts w:hint="eastAsia" w:cs="Times New Roman"/>
        </w:rPr>
        <w:t>试验区</w:t>
      </w:r>
      <w:r>
        <w:rPr>
          <w:rFonts w:cs="Times New Roman"/>
        </w:rPr>
        <w:t>）</w:t>
      </w:r>
      <w:r>
        <w:rPr>
          <w:rFonts w:hint="eastAsia" w:cs="Times New Roman"/>
        </w:rPr>
        <w:t>管理</w:t>
      </w:r>
      <w:r>
        <w:rPr>
          <w:rFonts w:cs="Times New Roman"/>
        </w:rPr>
        <w:t>委员会网站进行了公示，征求意见稿完成后同时采用一次网络公开，两次报纸公开及一次现场张贴的形式进行了公示，</w:t>
      </w:r>
      <w:r>
        <w:rPr>
          <w:rFonts w:hint="eastAsia" w:cs="Times New Roman"/>
        </w:rPr>
        <w:t>报告书报批</w:t>
      </w:r>
      <w:r>
        <w:rPr>
          <w:rFonts w:cs="Times New Roman"/>
        </w:rPr>
        <w:t>前</w:t>
      </w:r>
      <w:r>
        <w:rPr>
          <w:rFonts w:hint="eastAsia" w:cs="Times New Roman"/>
        </w:rPr>
        <w:t>进行</w:t>
      </w:r>
      <w:r>
        <w:rPr>
          <w:rFonts w:cs="Times New Roman"/>
        </w:rPr>
        <w:t>了网络公示，首次公开</w:t>
      </w:r>
      <w:r>
        <w:rPr>
          <w:rFonts w:hint="eastAsia" w:cs="Times New Roman"/>
        </w:rPr>
        <w:t>、</w:t>
      </w:r>
      <w:r>
        <w:rPr>
          <w:rFonts w:cs="Times New Roman"/>
        </w:rPr>
        <w:t>征求意见稿公示</w:t>
      </w:r>
      <w:r>
        <w:rPr>
          <w:rFonts w:hint="eastAsia" w:cs="Times New Roman"/>
        </w:rPr>
        <w:t>及</w:t>
      </w:r>
      <w:r>
        <w:rPr>
          <w:rFonts w:cs="Times New Roman"/>
        </w:rPr>
        <w:t>报批前公示阶段均未收到公众意见。</w:t>
      </w:r>
    </w:p>
    <w:p>
      <w:pPr>
        <w:pStyle w:val="3"/>
      </w:pPr>
      <w:bookmarkStart w:id="106" w:name="_Toc113260463"/>
      <w:r>
        <w:rPr>
          <w:rFonts w:hint="eastAsia"/>
        </w:rPr>
        <w:t>环境</w:t>
      </w:r>
      <w:r>
        <w:t>可行性结论</w:t>
      </w:r>
      <w:bookmarkEnd w:id="106"/>
    </w:p>
    <w:p>
      <w:pPr>
        <w:pStyle w:val="40"/>
        <w:ind w:firstLine="480"/>
      </w:pPr>
      <w:r>
        <w:rPr>
          <w:rFonts w:hint="eastAsia"/>
        </w:rPr>
        <w:t>本项目属于医疗卫生服务设施建设，与项目用地性质医疗卫生用地相符，本项目的建设符合当地医疗的需求，为国家鼓励类项目，符合国家和地方的产业政策。</w:t>
      </w:r>
    </w:p>
    <w:p>
      <w:pPr>
        <w:pStyle w:val="40"/>
        <w:ind w:firstLine="480"/>
        <w:rPr>
          <w:highlight w:val="yellow"/>
        </w:rPr>
      </w:pPr>
      <w:r>
        <w:rPr>
          <w:rFonts w:hint="eastAsia"/>
        </w:rPr>
        <w:t>项目所在区域不存在重大的环境制约因素，项目所在区域环境质量现状较好，在采取了本次环评提出的各项污染防治措施后，污染物排放可以达到相应的排放标准，项目建设和运行不会改变区域的环境功能，项目对环境影响较小，通过公众参与调查，公众对项目无反对意见，项目建成后对当地经济起到促进作用。在认真落实污染物达标排放和总量控制要求，采取严格有效的事故风险防范措施后，项目运营阶段对周围环境的影响在可接受范围内。因此，从环保的角度分析，该项目的建设是可行。</w:t>
      </w:r>
    </w:p>
    <w:p>
      <w:pPr>
        <w:pStyle w:val="3"/>
      </w:pPr>
      <w:bookmarkStart w:id="107" w:name="_Toc113260464"/>
      <w:r>
        <w:rPr>
          <w:rFonts w:hint="eastAsia"/>
        </w:rPr>
        <w:t>要求</w:t>
      </w:r>
      <w:r>
        <w:t>与建议</w:t>
      </w:r>
      <w:bookmarkEnd w:id="107"/>
    </w:p>
    <w:p>
      <w:pPr>
        <w:pStyle w:val="4"/>
      </w:pPr>
      <w:r>
        <w:rPr>
          <w:rFonts w:hint="eastAsia"/>
        </w:rPr>
        <w:t>要求</w:t>
      </w:r>
    </w:p>
    <w:p>
      <w:pPr>
        <w:pStyle w:val="40"/>
        <w:ind w:firstLine="480"/>
      </w:pPr>
      <w:r>
        <w:rPr>
          <w:rFonts w:hint="eastAsia"/>
        </w:rPr>
        <w:t xml:space="preserve">（1）医院建设过程中应按照建设项目的环保设施“三同时”要求，环保设施必须与主体工程同时设计、同时施工、同时投入运行； </w:t>
      </w:r>
    </w:p>
    <w:p>
      <w:pPr>
        <w:pStyle w:val="40"/>
        <w:ind w:firstLine="480"/>
        <w:rPr>
          <w:highlight w:val="yellow"/>
        </w:rPr>
      </w:pPr>
      <w:r>
        <w:rPr>
          <w:rFonts w:hint="eastAsia"/>
        </w:rPr>
        <w:t>（2）医疗废物的暂存及管理严格按照《医疗废物管理条例》及《医疗废物分类目录（2021版）》进行，避免造成二次污染；</w:t>
      </w:r>
    </w:p>
    <w:p>
      <w:pPr>
        <w:pStyle w:val="40"/>
        <w:ind w:firstLine="480"/>
      </w:pPr>
      <w:r>
        <w:rPr>
          <w:rFonts w:hint="eastAsia"/>
        </w:rPr>
        <w:t>（3）医院应按环评要求建设污水处理站，医院污水未经处理严禁排入市政污水管网或</w:t>
      </w:r>
      <w:r>
        <w:t>外环境</w:t>
      </w:r>
      <w:r>
        <w:rPr>
          <w:rFonts w:hint="eastAsia"/>
        </w:rPr>
        <w:t>；中心</w:t>
      </w:r>
      <w:r>
        <w:t>应加强对污水处理系统的管理与维护，以防止污水处理系统发生故障、污水处理系统非正常运转，医疗废水应该进入事故水池，不得事故性排放。</w:t>
      </w:r>
    </w:p>
    <w:p>
      <w:pPr>
        <w:pStyle w:val="40"/>
        <w:ind w:firstLine="480"/>
      </w:pPr>
      <w:r>
        <w:rPr>
          <w:rFonts w:hint="eastAsia"/>
        </w:rPr>
        <w:t>（</w:t>
      </w:r>
      <w:r>
        <w:t>4</w:t>
      </w:r>
      <w:r>
        <w:rPr>
          <w:rFonts w:hint="eastAsia"/>
        </w:rPr>
        <w:t>）严格按照《医院污水处理工程技术规范》（HJ2029-2013）和有关设计规范的要求，做好医疗污水的处理和消毒，确保达标排放；</w:t>
      </w:r>
    </w:p>
    <w:p>
      <w:pPr>
        <w:pStyle w:val="40"/>
        <w:ind w:firstLine="480"/>
        <w:rPr>
          <w:highlight w:val="yellow"/>
        </w:rPr>
      </w:pPr>
      <w:r>
        <w:t>（5）</w:t>
      </w:r>
      <w:r>
        <w:rPr>
          <w:rFonts w:hint="eastAsia"/>
        </w:rPr>
        <w:t>医院污水处理过程产生的污泥堆放应符合《医疗废物集中处置技术规范》等规定；</w:t>
      </w:r>
    </w:p>
    <w:p>
      <w:pPr>
        <w:pStyle w:val="40"/>
        <w:ind w:firstLine="480"/>
        <w:rPr>
          <w:highlight w:val="yellow"/>
        </w:rPr>
      </w:pPr>
      <w:r>
        <w:rPr>
          <w:rFonts w:hint="eastAsia"/>
        </w:rPr>
        <w:t>（6）本项目所涉及的放射性设备的放射性环境影响不在本次评价范围内，需另行委托有相应资质单位完善环保手续。</w:t>
      </w:r>
    </w:p>
    <w:p>
      <w:pPr>
        <w:pStyle w:val="4"/>
      </w:pPr>
      <w:r>
        <w:rPr>
          <w:rFonts w:hint="eastAsia"/>
        </w:rPr>
        <w:t>建议</w:t>
      </w:r>
    </w:p>
    <w:p>
      <w:pPr>
        <w:pStyle w:val="40"/>
        <w:ind w:firstLine="480"/>
      </w:pPr>
      <w:r>
        <w:t>当地政府</w:t>
      </w:r>
      <w:r>
        <w:rPr>
          <w:rFonts w:hint="eastAsia"/>
        </w:rPr>
        <w:t>、</w:t>
      </w:r>
      <w:r>
        <w:t>建设单位应加强</w:t>
      </w:r>
      <w:r>
        <w:rPr>
          <w:rFonts w:hint="eastAsia"/>
        </w:rPr>
        <w:t>卫生防护宣传以及</w:t>
      </w:r>
      <w:r>
        <w:t>环保宣传，向周围公众介绍项目建设情况，治污方案实施情况</w:t>
      </w:r>
      <w:r>
        <w:rPr>
          <w:rFonts w:hint="eastAsia"/>
        </w:rPr>
        <w:t>，确保废水达标处理。做好</w:t>
      </w:r>
      <w:r>
        <w:t>将来的</w:t>
      </w:r>
      <w:r>
        <w:rPr>
          <w:rFonts w:hint="eastAsia"/>
        </w:rPr>
        <w:t>疾病控制、环境保护</w:t>
      </w:r>
      <w:r>
        <w:t>管理工作，获得周围公众的信任。</w:t>
      </w:r>
      <w:r>
        <w:rPr>
          <w:rFonts w:hint="eastAsia"/>
        </w:rPr>
        <w:t>加强院区内绿化带的建设，做好文明施工。</w:t>
      </w:r>
    </w:p>
    <w:sectPr>
      <w:headerReference r:id="rId66" w:type="default"/>
      <w:headerReference r:id="rId67" w:type="even"/>
      <w:pgSz w:w="11906" w:h="16838"/>
      <w:pgMar w:top="1418" w:right="1418" w:bottom="1418" w:left="1588"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Mincho">
    <w:panose1 w:val="02020609040205080304"/>
    <w:charset w:val="80"/>
    <w:family w:val="modern"/>
    <w:pitch w:val="default"/>
    <w:sig w:usb0="E00002FF" w:usb1="6AC7FDFB" w:usb2="00000012" w:usb3="00000000" w:csb0="4002009F" w:csb1="DFD7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Tms Rmn">
    <w:altName w:val="Segoe Print"/>
    <w:panose1 w:val="02020603040505020304"/>
    <w:charset w:val="00"/>
    <w:family w:val="roman"/>
    <w:pitch w:val="default"/>
    <w:sig w:usb0="00000000" w:usb1="00000000" w:usb2="00000000" w:usb3="00000000" w:csb0="00000001" w:csb1="00000000"/>
  </w:font>
  <w:font w:name="Cambria Math">
    <w:panose1 w:val="02040503050406030204"/>
    <w:charset w:val="00"/>
    <w:family w:val="roman"/>
    <w:pitch w:val="default"/>
    <w:sig w:usb0="E00002FF" w:usb1="420024FF" w:usb2="00000000" w:usb3="00000000" w:csb0="2000019F" w:csb1="00000000"/>
  </w:font>
  <w:font w:name="TimesNewRomanPSMT">
    <w:altName w:val="Times New Roman"/>
    <w:panose1 w:val="00000000000000000000"/>
    <w:charset w:val="00"/>
    <w:family w:val="auto"/>
    <w:pitch w:val="default"/>
    <w:sig w:usb0="00000000" w:usb1="00000000" w:usb2="00000000" w:usb3="00000000" w:csb0="00040001" w:csb1="00000000"/>
  </w:font>
  <w:font w:name="等线">
    <w:altName w:val="Arial Unicode MS"/>
    <w:panose1 w:val="00000000000000000000"/>
    <w:charset w:val="86"/>
    <w:family w:val="auto"/>
    <w:pitch w:val="default"/>
    <w:sig w:usb0="00000000" w:usb1="00000000" w:usb2="00000016" w:usb3="00000000" w:csb0="0004000F" w:csb1="00000000"/>
  </w:font>
  <w:font w:name="BatangChe">
    <w:panose1 w:val="02030609000101010101"/>
    <w:charset w:val="81"/>
    <w:family w:val="modern"/>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3422340"/>
      <w:docPartObj>
        <w:docPartGallery w:val="AutoText"/>
      </w:docPartObj>
    </w:sdtPr>
    <w:sdtEndPr>
      <w:rPr>
        <w:rFonts w:ascii="Times New Roman" w:hAnsi="Times New Roman" w:cs="Times New Roman"/>
      </w:rPr>
    </w:sdtEndPr>
    <w:sdtContent>
      <w:p>
        <w:pPr>
          <w:pStyle w:val="14"/>
          <w:pBdr>
            <w:top w:val="single" w:color="auto" w:sz="4" w:space="1"/>
          </w:pBd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126 -</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2130665"/>
      <w:docPartObj>
        <w:docPartGallery w:val="AutoText"/>
      </w:docPartObj>
    </w:sdtPr>
    <w:sdtEndPr>
      <w:rPr>
        <w:rFonts w:ascii="Times New Roman" w:hAnsi="Times New Roman" w:cs="Times New Roman"/>
      </w:rPr>
    </w:sdtEndPr>
    <w:sdtContent>
      <w:p>
        <w:pPr>
          <w:pStyle w:val="1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8774293"/>
      <w:docPartObj>
        <w:docPartGallery w:val="AutoText"/>
      </w:docPartObj>
    </w:sdtPr>
    <w:sdtEndPr>
      <w:rPr>
        <w:rFonts w:ascii="Times New Roman" w:hAnsi="Times New Roman" w:cs="Times New Roman"/>
      </w:rPr>
    </w:sdtEndPr>
    <w:sdtContent>
      <w:p>
        <w:pPr>
          <w:pStyle w:val="14"/>
          <w:pBdr>
            <w:top w:val="single" w:color="auto" w:sz="4" w:space="1"/>
          </w:pBd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9682124"/>
      <w:docPartObj>
        <w:docPartGallery w:val="AutoText"/>
      </w:docPartObj>
    </w:sdtPr>
    <w:sdtEndPr>
      <w:rPr>
        <w:rFonts w:ascii="Times New Roman" w:hAnsi="Times New Roman" w:cs="Times New Roman"/>
      </w:rPr>
    </w:sdtEndPr>
    <w:sdtContent>
      <w:p>
        <w:pPr>
          <w:pStyle w:val="14"/>
          <w:pBdr>
            <w:top w:val="single" w:color="auto" w:sz="4" w:space="1"/>
          </w:pBd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w:t>
        </w:r>
        <w:r>
          <w:rPr>
            <w:rFonts w:ascii="Times New Roman" w:hAnsi="Times New Roman" w:cs="Times New Roman"/>
          </w:rPr>
          <w:t xml:space="preserve"> 7 -</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tabs>
        <w:tab w:val="center" w:pos="7001"/>
        <w:tab w:val="left" w:pos="9240"/>
      </w:tabs>
      <w:jc w:val="center"/>
      <w:rPr>
        <w:rFonts w:ascii="Times New Roman" w:hAnsi="Times New Roman" w:cs="Times New Roman"/>
        <w:sz w:val="21"/>
        <w:szCs w:val="21"/>
      </w:rPr>
    </w:pPr>
    <w:sdt>
      <w:sdtPr>
        <w:id w:val="669837980"/>
        <w:docPartObj>
          <w:docPartGallery w:val="AutoText"/>
        </w:docPartObj>
      </w:sdtPr>
      <w:sdtEndPr>
        <w:rPr>
          <w:rFonts w:ascii="Times New Roman" w:hAnsi="Times New Roman" w:cs="Times New Roman"/>
          <w:sz w:val="21"/>
          <w:szCs w:val="21"/>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17 -</w:t>
        </w:r>
        <w:r>
          <w:rPr>
            <w:rFonts w:ascii="Times New Roman" w:hAnsi="Times New Roman" w:cs="Times New Roman"/>
            <w:sz w:val="21"/>
            <w:szCs w:val="21"/>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tabs>
        <w:tab w:val="center" w:pos="7001"/>
        <w:tab w:val="left" w:pos="9240"/>
      </w:tabs>
      <w:jc w:val="center"/>
      <w:rPr>
        <w:rFonts w:ascii="Times New Roman" w:hAnsi="Times New Roman" w:cs="Times New Roman"/>
        <w:sz w:val="21"/>
        <w:szCs w:val="21"/>
      </w:rPr>
    </w:pPr>
    <w:sdt>
      <w:sdtPr>
        <w:id w:val="1848210621"/>
        <w:docPartObj>
          <w:docPartGallery w:val="AutoText"/>
        </w:docPartObj>
      </w:sdtPr>
      <w:sdtEndPr>
        <w:rPr>
          <w:rFonts w:ascii="Times New Roman" w:hAnsi="Times New Roman" w:cs="Times New Roman"/>
          <w:sz w:val="21"/>
          <w:szCs w:val="21"/>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39 -</w:t>
        </w:r>
        <w:r>
          <w:rPr>
            <w:rFonts w:ascii="Times New Roman" w:hAnsi="Times New Roman" w:cs="Times New Roman"/>
            <w:sz w:val="21"/>
            <w:szCs w:val="21"/>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tabs>
        <w:tab w:val="center" w:pos="7001"/>
        <w:tab w:val="left" w:pos="9240"/>
      </w:tabs>
      <w:jc w:val="center"/>
      <w:rPr>
        <w:rFonts w:ascii="Times New Roman" w:hAnsi="Times New Roman" w:cs="Times New Roman"/>
        <w:sz w:val="21"/>
        <w:szCs w:val="21"/>
      </w:rPr>
    </w:pPr>
    <w:sdt>
      <w:sdtPr>
        <w:id w:val="-1254435819"/>
        <w:docPartObj>
          <w:docPartGallery w:val="AutoText"/>
        </w:docPartObj>
      </w:sdtPr>
      <w:sdtEndPr>
        <w:rPr>
          <w:rFonts w:ascii="Times New Roman" w:hAnsi="Times New Roman" w:cs="Times New Roman"/>
          <w:sz w:val="21"/>
          <w:szCs w:val="21"/>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53 -</w:t>
        </w:r>
        <w:r>
          <w:rPr>
            <w:rFonts w:ascii="Times New Roman" w:hAnsi="Times New Roman" w:cs="Times New Roman"/>
            <w:sz w:val="21"/>
            <w:szCs w:val="21"/>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tabs>
        <w:tab w:val="center" w:pos="7001"/>
        <w:tab w:val="left" w:pos="9240"/>
      </w:tabs>
      <w:jc w:val="center"/>
      <w:rPr>
        <w:rFonts w:ascii="Times New Roman" w:hAnsi="Times New Roman" w:cs="Times New Roman"/>
        <w:sz w:val="21"/>
        <w:szCs w:val="21"/>
      </w:rPr>
    </w:pPr>
    <w:sdt>
      <w:sdtPr>
        <w:id w:val="836035414"/>
        <w:docPartObj>
          <w:docPartGallery w:val="AutoText"/>
        </w:docPartObj>
      </w:sdtPr>
      <w:sdtEndPr>
        <w:rPr>
          <w:rFonts w:ascii="Times New Roman" w:hAnsi="Times New Roman" w:cs="Times New Roman"/>
          <w:sz w:val="21"/>
          <w:szCs w:val="21"/>
        </w:rPr>
      </w:sdtEndPr>
      <w:sdtContent>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w:t>
        </w:r>
        <w:r>
          <w:rPr>
            <w:rFonts w:ascii="Times New Roman" w:hAnsi="Times New Roman" w:cs="Times New Roman"/>
            <w:sz w:val="21"/>
            <w:szCs w:val="21"/>
          </w:rPr>
          <w:t xml:space="preserve"> 127 -</w:t>
        </w:r>
        <w:r>
          <w:rPr>
            <w:rFonts w:ascii="Times New Roman" w:hAnsi="Times New Roman" w:cs="Times New Roman"/>
            <w:sz w:val="21"/>
            <w:szCs w:val="21"/>
          </w:rP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cs="Times New Roman"/>
      </w:rPr>
      <w:t xml:space="preserve">   </w:t>
    </w:r>
    <w:r>
      <w:rPr>
        <w:rFonts w:hint="eastAsia"/>
      </w:rPr>
      <w:t xml:space="preserve">                             工程</w:t>
    </w:r>
    <w:r>
      <w:t>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cs="Times New Roman"/>
      </w:rPr>
      <w:t xml:space="preserve">   </w:t>
    </w:r>
    <w:r>
      <w:rPr>
        <w:rFonts w:hint="eastAsia"/>
      </w:rPr>
      <w:t xml:space="preserve">                     </w:t>
    </w:r>
    <w:r>
      <w:t xml:space="preserve">                                                        </w:t>
    </w:r>
    <w:r>
      <w:rPr>
        <w:rFonts w:hint="eastAsia"/>
      </w:rPr>
      <w:t xml:space="preserve">        工程</w:t>
    </w:r>
    <w:r>
      <w:t>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cs="Times New Roman"/>
      </w:rPr>
      <w:t xml:space="preserve">   </w:t>
    </w:r>
    <w:r>
      <w:rPr>
        <w:rFonts w:hint="eastAsia"/>
      </w:rPr>
      <w:t xml:space="preserve">                             工程</w:t>
    </w:r>
    <w:r>
      <w:t>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 xml:space="preserve">      工程</w:t>
    </w:r>
    <w:r>
      <w:t>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疾病</w:t>
    </w:r>
    <w:r>
      <w:rPr>
        <w:rFonts w:cs="Times New Roman"/>
      </w:rPr>
      <w:t>预防控制中心项目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cs="Times New Roman"/>
      </w:rPr>
      <w:t xml:space="preserve">      </w:t>
    </w:r>
    <w:r>
      <w:rPr>
        <w:rFonts w:hint="eastAsia"/>
      </w:rPr>
      <w:t xml:space="preserve">                             工程</w:t>
    </w:r>
    <w:r>
      <w:t>分析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工程分析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w:t>
    </w:r>
    <w:r>
      <w:rPr>
        <w:rFonts w:cs="Times New Roman"/>
      </w:rPr>
      <w:t>三级中医医院项目</w:t>
    </w:r>
    <w:r>
      <w:rPr>
        <w:rFonts w:hint="eastAsia" w:cs="Times New Roman"/>
      </w:rPr>
      <w:t xml:space="preserve">                    </w:t>
    </w:r>
    <w:r>
      <w:rPr>
        <w:rFonts w:hint="eastAsia"/>
      </w:rPr>
      <w:t xml:space="preserve">   </w:t>
    </w:r>
    <w:r>
      <w:t xml:space="preserve">                                                                                    </w:t>
    </w:r>
    <w:r>
      <w:rPr>
        <w:rFonts w:hint="eastAsia"/>
      </w:rPr>
      <w:t>工程分析</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rPr>
      <w:t xml:space="preserve">  </w:t>
    </w:r>
    <w:r>
      <w:t xml:space="preserve">                          </w:t>
    </w:r>
    <w:r>
      <w:rPr>
        <w:rFonts w:hint="eastAsia"/>
      </w:rPr>
      <w:t>工程分析</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cs="Times New Roman"/>
      </w:rPr>
      <w:t xml:space="preserve">    </w:t>
    </w:r>
    <w:r>
      <w:rPr>
        <w:rFonts w:hint="eastAsia" w:cs="Times New Roman"/>
      </w:rPr>
      <w:t xml:space="preserve">          </w:t>
    </w:r>
    <w:r>
      <w:rPr>
        <w:rFonts w:hint="eastAsia"/>
      </w:rPr>
      <w:t xml:space="preserve">    </w:t>
    </w:r>
    <w:r>
      <w:t xml:space="preserve">                                                                                 </w:t>
    </w:r>
    <w:r>
      <w:rPr>
        <w:rFonts w:hint="eastAsia"/>
      </w:rPr>
      <w:t>工程分析</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工程分析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环境现状</w:t>
    </w:r>
    <w:r>
      <w:t>调查与评价</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环境现状</w:t>
    </w:r>
    <w:r>
      <w:t>调查与评价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firstLine="105"/>
      <w:jc w:val="left"/>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 xml:space="preserve">         </w:t>
    </w:r>
    <w:r>
      <w:t xml:space="preserve">        </w:t>
    </w:r>
    <w:r>
      <w:rPr>
        <w:rFonts w:hint="eastAsia"/>
      </w:rPr>
      <w:t>环境影响</w:t>
    </w:r>
    <w:r>
      <w:t>预测与评价</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8" w:space="1"/>
      </w:pBdr>
      <w:jc w:val="left"/>
    </w:pPr>
    <w:r>
      <w:rPr>
        <w:rFonts w:hint="eastAsia" w:ascii="Times New Roman" w:hAnsi="Times New Roman" w:eastAsia="宋体"/>
      </w:rPr>
      <w:t>环境</w:t>
    </w:r>
    <w:r>
      <w:rPr>
        <w:rFonts w:ascii="Times New Roman" w:hAnsi="Times New Roman" w:eastAsia="宋体"/>
      </w:rPr>
      <w:t>影响</w:t>
    </w:r>
    <w:r>
      <w:t>预测与评价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环境影响</w:t>
    </w:r>
    <w:r>
      <w:t>预测与评价</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环境影响</w:t>
    </w:r>
    <w:r>
      <w:t>预测与评价</w:t>
    </w:r>
    <w:r>
      <w:rPr>
        <w:rFonts w:hint="eastAsia"/>
      </w:rPr>
      <w:t xml:space="preserve">                   </w:t>
    </w:r>
    <w:r>
      <w:t xml:space="preserve">                                                                             </w:t>
    </w:r>
    <w:r>
      <w:rPr>
        <w:rFonts w:hint="eastAsia"/>
      </w:rP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疾病</w:t>
    </w:r>
    <w:r>
      <w:rPr>
        <w:rFonts w:cs="Times New Roman"/>
      </w:rPr>
      <w:t>预防控制中心项目</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环境影响</w:t>
    </w:r>
    <w:r>
      <w:t>预测与评价</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环境影响</w:t>
    </w:r>
    <w:r>
      <w:t>预测与评价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环境影响</w:t>
    </w:r>
    <w:r>
      <w:t>预测与评价</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环境影响</w:t>
    </w:r>
    <w:r>
      <w:t>预测与评价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环境影响</w:t>
    </w:r>
    <w:r>
      <w:t>预测与评价</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环境影响</w:t>
    </w:r>
    <w:r>
      <w:t>预测与评价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环境风险</w:t>
    </w:r>
    <w:r>
      <w:t>评价</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环境风险</w:t>
    </w:r>
    <w:r>
      <w:t>评价</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概述</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环境保护</w:t>
    </w:r>
    <w:r>
      <w:t>措施及其</w:t>
    </w:r>
    <w:r>
      <w:rPr>
        <w:rFonts w:hint="eastAsia"/>
      </w:rPr>
      <w:t>可行性</w:t>
    </w:r>
    <w:r>
      <w:t>论证</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环境保护</w:t>
    </w:r>
    <w:r>
      <w:t>措施及其</w:t>
    </w:r>
    <w:r>
      <w:rPr>
        <w:rFonts w:hint="eastAsia"/>
      </w:rPr>
      <w:t>可行性</w:t>
    </w:r>
    <w:r>
      <w:t>论证</w:t>
    </w:r>
    <w:r>
      <w:rPr>
        <w:rFonts w:hint="eastAsia"/>
      </w:rP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环境保护</w:t>
    </w:r>
    <w:r>
      <w:t>措施及其</w:t>
    </w:r>
    <w:r>
      <w:rPr>
        <w:rFonts w:hint="eastAsia"/>
      </w:rPr>
      <w:t>可行性</w:t>
    </w:r>
    <w:r>
      <w:t>论证</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环境保护</w:t>
    </w:r>
    <w:r>
      <w:t>措施及其</w:t>
    </w:r>
    <w:r>
      <w:rPr>
        <w:rFonts w:hint="eastAsia"/>
      </w:rPr>
      <w:t>可行性</w:t>
    </w:r>
    <w:r>
      <w:t>论证</w:t>
    </w:r>
    <w:r>
      <w:rPr>
        <w:rFonts w:hint="eastAsia"/>
      </w:rPr>
      <w:t xml:space="preserve">                       </w:t>
    </w:r>
    <w:r>
      <w:t xml:space="preserve">                                                  </w:t>
    </w:r>
    <w:r>
      <w:rPr>
        <w:rFonts w:hint="eastAsia"/>
      </w:rP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环境影响</w:t>
    </w:r>
    <w:r>
      <w:t>经济损益分析</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环境影响经济</w:t>
    </w:r>
    <w:r>
      <w:t>损益分析</w:t>
    </w:r>
    <w:r>
      <w:rPr>
        <w:rFonts w:hint="eastAsia"/>
      </w:rP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环境管理与监测计划</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w:t>
    </w:r>
    <w:r>
      <w:t>管理与监测计划</w:t>
    </w:r>
    <w:r>
      <w:rPr>
        <w:rFonts w:hint="eastAsia"/>
      </w:rPr>
      <w:t xml:space="preserve">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环境管理与</w:t>
    </w:r>
    <w:r>
      <w:t>监测计划</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w:t>
    </w:r>
    <w:r>
      <w:t>管理与监测计划</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jc w:val="both"/>
    </w:pPr>
    <w:r>
      <w:rPr>
        <w:rFonts w:ascii="Times New Roman" w:hAnsi="Times New Roman" w:cs="Times New Roman"/>
      </w:rPr>
      <w:t xml:space="preserve">概述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环境管理与</w:t>
    </w:r>
    <w:r>
      <w:t>监测计划</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w:t>
    </w:r>
    <w:r>
      <w:t>管理与监测计划</w:t>
    </w:r>
    <w:r>
      <w:rPr>
        <w:rFonts w:hint="eastAsia"/>
      </w:rPr>
      <w:t xml:space="preserve">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环境管理与</w:t>
    </w:r>
    <w:r>
      <w:t>监测计划</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环境</w:t>
    </w:r>
    <w:r>
      <w:t>管理与监测计划</w:t>
    </w:r>
    <w:r>
      <w:rPr>
        <w:rFonts w:hint="eastAsia"/>
      </w:rPr>
      <w:t xml:space="preserve">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疾病</w:t>
    </w:r>
    <w:r>
      <w:rPr>
        <w:rFonts w:cs="Times New Roman"/>
      </w:rPr>
      <w:t>预防控制中心项目</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结论和</w:t>
    </w:r>
    <w:r>
      <w:t>建议</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结论</w:t>
    </w:r>
    <w:r>
      <w:t>和建议</w:t>
    </w:r>
    <w:r>
      <w:rPr>
        <w:rFonts w:hint="eastAsia"/>
      </w:rPr>
      <w:t xml:space="preserve">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rPr>
        <w:rFonts w:hint="eastAsia"/>
      </w:rPr>
      <w:t xml:space="preserve">   </w:t>
    </w:r>
    <w:r>
      <w:t xml:space="preserve">                               </w:t>
    </w:r>
    <w:r>
      <w:rPr>
        <w:rFonts w:hint="eastAsia"/>
      </w:rPr>
      <w:t>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rPr>
      <w:t xml:space="preserve">总则     </w:t>
    </w:r>
    <w:r>
      <w:t xml:space="preserve">                      </w:t>
    </w:r>
    <w:r>
      <w:rPr>
        <w:rFonts w:hint="eastAsia"/>
      </w:rPr>
      <w:t xml:space="preserve">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spacing w:line="240" w:lineRule="auto"/>
      <w:jc w:val="both"/>
    </w:pP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 xml:space="preserve">综合性三级中医医院建设项目 </w:t>
    </w:r>
    <w:r>
      <w:t xml:space="preserve">                                           </w:t>
    </w:r>
    <w:r>
      <w:rPr>
        <w:rFonts w:hint="eastAsia"/>
      </w:rPr>
      <w:t>项目概况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0"/>
      </w:pBdr>
      <w:spacing w:line="240" w:lineRule="auto"/>
      <w:jc w:val="both"/>
    </w:pPr>
    <w:r>
      <w:rPr>
        <w:rFonts w:hint="eastAsia"/>
      </w:rPr>
      <w:t xml:space="preserve">项目概况    </w:t>
    </w:r>
    <w:r>
      <w:t xml:space="preserve">                                        </w:t>
    </w:r>
    <w:r>
      <w:rPr>
        <w:rFonts w:hint="eastAsia" w:cs="Times New Roman"/>
      </w:rPr>
      <w:t>恒口示范区</w:t>
    </w:r>
    <w:r>
      <w:rPr>
        <w:rFonts w:cs="Times New Roman"/>
      </w:rPr>
      <w:t>（</w:t>
    </w:r>
    <w:r>
      <w:rPr>
        <w:rFonts w:hint="eastAsia" w:cs="Times New Roman"/>
      </w:rPr>
      <w:t>试验区</w:t>
    </w:r>
    <w:r>
      <w:rPr>
        <w:rFonts w:cs="Times New Roman"/>
      </w:rPr>
      <w:t>）</w:t>
    </w:r>
    <w:r>
      <w:rPr>
        <w:rFonts w:hint="eastAsia" w:cs="Times New Roman"/>
      </w:rPr>
      <w:t>综合性三级中医医院建设项目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370E"/>
    <w:multiLevelType w:val="multilevel"/>
    <w:tmpl w:val="040B370E"/>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4B3079F"/>
    <w:multiLevelType w:val="multilevel"/>
    <w:tmpl w:val="04B3079F"/>
    <w:lvl w:ilvl="0" w:tentative="0">
      <w:start w:val="1"/>
      <w:numFmt w:val="decimal"/>
      <w:suff w:val="nothing"/>
      <w:lvlText w:val="%1"/>
      <w:lvlJc w:val="left"/>
      <w:pPr>
        <w:ind w:left="0" w:firstLine="0"/>
      </w:pPr>
      <w:rPr>
        <w:rFonts w:hint="default" w:ascii="Times New Roman" w:hAnsi="Times New Roman"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F573CAB"/>
    <w:multiLevelType w:val="multilevel"/>
    <w:tmpl w:val="0F573CA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2C7D6432"/>
    <w:multiLevelType w:val="multilevel"/>
    <w:tmpl w:val="2C7D6432"/>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D376389"/>
    <w:multiLevelType w:val="multilevel"/>
    <w:tmpl w:val="2D376389"/>
    <w:lvl w:ilvl="0" w:tentative="0">
      <w:start w:val="1"/>
      <w:numFmt w:val="decimal"/>
      <w:suff w:val="nothing"/>
      <w:lvlText w:val="%1"/>
      <w:lvlJc w:val="center"/>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DEB40AB"/>
    <w:multiLevelType w:val="multilevel"/>
    <w:tmpl w:val="2DEB40AB"/>
    <w:lvl w:ilvl="0" w:tentative="0">
      <w:start w:val="1"/>
      <w:numFmt w:val="decimal"/>
      <w:suff w:val="nothing"/>
      <w:lvlText w:val="（%1）"/>
      <w:lvlJc w:val="left"/>
      <w:pPr>
        <w:ind w:left="0" w:firstLine="48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4C42531A"/>
    <w:multiLevelType w:val="multilevel"/>
    <w:tmpl w:val="4C42531A"/>
    <w:lvl w:ilvl="0" w:tentative="0">
      <w:start w:val="1"/>
      <w:numFmt w:val="decimal"/>
      <w:suff w:val="nothing"/>
      <w:lvlText w:val="%1"/>
      <w:lvlJc w:val="center"/>
      <w:pPr>
        <w:ind w:left="0" w:firstLine="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E75609"/>
    <w:multiLevelType w:val="multilevel"/>
    <w:tmpl w:val="5CE75609"/>
    <w:lvl w:ilvl="0" w:tentative="0">
      <w:start w:val="1"/>
      <w:numFmt w:val="decimal"/>
      <w:suff w:val="nothing"/>
      <w:lvlText w:val="（%1）"/>
      <w:lvlJc w:val="left"/>
      <w:pPr>
        <w:ind w:left="0" w:firstLine="480"/>
      </w:pPr>
      <w:rPr>
        <w:rFonts w:hint="eastAsia"/>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6780592F"/>
    <w:multiLevelType w:val="multilevel"/>
    <w:tmpl w:val="6780592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8600771"/>
    <w:multiLevelType w:val="multilevel"/>
    <w:tmpl w:val="68600771"/>
    <w:lvl w:ilvl="0" w:tentative="0">
      <w:start w:val="1"/>
      <w:numFmt w:val="decimal"/>
      <w:pStyle w:val="2"/>
      <w:suff w:val="space"/>
      <w:lvlText w:val="%1"/>
      <w:lvlJc w:val="center"/>
      <w:pPr>
        <w:ind w:left="3544" w:firstLine="0"/>
      </w:pPr>
      <w:rPr>
        <w:rFonts w:hint="eastAsia"/>
      </w:rPr>
    </w:lvl>
    <w:lvl w:ilvl="1" w:tentative="0">
      <w:start w:val="1"/>
      <w:numFmt w:val="decimal"/>
      <w:pStyle w:val="3"/>
      <w:suff w:val="space"/>
      <w:lvlText w:val="%1.%2"/>
      <w:lvlJc w:val="left"/>
      <w:pPr>
        <w:ind w:left="2409" w:firstLine="0"/>
      </w:pPr>
      <w:rPr>
        <w:rFonts w:hint="eastAsia"/>
      </w:rPr>
    </w:lvl>
    <w:lvl w:ilvl="2" w:tentative="0">
      <w:start w:val="1"/>
      <w:numFmt w:val="decimal"/>
      <w:pStyle w:val="4"/>
      <w:suff w:val="space"/>
      <w:lvlText w:val="%1.%2.%3"/>
      <w:lvlJc w:val="left"/>
      <w:pPr>
        <w:ind w:left="709" w:firstLine="0"/>
      </w:pPr>
      <w:rPr>
        <w:rFonts w:hint="eastAsia"/>
      </w:rPr>
    </w:lvl>
    <w:lvl w:ilvl="3" w:tentative="0">
      <w:start w:val="1"/>
      <w:numFmt w:val="decimal"/>
      <w:pStyle w:val="5"/>
      <w:suff w:val="space"/>
      <w:lvlText w:val="%1.%2.%3.%4"/>
      <w:lvlJc w:val="left"/>
      <w:pPr>
        <w:ind w:left="3543" w:firstLine="0"/>
      </w:pPr>
      <w:rPr>
        <w:rFonts w:hint="eastAsia"/>
      </w:rPr>
    </w:lvl>
    <w:lvl w:ilvl="4" w:tentative="0">
      <w:start w:val="1"/>
      <w:numFmt w:val="decimal"/>
      <w:pStyle w:val="6"/>
      <w:suff w:val="space"/>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6B3D517F"/>
    <w:multiLevelType w:val="multilevel"/>
    <w:tmpl w:val="6B3D517F"/>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0"/>
  </w:num>
  <w:num w:numId="3">
    <w:abstractNumId w:val="5"/>
  </w:num>
  <w:num w:numId="4">
    <w:abstractNumId w:val="7"/>
  </w:num>
  <w:num w:numId="5">
    <w:abstractNumId w:val="2"/>
  </w:num>
  <w:num w:numId="6">
    <w:abstractNumId w:val="3"/>
  </w:num>
  <w:num w:numId="7">
    <w:abstractNumId w:val="8"/>
  </w:num>
  <w:num w:numId="8">
    <w:abstractNumId w:val="1"/>
  </w:num>
  <w:num w:numId="9">
    <w:abstractNumId w:val="6"/>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702"/>
    <w:rsid w:val="00000459"/>
    <w:rsid w:val="00000DB5"/>
    <w:rsid w:val="0000480F"/>
    <w:rsid w:val="00005C7B"/>
    <w:rsid w:val="00007855"/>
    <w:rsid w:val="00010C6E"/>
    <w:rsid w:val="0001119B"/>
    <w:rsid w:val="00013831"/>
    <w:rsid w:val="00013EF6"/>
    <w:rsid w:val="00016403"/>
    <w:rsid w:val="000177E5"/>
    <w:rsid w:val="00021483"/>
    <w:rsid w:val="00022180"/>
    <w:rsid w:val="0002291D"/>
    <w:rsid w:val="00023527"/>
    <w:rsid w:val="00025C1E"/>
    <w:rsid w:val="00027256"/>
    <w:rsid w:val="000301A5"/>
    <w:rsid w:val="000326C5"/>
    <w:rsid w:val="00032A26"/>
    <w:rsid w:val="00033806"/>
    <w:rsid w:val="000342D4"/>
    <w:rsid w:val="00035EEE"/>
    <w:rsid w:val="00037578"/>
    <w:rsid w:val="000375C9"/>
    <w:rsid w:val="000404AD"/>
    <w:rsid w:val="0004064E"/>
    <w:rsid w:val="00042499"/>
    <w:rsid w:val="00043CC4"/>
    <w:rsid w:val="00044CF2"/>
    <w:rsid w:val="00044E46"/>
    <w:rsid w:val="00047418"/>
    <w:rsid w:val="000477D2"/>
    <w:rsid w:val="0005087C"/>
    <w:rsid w:val="00050D1E"/>
    <w:rsid w:val="00052471"/>
    <w:rsid w:val="00053E05"/>
    <w:rsid w:val="000562A0"/>
    <w:rsid w:val="00056770"/>
    <w:rsid w:val="00056CCF"/>
    <w:rsid w:val="00056EDD"/>
    <w:rsid w:val="00057466"/>
    <w:rsid w:val="00060912"/>
    <w:rsid w:val="00065286"/>
    <w:rsid w:val="0006558F"/>
    <w:rsid w:val="00065E44"/>
    <w:rsid w:val="000665BF"/>
    <w:rsid w:val="00066B10"/>
    <w:rsid w:val="00066EAE"/>
    <w:rsid w:val="000673F7"/>
    <w:rsid w:val="00072470"/>
    <w:rsid w:val="00075365"/>
    <w:rsid w:val="000769E7"/>
    <w:rsid w:val="00077FF3"/>
    <w:rsid w:val="000852A0"/>
    <w:rsid w:val="00085991"/>
    <w:rsid w:val="0008681F"/>
    <w:rsid w:val="000869D5"/>
    <w:rsid w:val="000876F6"/>
    <w:rsid w:val="000878A9"/>
    <w:rsid w:val="00087D29"/>
    <w:rsid w:val="000913BA"/>
    <w:rsid w:val="000918BD"/>
    <w:rsid w:val="00092AA7"/>
    <w:rsid w:val="00093029"/>
    <w:rsid w:val="0009484C"/>
    <w:rsid w:val="000969C1"/>
    <w:rsid w:val="00096B77"/>
    <w:rsid w:val="00097E8E"/>
    <w:rsid w:val="000A02CE"/>
    <w:rsid w:val="000A1565"/>
    <w:rsid w:val="000A17C3"/>
    <w:rsid w:val="000A4FD1"/>
    <w:rsid w:val="000A5FB0"/>
    <w:rsid w:val="000A62F1"/>
    <w:rsid w:val="000A6969"/>
    <w:rsid w:val="000A7C56"/>
    <w:rsid w:val="000B280F"/>
    <w:rsid w:val="000B59C7"/>
    <w:rsid w:val="000B6334"/>
    <w:rsid w:val="000C03E5"/>
    <w:rsid w:val="000C4041"/>
    <w:rsid w:val="000C5626"/>
    <w:rsid w:val="000C56A0"/>
    <w:rsid w:val="000C5A93"/>
    <w:rsid w:val="000C6A2E"/>
    <w:rsid w:val="000D0C15"/>
    <w:rsid w:val="000D187F"/>
    <w:rsid w:val="000D3E80"/>
    <w:rsid w:val="000D4345"/>
    <w:rsid w:val="000D5326"/>
    <w:rsid w:val="000D624F"/>
    <w:rsid w:val="000D6EC0"/>
    <w:rsid w:val="000D7AB2"/>
    <w:rsid w:val="000D7D9E"/>
    <w:rsid w:val="000E2DB3"/>
    <w:rsid w:val="000E4416"/>
    <w:rsid w:val="000E6AF7"/>
    <w:rsid w:val="000E6CFA"/>
    <w:rsid w:val="000F076E"/>
    <w:rsid w:val="000F17BE"/>
    <w:rsid w:val="000F2202"/>
    <w:rsid w:val="000F30D5"/>
    <w:rsid w:val="000F312E"/>
    <w:rsid w:val="000F3C57"/>
    <w:rsid w:val="000F3EB4"/>
    <w:rsid w:val="000F41F0"/>
    <w:rsid w:val="000F4E22"/>
    <w:rsid w:val="000F500A"/>
    <w:rsid w:val="000F680C"/>
    <w:rsid w:val="0010165D"/>
    <w:rsid w:val="00102173"/>
    <w:rsid w:val="00103767"/>
    <w:rsid w:val="0010553F"/>
    <w:rsid w:val="00107303"/>
    <w:rsid w:val="001105B4"/>
    <w:rsid w:val="0011073E"/>
    <w:rsid w:val="0011130C"/>
    <w:rsid w:val="00113352"/>
    <w:rsid w:val="00114188"/>
    <w:rsid w:val="0011463E"/>
    <w:rsid w:val="001151B1"/>
    <w:rsid w:val="001155D7"/>
    <w:rsid w:val="001155D8"/>
    <w:rsid w:val="001178BA"/>
    <w:rsid w:val="00117BE8"/>
    <w:rsid w:val="0012121B"/>
    <w:rsid w:val="0012309C"/>
    <w:rsid w:val="0012380B"/>
    <w:rsid w:val="00124141"/>
    <w:rsid w:val="001251B3"/>
    <w:rsid w:val="001264DB"/>
    <w:rsid w:val="0012677B"/>
    <w:rsid w:val="00127024"/>
    <w:rsid w:val="00134E9D"/>
    <w:rsid w:val="00140A5B"/>
    <w:rsid w:val="00140F79"/>
    <w:rsid w:val="001441E3"/>
    <w:rsid w:val="00145544"/>
    <w:rsid w:val="001459F5"/>
    <w:rsid w:val="00147CE9"/>
    <w:rsid w:val="00150962"/>
    <w:rsid w:val="00151048"/>
    <w:rsid w:val="00154B3B"/>
    <w:rsid w:val="001571DC"/>
    <w:rsid w:val="00161344"/>
    <w:rsid w:val="00162233"/>
    <w:rsid w:val="00162537"/>
    <w:rsid w:val="00163303"/>
    <w:rsid w:val="0016474D"/>
    <w:rsid w:val="001654A5"/>
    <w:rsid w:val="00165A05"/>
    <w:rsid w:val="00165FCE"/>
    <w:rsid w:val="0016640E"/>
    <w:rsid w:val="001714A5"/>
    <w:rsid w:val="00172568"/>
    <w:rsid w:val="0017375B"/>
    <w:rsid w:val="0017483E"/>
    <w:rsid w:val="00175C12"/>
    <w:rsid w:val="00177FDB"/>
    <w:rsid w:val="001836E0"/>
    <w:rsid w:val="0018383E"/>
    <w:rsid w:val="00183C36"/>
    <w:rsid w:val="00184CB4"/>
    <w:rsid w:val="00184D25"/>
    <w:rsid w:val="00184E92"/>
    <w:rsid w:val="001855D4"/>
    <w:rsid w:val="001856E1"/>
    <w:rsid w:val="00186D31"/>
    <w:rsid w:val="001877E7"/>
    <w:rsid w:val="00190C32"/>
    <w:rsid w:val="00192DA7"/>
    <w:rsid w:val="0019368E"/>
    <w:rsid w:val="00193DE0"/>
    <w:rsid w:val="001948F8"/>
    <w:rsid w:val="00196FE7"/>
    <w:rsid w:val="00197697"/>
    <w:rsid w:val="001A03FB"/>
    <w:rsid w:val="001A1EA1"/>
    <w:rsid w:val="001A22EA"/>
    <w:rsid w:val="001A2DCA"/>
    <w:rsid w:val="001A345F"/>
    <w:rsid w:val="001A3E38"/>
    <w:rsid w:val="001A3FBC"/>
    <w:rsid w:val="001A48D1"/>
    <w:rsid w:val="001A5B98"/>
    <w:rsid w:val="001A6CC5"/>
    <w:rsid w:val="001B2EE2"/>
    <w:rsid w:val="001B3431"/>
    <w:rsid w:val="001C12E0"/>
    <w:rsid w:val="001C13ED"/>
    <w:rsid w:val="001C1E72"/>
    <w:rsid w:val="001C2C59"/>
    <w:rsid w:val="001C359C"/>
    <w:rsid w:val="001C4A30"/>
    <w:rsid w:val="001C64C5"/>
    <w:rsid w:val="001C7EA1"/>
    <w:rsid w:val="001D1822"/>
    <w:rsid w:val="001D2C02"/>
    <w:rsid w:val="001D38D0"/>
    <w:rsid w:val="001D4A57"/>
    <w:rsid w:val="001D5364"/>
    <w:rsid w:val="001D5470"/>
    <w:rsid w:val="001D57B2"/>
    <w:rsid w:val="001D57C3"/>
    <w:rsid w:val="001E2494"/>
    <w:rsid w:val="001E38D5"/>
    <w:rsid w:val="001E40E6"/>
    <w:rsid w:val="001F1781"/>
    <w:rsid w:val="001F3C55"/>
    <w:rsid w:val="001F3CA0"/>
    <w:rsid w:val="001F3F15"/>
    <w:rsid w:val="001F5E5A"/>
    <w:rsid w:val="001F5EBE"/>
    <w:rsid w:val="001F6A87"/>
    <w:rsid w:val="00200FCF"/>
    <w:rsid w:val="00201707"/>
    <w:rsid w:val="00201E33"/>
    <w:rsid w:val="00202445"/>
    <w:rsid w:val="00202A3A"/>
    <w:rsid w:val="002038E7"/>
    <w:rsid w:val="00203DC3"/>
    <w:rsid w:val="00204401"/>
    <w:rsid w:val="00206FFE"/>
    <w:rsid w:val="00210196"/>
    <w:rsid w:val="0021225D"/>
    <w:rsid w:val="002122AF"/>
    <w:rsid w:val="0021376E"/>
    <w:rsid w:val="002138C7"/>
    <w:rsid w:val="00221DBD"/>
    <w:rsid w:val="00223B1A"/>
    <w:rsid w:val="002248CB"/>
    <w:rsid w:val="00225C10"/>
    <w:rsid w:val="00225FC6"/>
    <w:rsid w:val="00227645"/>
    <w:rsid w:val="00227DE1"/>
    <w:rsid w:val="00227F98"/>
    <w:rsid w:val="00231DB8"/>
    <w:rsid w:val="002322C8"/>
    <w:rsid w:val="002329A8"/>
    <w:rsid w:val="002336F7"/>
    <w:rsid w:val="002341A7"/>
    <w:rsid w:val="0023533D"/>
    <w:rsid w:val="0023654D"/>
    <w:rsid w:val="00236EAD"/>
    <w:rsid w:val="00237BBD"/>
    <w:rsid w:val="00237F34"/>
    <w:rsid w:val="00241B42"/>
    <w:rsid w:val="00242ADB"/>
    <w:rsid w:val="00245170"/>
    <w:rsid w:val="002459DC"/>
    <w:rsid w:val="0024710B"/>
    <w:rsid w:val="002501FC"/>
    <w:rsid w:val="00250291"/>
    <w:rsid w:val="00250AB5"/>
    <w:rsid w:val="002515B2"/>
    <w:rsid w:val="00252BA2"/>
    <w:rsid w:val="002567A8"/>
    <w:rsid w:val="00256C4B"/>
    <w:rsid w:val="00257ACA"/>
    <w:rsid w:val="00257EB5"/>
    <w:rsid w:val="0026039E"/>
    <w:rsid w:val="002619A5"/>
    <w:rsid w:val="00266ECA"/>
    <w:rsid w:val="0027084A"/>
    <w:rsid w:val="00271193"/>
    <w:rsid w:val="00271B57"/>
    <w:rsid w:val="00272FFC"/>
    <w:rsid w:val="0027559A"/>
    <w:rsid w:val="00275764"/>
    <w:rsid w:val="00276EFD"/>
    <w:rsid w:val="002810FE"/>
    <w:rsid w:val="00281E1F"/>
    <w:rsid w:val="002854FF"/>
    <w:rsid w:val="0029031F"/>
    <w:rsid w:val="0029032D"/>
    <w:rsid w:val="00290B5F"/>
    <w:rsid w:val="00290B6B"/>
    <w:rsid w:val="002925D6"/>
    <w:rsid w:val="00293FA7"/>
    <w:rsid w:val="00294218"/>
    <w:rsid w:val="00294D93"/>
    <w:rsid w:val="00294EDF"/>
    <w:rsid w:val="00295A0C"/>
    <w:rsid w:val="00295BC5"/>
    <w:rsid w:val="00296E1E"/>
    <w:rsid w:val="002A3B25"/>
    <w:rsid w:val="002A3F53"/>
    <w:rsid w:val="002A4347"/>
    <w:rsid w:val="002A54A5"/>
    <w:rsid w:val="002A61B5"/>
    <w:rsid w:val="002A795A"/>
    <w:rsid w:val="002A7D11"/>
    <w:rsid w:val="002B2E1E"/>
    <w:rsid w:val="002B407A"/>
    <w:rsid w:val="002B505A"/>
    <w:rsid w:val="002B6E3A"/>
    <w:rsid w:val="002C0FFD"/>
    <w:rsid w:val="002C2F90"/>
    <w:rsid w:val="002C4C45"/>
    <w:rsid w:val="002C4D53"/>
    <w:rsid w:val="002C5F41"/>
    <w:rsid w:val="002D02EF"/>
    <w:rsid w:val="002D0EC0"/>
    <w:rsid w:val="002D126D"/>
    <w:rsid w:val="002D316B"/>
    <w:rsid w:val="002D357A"/>
    <w:rsid w:val="002D4965"/>
    <w:rsid w:val="002D64D9"/>
    <w:rsid w:val="002D682D"/>
    <w:rsid w:val="002D7716"/>
    <w:rsid w:val="002E0E04"/>
    <w:rsid w:val="002E397B"/>
    <w:rsid w:val="002E3C36"/>
    <w:rsid w:val="002E557A"/>
    <w:rsid w:val="002E5C6D"/>
    <w:rsid w:val="002E5D3A"/>
    <w:rsid w:val="002E6CCD"/>
    <w:rsid w:val="002E7E1C"/>
    <w:rsid w:val="002F046C"/>
    <w:rsid w:val="002F1995"/>
    <w:rsid w:val="002F1EBD"/>
    <w:rsid w:val="002F2AA3"/>
    <w:rsid w:val="002F390A"/>
    <w:rsid w:val="002F59E7"/>
    <w:rsid w:val="00300D02"/>
    <w:rsid w:val="00301C59"/>
    <w:rsid w:val="00304A14"/>
    <w:rsid w:val="0030692F"/>
    <w:rsid w:val="00310228"/>
    <w:rsid w:val="00311B9C"/>
    <w:rsid w:val="00311F83"/>
    <w:rsid w:val="003155E4"/>
    <w:rsid w:val="003169B3"/>
    <w:rsid w:val="00316B53"/>
    <w:rsid w:val="00320684"/>
    <w:rsid w:val="003233D3"/>
    <w:rsid w:val="00323404"/>
    <w:rsid w:val="003235A2"/>
    <w:rsid w:val="003256A1"/>
    <w:rsid w:val="0033093F"/>
    <w:rsid w:val="003313A0"/>
    <w:rsid w:val="00332D6B"/>
    <w:rsid w:val="00334114"/>
    <w:rsid w:val="003353B0"/>
    <w:rsid w:val="003358C0"/>
    <w:rsid w:val="00340041"/>
    <w:rsid w:val="00340851"/>
    <w:rsid w:val="0034238E"/>
    <w:rsid w:val="00342B5D"/>
    <w:rsid w:val="00342D53"/>
    <w:rsid w:val="00345A81"/>
    <w:rsid w:val="003466F0"/>
    <w:rsid w:val="003471CE"/>
    <w:rsid w:val="003506F7"/>
    <w:rsid w:val="00350B89"/>
    <w:rsid w:val="003527BE"/>
    <w:rsid w:val="00354B81"/>
    <w:rsid w:val="00355996"/>
    <w:rsid w:val="00356894"/>
    <w:rsid w:val="00356A25"/>
    <w:rsid w:val="00357D1C"/>
    <w:rsid w:val="003602BD"/>
    <w:rsid w:val="0036274A"/>
    <w:rsid w:val="00370D22"/>
    <w:rsid w:val="00372D0D"/>
    <w:rsid w:val="003746BD"/>
    <w:rsid w:val="00374AFA"/>
    <w:rsid w:val="00374DB5"/>
    <w:rsid w:val="00375095"/>
    <w:rsid w:val="00376AF0"/>
    <w:rsid w:val="00377E03"/>
    <w:rsid w:val="003871FE"/>
    <w:rsid w:val="003876CE"/>
    <w:rsid w:val="00394759"/>
    <w:rsid w:val="0039628A"/>
    <w:rsid w:val="003966B2"/>
    <w:rsid w:val="003A3CFD"/>
    <w:rsid w:val="003A45D4"/>
    <w:rsid w:val="003A5E7E"/>
    <w:rsid w:val="003A6360"/>
    <w:rsid w:val="003A724D"/>
    <w:rsid w:val="003A7958"/>
    <w:rsid w:val="003B02A8"/>
    <w:rsid w:val="003B2C7E"/>
    <w:rsid w:val="003B4E09"/>
    <w:rsid w:val="003B63DD"/>
    <w:rsid w:val="003B7037"/>
    <w:rsid w:val="003C049D"/>
    <w:rsid w:val="003C11EF"/>
    <w:rsid w:val="003C12B9"/>
    <w:rsid w:val="003C1F5A"/>
    <w:rsid w:val="003C224D"/>
    <w:rsid w:val="003C311E"/>
    <w:rsid w:val="003C3E90"/>
    <w:rsid w:val="003C5E3B"/>
    <w:rsid w:val="003D550B"/>
    <w:rsid w:val="003D5F95"/>
    <w:rsid w:val="003D7010"/>
    <w:rsid w:val="003D703A"/>
    <w:rsid w:val="003D7352"/>
    <w:rsid w:val="003E0D13"/>
    <w:rsid w:val="003E1765"/>
    <w:rsid w:val="003E3476"/>
    <w:rsid w:val="003E365C"/>
    <w:rsid w:val="003E3C59"/>
    <w:rsid w:val="003E4D56"/>
    <w:rsid w:val="003E54CA"/>
    <w:rsid w:val="003E7455"/>
    <w:rsid w:val="003F0379"/>
    <w:rsid w:val="003F1614"/>
    <w:rsid w:val="003F2147"/>
    <w:rsid w:val="003F383E"/>
    <w:rsid w:val="003F3ED9"/>
    <w:rsid w:val="003F56BF"/>
    <w:rsid w:val="003F5E93"/>
    <w:rsid w:val="003F64E9"/>
    <w:rsid w:val="003F750E"/>
    <w:rsid w:val="003F7EDE"/>
    <w:rsid w:val="00400F83"/>
    <w:rsid w:val="0040389D"/>
    <w:rsid w:val="00403BAB"/>
    <w:rsid w:val="00405955"/>
    <w:rsid w:val="00405FD2"/>
    <w:rsid w:val="00406482"/>
    <w:rsid w:val="00406D03"/>
    <w:rsid w:val="00406D30"/>
    <w:rsid w:val="004073DF"/>
    <w:rsid w:val="0041352F"/>
    <w:rsid w:val="004146B9"/>
    <w:rsid w:val="00414964"/>
    <w:rsid w:val="0041499F"/>
    <w:rsid w:val="00417041"/>
    <w:rsid w:val="004179F9"/>
    <w:rsid w:val="00420060"/>
    <w:rsid w:val="004200FE"/>
    <w:rsid w:val="0042124B"/>
    <w:rsid w:val="004215B4"/>
    <w:rsid w:val="00421632"/>
    <w:rsid w:val="00421823"/>
    <w:rsid w:val="00421D05"/>
    <w:rsid w:val="00422CB6"/>
    <w:rsid w:val="0042599A"/>
    <w:rsid w:val="004259B2"/>
    <w:rsid w:val="0042664C"/>
    <w:rsid w:val="00426EC8"/>
    <w:rsid w:val="00431404"/>
    <w:rsid w:val="00432920"/>
    <w:rsid w:val="00433B23"/>
    <w:rsid w:val="0043649B"/>
    <w:rsid w:val="00441632"/>
    <w:rsid w:val="004422D0"/>
    <w:rsid w:val="00442B9E"/>
    <w:rsid w:val="00443FD5"/>
    <w:rsid w:val="004519B0"/>
    <w:rsid w:val="00451A8A"/>
    <w:rsid w:val="00452200"/>
    <w:rsid w:val="0045292C"/>
    <w:rsid w:val="004560D2"/>
    <w:rsid w:val="004566E3"/>
    <w:rsid w:val="00460C6A"/>
    <w:rsid w:val="00462A4F"/>
    <w:rsid w:val="004712C6"/>
    <w:rsid w:val="00472D9C"/>
    <w:rsid w:val="0047356F"/>
    <w:rsid w:val="00473B73"/>
    <w:rsid w:val="00474130"/>
    <w:rsid w:val="0047454D"/>
    <w:rsid w:val="00474C22"/>
    <w:rsid w:val="004770F8"/>
    <w:rsid w:val="004807B8"/>
    <w:rsid w:val="0048219C"/>
    <w:rsid w:val="0048253C"/>
    <w:rsid w:val="0048458B"/>
    <w:rsid w:val="00484D96"/>
    <w:rsid w:val="00484E8E"/>
    <w:rsid w:val="00484FF0"/>
    <w:rsid w:val="00487F44"/>
    <w:rsid w:val="00490AA0"/>
    <w:rsid w:val="0049170E"/>
    <w:rsid w:val="004929BA"/>
    <w:rsid w:val="00492E88"/>
    <w:rsid w:val="00493673"/>
    <w:rsid w:val="00493E71"/>
    <w:rsid w:val="004949BB"/>
    <w:rsid w:val="004951B6"/>
    <w:rsid w:val="0049692A"/>
    <w:rsid w:val="004A2409"/>
    <w:rsid w:val="004A2599"/>
    <w:rsid w:val="004A4DA5"/>
    <w:rsid w:val="004A5D0A"/>
    <w:rsid w:val="004A7E96"/>
    <w:rsid w:val="004B04AA"/>
    <w:rsid w:val="004B2B93"/>
    <w:rsid w:val="004B4931"/>
    <w:rsid w:val="004B7CED"/>
    <w:rsid w:val="004C2B97"/>
    <w:rsid w:val="004C48E6"/>
    <w:rsid w:val="004C51C8"/>
    <w:rsid w:val="004C597B"/>
    <w:rsid w:val="004D05EA"/>
    <w:rsid w:val="004D1DAF"/>
    <w:rsid w:val="004D220E"/>
    <w:rsid w:val="004D28B4"/>
    <w:rsid w:val="004D2BE2"/>
    <w:rsid w:val="004D32B0"/>
    <w:rsid w:val="004D4F93"/>
    <w:rsid w:val="004D53E9"/>
    <w:rsid w:val="004D5C46"/>
    <w:rsid w:val="004E418A"/>
    <w:rsid w:val="004E549B"/>
    <w:rsid w:val="004E5C60"/>
    <w:rsid w:val="004E7B4D"/>
    <w:rsid w:val="004F0884"/>
    <w:rsid w:val="004F0FE0"/>
    <w:rsid w:val="004F3633"/>
    <w:rsid w:val="004F3F8F"/>
    <w:rsid w:val="004F537A"/>
    <w:rsid w:val="0050074C"/>
    <w:rsid w:val="00502356"/>
    <w:rsid w:val="005057E3"/>
    <w:rsid w:val="00505B1E"/>
    <w:rsid w:val="005067B0"/>
    <w:rsid w:val="00511E50"/>
    <w:rsid w:val="00512ECF"/>
    <w:rsid w:val="005163DB"/>
    <w:rsid w:val="00517438"/>
    <w:rsid w:val="005200A3"/>
    <w:rsid w:val="005216FC"/>
    <w:rsid w:val="00522045"/>
    <w:rsid w:val="00525C1F"/>
    <w:rsid w:val="00526DA2"/>
    <w:rsid w:val="00527F12"/>
    <w:rsid w:val="005303F8"/>
    <w:rsid w:val="00532832"/>
    <w:rsid w:val="00533AF8"/>
    <w:rsid w:val="00535B25"/>
    <w:rsid w:val="005361B9"/>
    <w:rsid w:val="00537E6E"/>
    <w:rsid w:val="005407E1"/>
    <w:rsid w:val="00540B26"/>
    <w:rsid w:val="00541E91"/>
    <w:rsid w:val="005429CC"/>
    <w:rsid w:val="005445E6"/>
    <w:rsid w:val="0054520C"/>
    <w:rsid w:val="00545630"/>
    <w:rsid w:val="00546490"/>
    <w:rsid w:val="00546582"/>
    <w:rsid w:val="00546D78"/>
    <w:rsid w:val="00553B29"/>
    <w:rsid w:val="00557AD0"/>
    <w:rsid w:val="005601B0"/>
    <w:rsid w:val="0056415C"/>
    <w:rsid w:val="0056441F"/>
    <w:rsid w:val="005709D4"/>
    <w:rsid w:val="00570A48"/>
    <w:rsid w:val="005722DF"/>
    <w:rsid w:val="00573C72"/>
    <w:rsid w:val="0057549C"/>
    <w:rsid w:val="00576A4C"/>
    <w:rsid w:val="00577773"/>
    <w:rsid w:val="00584ED9"/>
    <w:rsid w:val="005921C9"/>
    <w:rsid w:val="00594BA9"/>
    <w:rsid w:val="00595F3C"/>
    <w:rsid w:val="005A28D8"/>
    <w:rsid w:val="005A6104"/>
    <w:rsid w:val="005A62A9"/>
    <w:rsid w:val="005B0A41"/>
    <w:rsid w:val="005B4C29"/>
    <w:rsid w:val="005B5062"/>
    <w:rsid w:val="005B7CB7"/>
    <w:rsid w:val="005C171C"/>
    <w:rsid w:val="005C18D8"/>
    <w:rsid w:val="005C223C"/>
    <w:rsid w:val="005C24C1"/>
    <w:rsid w:val="005C261B"/>
    <w:rsid w:val="005C3C2B"/>
    <w:rsid w:val="005C6009"/>
    <w:rsid w:val="005C6360"/>
    <w:rsid w:val="005C6CD3"/>
    <w:rsid w:val="005D1B89"/>
    <w:rsid w:val="005D5358"/>
    <w:rsid w:val="005D5C63"/>
    <w:rsid w:val="005D61D1"/>
    <w:rsid w:val="005D689E"/>
    <w:rsid w:val="005D712B"/>
    <w:rsid w:val="005E0908"/>
    <w:rsid w:val="005E16BD"/>
    <w:rsid w:val="005E1E0B"/>
    <w:rsid w:val="005F031D"/>
    <w:rsid w:val="005F3BA1"/>
    <w:rsid w:val="005F4451"/>
    <w:rsid w:val="005F46B4"/>
    <w:rsid w:val="005F7031"/>
    <w:rsid w:val="005F70A2"/>
    <w:rsid w:val="006001BB"/>
    <w:rsid w:val="006008D4"/>
    <w:rsid w:val="006013B7"/>
    <w:rsid w:val="00601EDC"/>
    <w:rsid w:val="0060330C"/>
    <w:rsid w:val="006034F2"/>
    <w:rsid w:val="00604A6B"/>
    <w:rsid w:val="00606C8F"/>
    <w:rsid w:val="00610B23"/>
    <w:rsid w:val="006123BB"/>
    <w:rsid w:val="00613583"/>
    <w:rsid w:val="006212D7"/>
    <w:rsid w:val="00621898"/>
    <w:rsid w:val="0062203A"/>
    <w:rsid w:val="006235CD"/>
    <w:rsid w:val="00623983"/>
    <w:rsid w:val="0062406A"/>
    <w:rsid w:val="00625C72"/>
    <w:rsid w:val="00630A51"/>
    <w:rsid w:val="0063175D"/>
    <w:rsid w:val="006325F0"/>
    <w:rsid w:val="006327DB"/>
    <w:rsid w:val="00632C80"/>
    <w:rsid w:val="00632DBA"/>
    <w:rsid w:val="00633FFC"/>
    <w:rsid w:val="006362C8"/>
    <w:rsid w:val="00636B66"/>
    <w:rsid w:val="00637945"/>
    <w:rsid w:val="00637A80"/>
    <w:rsid w:val="00642159"/>
    <w:rsid w:val="00642570"/>
    <w:rsid w:val="0064506A"/>
    <w:rsid w:val="00645F22"/>
    <w:rsid w:val="006468C0"/>
    <w:rsid w:val="00647176"/>
    <w:rsid w:val="006504C4"/>
    <w:rsid w:val="0065136D"/>
    <w:rsid w:val="0065191D"/>
    <w:rsid w:val="00653020"/>
    <w:rsid w:val="006534A4"/>
    <w:rsid w:val="00653C98"/>
    <w:rsid w:val="00653E12"/>
    <w:rsid w:val="00653E2C"/>
    <w:rsid w:val="00655DF2"/>
    <w:rsid w:val="00656D06"/>
    <w:rsid w:val="00657205"/>
    <w:rsid w:val="00661B13"/>
    <w:rsid w:val="0066232B"/>
    <w:rsid w:val="006642A3"/>
    <w:rsid w:val="0066481C"/>
    <w:rsid w:val="00665256"/>
    <w:rsid w:val="00665C25"/>
    <w:rsid w:val="00666B99"/>
    <w:rsid w:val="00666F22"/>
    <w:rsid w:val="0066709D"/>
    <w:rsid w:val="0066744C"/>
    <w:rsid w:val="00667723"/>
    <w:rsid w:val="006702B7"/>
    <w:rsid w:val="006720B2"/>
    <w:rsid w:val="00672AF0"/>
    <w:rsid w:val="00673B23"/>
    <w:rsid w:val="006759E8"/>
    <w:rsid w:val="0068034B"/>
    <w:rsid w:val="00680E9F"/>
    <w:rsid w:val="00681701"/>
    <w:rsid w:val="00681BC8"/>
    <w:rsid w:val="0068261D"/>
    <w:rsid w:val="00684C12"/>
    <w:rsid w:val="00684CA2"/>
    <w:rsid w:val="006851DC"/>
    <w:rsid w:val="0068552D"/>
    <w:rsid w:val="00686C4C"/>
    <w:rsid w:val="00687618"/>
    <w:rsid w:val="00690B0E"/>
    <w:rsid w:val="00691354"/>
    <w:rsid w:val="00691984"/>
    <w:rsid w:val="006929B7"/>
    <w:rsid w:val="00692B41"/>
    <w:rsid w:val="00693486"/>
    <w:rsid w:val="006977C2"/>
    <w:rsid w:val="006978EA"/>
    <w:rsid w:val="0069798B"/>
    <w:rsid w:val="006A1F90"/>
    <w:rsid w:val="006A29C4"/>
    <w:rsid w:val="006A53D6"/>
    <w:rsid w:val="006A63E2"/>
    <w:rsid w:val="006A67A3"/>
    <w:rsid w:val="006A6BF5"/>
    <w:rsid w:val="006A7799"/>
    <w:rsid w:val="006A77B5"/>
    <w:rsid w:val="006B185B"/>
    <w:rsid w:val="006B446C"/>
    <w:rsid w:val="006B44A7"/>
    <w:rsid w:val="006B549A"/>
    <w:rsid w:val="006B57F2"/>
    <w:rsid w:val="006B6998"/>
    <w:rsid w:val="006B6A63"/>
    <w:rsid w:val="006C0439"/>
    <w:rsid w:val="006C1D68"/>
    <w:rsid w:val="006C201A"/>
    <w:rsid w:val="006C25E6"/>
    <w:rsid w:val="006C27C6"/>
    <w:rsid w:val="006C477C"/>
    <w:rsid w:val="006C48B7"/>
    <w:rsid w:val="006C6059"/>
    <w:rsid w:val="006C67BD"/>
    <w:rsid w:val="006C7194"/>
    <w:rsid w:val="006D026B"/>
    <w:rsid w:val="006D2D38"/>
    <w:rsid w:val="006D31C6"/>
    <w:rsid w:val="006D326C"/>
    <w:rsid w:val="006D357E"/>
    <w:rsid w:val="006D7DE8"/>
    <w:rsid w:val="006E0818"/>
    <w:rsid w:val="006E13E8"/>
    <w:rsid w:val="006E234C"/>
    <w:rsid w:val="006E4368"/>
    <w:rsid w:val="006E638C"/>
    <w:rsid w:val="006F1BE3"/>
    <w:rsid w:val="006F276F"/>
    <w:rsid w:val="006F281E"/>
    <w:rsid w:val="006F2A3E"/>
    <w:rsid w:val="006F3168"/>
    <w:rsid w:val="006F3DDC"/>
    <w:rsid w:val="006F4064"/>
    <w:rsid w:val="006F477C"/>
    <w:rsid w:val="006F648C"/>
    <w:rsid w:val="006F6FA8"/>
    <w:rsid w:val="006F752D"/>
    <w:rsid w:val="00700702"/>
    <w:rsid w:val="007018D1"/>
    <w:rsid w:val="00705470"/>
    <w:rsid w:val="007057DD"/>
    <w:rsid w:val="00707144"/>
    <w:rsid w:val="00707275"/>
    <w:rsid w:val="0070743C"/>
    <w:rsid w:val="00707899"/>
    <w:rsid w:val="00710774"/>
    <w:rsid w:val="00711B99"/>
    <w:rsid w:val="00713C1C"/>
    <w:rsid w:val="007153E2"/>
    <w:rsid w:val="00716587"/>
    <w:rsid w:val="00717415"/>
    <w:rsid w:val="00717720"/>
    <w:rsid w:val="00717B49"/>
    <w:rsid w:val="00717D7C"/>
    <w:rsid w:val="00720274"/>
    <w:rsid w:val="00720414"/>
    <w:rsid w:val="00721728"/>
    <w:rsid w:val="00721C0F"/>
    <w:rsid w:val="00723570"/>
    <w:rsid w:val="00723AE4"/>
    <w:rsid w:val="007258C8"/>
    <w:rsid w:val="00725D8E"/>
    <w:rsid w:val="00725FD0"/>
    <w:rsid w:val="00726BFB"/>
    <w:rsid w:val="007300BC"/>
    <w:rsid w:val="00730F00"/>
    <w:rsid w:val="00732B66"/>
    <w:rsid w:val="00732D96"/>
    <w:rsid w:val="0073328C"/>
    <w:rsid w:val="007334CB"/>
    <w:rsid w:val="00735330"/>
    <w:rsid w:val="00736E9E"/>
    <w:rsid w:val="00737151"/>
    <w:rsid w:val="00741A81"/>
    <w:rsid w:val="00741B1E"/>
    <w:rsid w:val="007425AE"/>
    <w:rsid w:val="00742F0D"/>
    <w:rsid w:val="007436ED"/>
    <w:rsid w:val="0074567D"/>
    <w:rsid w:val="00747024"/>
    <w:rsid w:val="00747C51"/>
    <w:rsid w:val="00747DBD"/>
    <w:rsid w:val="00753223"/>
    <w:rsid w:val="00753CF7"/>
    <w:rsid w:val="00753ED4"/>
    <w:rsid w:val="00754B8E"/>
    <w:rsid w:val="00755447"/>
    <w:rsid w:val="00755BCB"/>
    <w:rsid w:val="00760E76"/>
    <w:rsid w:val="00761D66"/>
    <w:rsid w:val="00762AFB"/>
    <w:rsid w:val="00763B9F"/>
    <w:rsid w:val="00764121"/>
    <w:rsid w:val="007642B5"/>
    <w:rsid w:val="00764AA2"/>
    <w:rsid w:val="007658F5"/>
    <w:rsid w:val="007670DF"/>
    <w:rsid w:val="00767BF3"/>
    <w:rsid w:val="00776162"/>
    <w:rsid w:val="007838C1"/>
    <w:rsid w:val="00785582"/>
    <w:rsid w:val="007867DC"/>
    <w:rsid w:val="00786EC2"/>
    <w:rsid w:val="007928F8"/>
    <w:rsid w:val="00792B38"/>
    <w:rsid w:val="007935A7"/>
    <w:rsid w:val="00795A07"/>
    <w:rsid w:val="00796DD5"/>
    <w:rsid w:val="00796EA1"/>
    <w:rsid w:val="00797BAF"/>
    <w:rsid w:val="007A086B"/>
    <w:rsid w:val="007A234C"/>
    <w:rsid w:val="007A2529"/>
    <w:rsid w:val="007A345F"/>
    <w:rsid w:val="007A50B9"/>
    <w:rsid w:val="007B01B0"/>
    <w:rsid w:val="007B0F4C"/>
    <w:rsid w:val="007B5C81"/>
    <w:rsid w:val="007C1030"/>
    <w:rsid w:val="007C3E00"/>
    <w:rsid w:val="007C404C"/>
    <w:rsid w:val="007C5095"/>
    <w:rsid w:val="007C5303"/>
    <w:rsid w:val="007C63A9"/>
    <w:rsid w:val="007C6559"/>
    <w:rsid w:val="007C7006"/>
    <w:rsid w:val="007C798A"/>
    <w:rsid w:val="007C7BE6"/>
    <w:rsid w:val="007D19BF"/>
    <w:rsid w:val="007D4823"/>
    <w:rsid w:val="007D5216"/>
    <w:rsid w:val="007D7B73"/>
    <w:rsid w:val="007E2E4A"/>
    <w:rsid w:val="007E5A81"/>
    <w:rsid w:val="007E705D"/>
    <w:rsid w:val="007E7066"/>
    <w:rsid w:val="007E709A"/>
    <w:rsid w:val="007E790D"/>
    <w:rsid w:val="007F27AB"/>
    <w:rsid w:val="007F2B02"/>
    <w:rsid w:val="007F329C"/>
    <w:rsid w:val="007F4359"/>
    <w:rsid w:val="007F48E5"/>
    <w:rsid w:val="007F5790"/>
    <w:rsid w:val="007F6014"/>
    <w:rsid w:val="007F6407"/>
    <w:rsid w:val="007F6B09"/>
    <w:rsid w:val="007F72D0"/>
    <w:rsid w:val="00800759"/>
    <w:rsid w:val="00800968"/>
    <w:rsid w:val="00804151"/>
    <w:rsid w:val="00804634"/>
    <w:rsid w:val="00804956"/>
    <w:rsid w:val="00806B79"/>
    <w:rsid w:val="0080726F"/>
    <w:rsid w:val="00811598"/>
    <w:rsid w:val="00811CEA"/>
    <w:rsid w:val="00811E7B"/>
    <w:rsid w:val="0081207B"/>
    <w:rsid w:val="00812168"/>
    <w:rsid w:val="00813BD3"/>
    <w:rsid w:val="0081490B"/>
    <w:rsid w:val="00814A2C"/>
    <w:rsid w:val="008152D4"/>
    <w:rsid w:val="00817801"/>
    <w:rsid w:val="0082043E"/>
    <w:rsid w:val="008207D1"/>
    <w:rsid w:val="00821838"/>
    <w:rsid w:val="00821D17"/>
    <w:rsid w:val="00821DB4"/>
    <w:rsid w:val="00822ED2"/>
    <w:rsid w:val="00825B7C"/>
    <w:rsid w:val="00827875"/>
    <w:rsid w:val="00827B66"/>
    <w:rsid w:val="00831A51"/>
    <w:rsid w:val="00831DAE"/>
    <w:rsid w:val="008346B0"/>
    <w:rsid w:val="00834EE1"/>
    <w:rsid w:val="00835FCA"/>
    <w:rsid w:val="00840DF0"/>
    <w:rsid w:val="0084229E"/>
    <w:rsid w:val="008442DA"/>
    <w:rsid w:val="008448C4"/>
    <w:rsid w:val="00844D1C"/>
    <w:rsid w:val="00845751"/>
    <w:rsid w:val="00845AAB"/>
    <w:rsid w:val="00845B0E"/>
    <w:rsid w:val="008516EB"/>
    <w:rsid w:val="00851FE1"/>
    <w:rsid w:val="00852A83"/>
    <w:rsid w:val="00854028"/>
    <w:rsid w:val="008547AA"/>
    <w:rsid w:val="00856C97"/>
    <w:rsid w:val="008573A7"/>
    <w:rsid w:val="00861E0E"/>
    <w:rsid w:val="008626EB"/>
    <w:rsid w:val="00864A1B"/>
    <w:rsid w:val="008653D4"/>
    <w:rsid w:val="008659AF"/>
    <w:rsid w:val="0087068D"/>
    <w:rsid w:val="00870AE8"/>
    <w:rsid w:val="00874BEE"/>
    <w:rsid w:val="0087547A"/>
    <w:rsid w:val="00877E51"/>
    <w:rsid w:val="0088027A"/>
    <w:rsid w:val="008827D6"/>
    <w:rsid w:val="00885993"/>
    <w:rsid w:val="00886831"/>
    <w:rsid w:val="0088797A"/>
    <w:rsid w:val="00891624"/>
    <w:rsid w:val="00893530"/>
    <w:rsid w:val="00893D33"/>
    <w:rsid w:val="008944CE"/>
    <w:rsid w:val="00895814"/>
    <w:rsid w:val="008972A4"/>
    <w:rsid w:val="00897601"/>
    <w:rsid w:val="00897E2C"/>
    <w:rsid w:val="008A1A3E"/>
    <w:rsid w:val="008A25D8"/>
    <w:rsid w:val="008A3745"/>
    <w:rsid w:val="008A46DE"/>
    <w:rsid w:val="008A5C56"/>
    <w:rsid w:val="008B0164"/>
    <w:rsid w:val="008B11C7"/>
    <w:rsid w:val="008B2BB8"/>
    <w:rsid w:val="008B2C2B"/>
    <w:rsid w:val="008B2CF4"/>
    <w:rsid w:val="008B2F40"/>
    <w:rsid w:val="008B326C"/>
    <w:rsid w:val="008B38F3"/>
    <w:rsid w:val="008B4D43"/>
    <w:rsid w:val="008B581A"/>
    <w:rsid w:val="008B7534"/>
    <w:rsid w:val="008C06A9"/>
    <w:rsid w:val="008C3AFE"/>
    <w:rsid w:val="008C3CB5"/>
    <w:rsid w:val="008C4A6F"/>
    <w:rsid w:val="008C58F6"/>
    <w:rsid w:val="008C7FD1"/>
    <w:rsid w:val="008D1A70"/>
    <w:rsid w:val="008D1C18"/>
    <w:rsid w:val="008D2781"/>
    <w:rsid w:val="008D518C"/>
    <w:rsid w:val="008D561D"/>
    <w:rsid w:val="008D597B"/>
    <w:rsid w:val="008D738E"/>
    <w:rsid w:val="008D7D67"/>
    <w:rsid w:val="008E0224"/>
    <w:rsid w:val="008E092B"/>
    <w:rsid w:val="008E1465"/>
    <w:rsid w:val="008E282F"/>
    <w:rsid w:val="008E3331"/>
    <w:rsid w:val="008E3FCC"/>
    <w:rsid w:val="008E4CCF"/>
    <w:rsid w:val="008E667E"/>
    <w:rsid w:val="008E79F6"/>
    <w:rsid w:val="008F0B7A"/>
    <w:rsid w:val="008F0FFA"/>
    <w:rsid w:val="008F20E7"/>
    <w:rsid w:val="008F2534"/>
    <w:rsid w:val="008F299C"/>
    <w:rsid w:val="008F3B6B"/>
    <w:rsid w:val="008F478D"/>
    <w:rsid w:val="008F4B82"/>
    <w:rsid w:val="008F57E9"/>
    <w:rsid w:val="008F604C"/>
    <w:rsid w:val="008F65C2"/>
    <w:rsid w:val="008F693B"/>
    <w:rsid w:val="008F7A42"/>
    <w:rsid w:val="009021F3"/>
    <w:rsid w:val="00905839"/>
    <w:rsid w:val="009076C7"/>
    <w:rsid w:val="00911FF2"/>
    <w:rsid w:val="00912F76"/>
    <w:rsid w:val="00913993"/>
    <w:rsid w:val="00915F80"/>
    <w:rsid w:val="00921A06"/>
    <w:rsid w:val="00921A89"/>
    <w:rsid w:val="00922294"/>
    <w:rsid w:val="00922C9A"/>
    <w:rsid w:val="00925225"/>
    <w:rsid w:val="0092693B"/>
    <w:rsid w:val="00934252"/>
    <w:rsid w:val="00935748"/>
    <w:rsid w:val="00936438"/>
    <w:rsid w:val="00940AC5"/>
    <w:rsid w:val="009414C0"/>
    <w:rsid w:val="00943A36"/>
    <w:rsid w:val="009446FC"/>
    <w:rsid w:val="009468C8"/>
    <w:rsid w:val="00946E96"/>
    <w:rsid w:val="0094743D"/>
    <w:rsid w:val="00947897"/>
    <w:rsid w:val="00947D46"/>
    <w:rsid w:val="00950B65"/>
    <w:rsid w:val="00952762"/>
    <w:rsid w:val="009527DD"/>
    <w:rsid w:val="00953B32"/>
    <w:rsid w:val="00954C58"/>
    <w:rsid w:val="00954D11"/>
    <w:rsid w:val="00955E25"/>
    <w:rsid w:val="009562B5"/>
    <w:rsid w:val="00956854"/>
    <w:rsid w:val="009600F1"/>
    <w:rsid w:val="0096028D"/>
    <w:rsid w:val="009631CE"/>
    <w:rsid w:val="0096432C"/>
    <w:rsid w:val="00965E49"/>
    <w:rsid w:val="00966851"/>
    <w:rsid w:val="00966B56"/>
    <w:rsid w:val="0096763A"/>
    <w:rsid w:val="00972535"/>
    <w:rsid w:val="009734C5"/>
    <w:rsid w:val="0097462B"/>
    <w:rsid w:val="00975856"/>
    <w:rsid w:val="009766DD"/>
    <w:rsid w:val="009800BB"/>
    <w:rsid w:val="0098112D"/>
    <w:rsid w:val="00981E33"/>
    <w:rsid w:val="00982F49"/>
    <w:rsid w:val="00983047"/>
    <w:rsid w:val="0098493B"/>
    <w:rsid w:val="009849F0"/>
    <w:rsid w:val="00984D7E"/>
    <w:rsid w:val="009851F8"/>
    <w:rsid w:val="0098531F"/>
    <w:rsid w:val="00985CD1"/>
    <w:rsid w:val="00986CFC"/>
    <w:rsid w:val="0098712E"/>
    <w:rsid w:val="00990909"/>
    <w:rsid w:val="0099149A"/>
    <w:rsid w:val="00992FED"/>
    <w:rsid w:val="00993B31"/>
    <w:rsid w:val="009974C3"/>
    <w:rsid w:val="009A0AA7"/>
    <w:rsid w:val="009A1ABF"/>
    <w:rsid w:val="009A5279"/>
    <w:rsid w:val="009A5627"/>
    <w:rsid w:val="009A622D"/>
    <w:rsid w:val="009A6F1D"/>
    <w:rsid w:val="009B055A"/>
    <w:rsid w:val="009B2C44"/>
    <w:rsid w:val="009B3A42"/>
    <w:rsid w:val="009B40EC"/>
    <w:rsid w:val="009B4E66"/>
    <w:rsid w:val="009B4F04"/>
    <w:rsid w:val="009B541C"/>
    <w:rsid w:val="009B5DEB"/>
    <w:rsid w:val="009B6058"/>
    <w:rsid w:val="009B70F4"/>
    <w:rsid w:val="009C041F"/>
    <w:rsid w:val="009C1E30"/>
    <w:rsid w:val="009C2FA7"/>
    <w:rsid w:val="009C5054"/>
    <w:rsid w:val="009C66DE"/>
    <w:rsid w:val="009D0255"/>
    <w:rsid w:val="009D09E3"/>
    <w:rsid w:val="009D0ADF"/>
    <w:rsid w:val="009D216F"/>
    <w:rsid w:val="009D3018"/>
    <w:rsid w:val="009D3AA1"/>
    <w:rsid w:val="009D4882"/>
    <w:rsid w:val="009D5AD9"/>
    <w:rsid w:val="009D5C50"/>
    <w:rsid w:val="009D5DD8"/>
    <w:rsid w:val="009D6443"/>
    <w:rsid w:val="009D6910"/>
    <w:rsid w:val="009D7679"/>
    <w:rsid w:val="009E0EBF"/>
    <w:rsid w:val="009E31BB"/>
    <w:rsid w:val="009E4F03"/>
    <w:rsid w:val="009F2838"/>
    <w:rsid w:val="009F338E"/>
    <w:rsid w:val="009F4F96"/>
    <w:rsid w:val="009F5256"/>
    <w:rsid w:val="009F5A07"/>
    <w:rsid w:val="009F64B9"/>
    <w:rsid w:val="00A00F87"/>
    <w:rsid w:val="00A01FE8"/>
    <w:rsid w:val="00A07806"/>
    <w:rsid w:val="00A07A1F"/>
    <w:rsid w:val="00A07A44"/>
    <w:rsid w:val="00A11402"/>
    <w:rsid w:val="00A11C06"/>
    <w:rsid w:val="00A13FA4"/>
    <w:rsid w:val="00A140C0"/>
    <w:rsid w:val="00A159A2"/>
    <w:rsid w:val="00A16245"/>
    <w:rsid w:val="00A17DB5"/>
    <w:rsid w:val="00A17F4F"/>
    <w:rsid w:val="00A21EA4"/>
    <w:rsid w:val="00A238ED"/>
    <w:rsid w:val="00A26018"/>
    <w:rsid w:val="00A27E31"/>
    <w:rsid w:val="00A31CF3"/>
    <w:rsid w:val="00A33B3E"/>
    <w:rsid w:val="00A33CC9"/>
    <w:rsid w:val="00A35C30"/>
    <w:rsid w:val="00A42001"/>
    <w:rsid w:val="00A435E4"/>
    <w:rsid w:val="00A43EEF"/>
    <w:rsid w:val="00A461BA"/>
    <w:rsid w:val="00A473EE"/>
    <w:rsid w:val="00A513A8"/>
    <w:rsid w:val="00A5167C"/>
    <w:rsid w:val="00A51F25"/>
    <w:rsid w:val="00A53FB7"/>
    <w:rsid w:val="00A54164"/>
    <w:rsid w:val="00A55860"/>
    <w:rsid w:val="00A56F1E"/>
    <w:rsid w:val="00A572C4"/>
    <w:rsid w:val="00A57B3A"/>
    <w:rsid w:val="00A60656"/>
    <w:rsid w:val="00A61D4C"/>
    <w:rsid w:val="00A64DC1"/>
    <w:rsid w:val="00A65535"/>
    <w:rsid w:val="00A70719"/>
    <w:rsid w:val="00A72907"/>
    <w:rsid w:val="00A731BE"/>
    <w:rsid w:val="00A75D97"/>
    <w:rsid w:val="00A75DBF"/>
    <w:rsid w:val="00A773BD"/>
    <w:rsid w:val="00A776D4"/>
    <w:rsid w:val="00A77DCF"/>
    <w:rsid w:val="00A77F77"/>
    <w:rsid w:val="00A8240A"/>
    <w:rsid w:val="00A82535"/>
    <w:rsid w:val="00A83017"/>
    <w:rsid w:val="00A83232"/>
    <w:rsid w:val="00A834DF"/>
    <w:rsid w:val="00A87702"/>
    <w:rsid w:val="00A96683"/>
    <w:rsid w:val="00A97804"/>
    <w:rsid w:val="00AA253A"/>
    <w:rsid w:val="00AA2EF3"/>
    <w:rsid w:val="00AA2F00"/>
    <w:rsid w:val="00AA6F9D"/>
    <w:rsid w:val="00AB053C"/>
    <w:rsid w:val="00AB5AC1"/>
    <w:rsid w:val="00AB6A68"/>
    <w:rsid w:val="00AC08A8"/>
    <w:rsid w:val="00AC1573"/>
    <w:rsid w:val="00AC159D"/>
    <w:rsid w:val="00AC2176"/>
    <w:rsid w:val="00AC3949"/>
    <w:rsid w:val="00AC5687"/>
    <w:rsid w:val="00AC5756"/>
    <w:rsid w:val="00AC6358"/>
    <w:rsid w:val="00AD10C7"/>
    <w:rsid w:val="00AD2150"/>
    <w:rsid w:val="00AD44C2"/>
    <w:rsid w:val="00AD4764"/>
    <w:rsid w:val="00AD600C"/>
    <w:rsid w:val="00AD6D97"/>
    <w:rsid w:val="00AD7D48"/>
    <w:rsid w:val="00AE04CE"/>
    <w:rsid w:val="00AE08BF"/>
    <w:rsid w:val="00AE1B3C"/>
    <w:rsid w:val="00AE39E2"/>
    <w:rsid w:val="00AE4F03"/>
    <w:rsid w:val="00AE51BA"/>
    <w:rsid w:val="00AE5D89"/>
    <w:rsid w:val="00AF0025"/>
    <w:rsid w:val="00AF382D"/>
    <w:rsid w:val="00AF3B81"/>
    <w:rsid w:val="00AF3BF2"/>
    <w:rsid w:val="00AF5770"/>
    <w:rsid w:val="00AF7921"/>
    <w:rsid w:val="00B0174C"/>
    <w:rsid w:val="00B018F8"/>
    <w:rsid w:val="00B0392F"/>
    <w:rsid w:val="00B07A2E"/>
    <w:rsid w:val="00B11809"/>
    <w:rsid w:val="00B11B07"/>
    <w:rsid w:val="00B1434D"/>
    <w:rsid w:val="00B14C81"/>
    <w:rsid w:val="00B15BE4"/>
    <w:rsid w:val="00B16410"/>
    <w:rsid w:val="00B205C0"/>
    <w:rsid w:val="00B2252D"/>
    <w:rsid w:val="00B23CD0"/>
    <w:rsid w:val="00B26D61"/>
    <w:rsid w:val="00B304FA"/>
    <w:rsid w:val="00B323DC"/>
    <w:rsid w:val="00B32D38"/>
    <w:rsid w:val="00B345CD"/>
    <w:rsid w:val="00B34897"/>
    <w:rsid w:val="00B348AE"/>
    <w:rsid w:val="00B34FB8"/>
    <w:rsid w:val="00B358FD"/>
    <w:rsid w:val="00B3592C"/>
    <w:rsid w:val="00B35F11"/>
    <w:rsid w:val="00B36358"/>
    <w:rsid w:val="00B36E45"/>
    <w:rsid w:val="00B37927"/>
    <w:rsid w:val="00B37FF7"/>
    <w:rsid w:val="00B41EAF"/>
    <w:rsid w:val="00B41FF1"/>
    <w:rsid w:val="00B42C9C"/>
    <w:rsid w:val="00B44A5E"/>
    <w:rsid w:val="00B44F44"/>
    <w:rsid w:val="00B44FEC"/>
    <w:rsid w:val="00B46EE5"/>
    <w:rsid w:val="00B47BE8"/>
    <w:rsid w:val="00B47C74"/>
    <w:rsid w:val="00B506AF"/>
    <w:rsid w:val="00B50996"/>
    <w:rsid w:val="00B51517"/>
    <w:rsid w:val="00B516A1"/>
    <w:rsid w:val="00B519A9"/>
    <w:rsid w:val="00B528B7"/>
    <w:rsid w:val="00B539A2"/>
    <w:rsid w:val="00B54946"/>
    <w:rsid w:val="00B55245"/>
    <w:rsid w:val="00B556CC"/>
    <w:rsid w:val="00B568AC"/>
    <w:rsid w:val="00B62AD1"/>
    <w:rsid w:val="00B64F73"/>
    <w:rsid w:val="00B664BF"/>
    <w:rsid w:val="00B71CF4"/>
    <w:rsid w:val="00B72A11"/>
    <w:rsid w:val="00B72DB4"/>
    <w:rsid w:val="00B73682"/>
    <w:rsid w:val="00B736F1"/>
    <w:rsid w:val="00B73731"/>
    <w:rsid w:val="00B76E8B"/>
    <w:rsid w:val="00B81613"/>
    <w:rsid w:val="00B8374D"/>
    <w:rsid w:val="00B85CCB"/>
    <w:rsid w:val="00B866FF"/>
    <w:rsid w:val="00B90174"/>
    <w:rsid w:val="00B92424"/>
    <w:rsid w:val="00B939C7"/>
    <w:rsid w:val="00B942DF"/>
    <w:rsid w:val="00B9439B"/>
    <w:rsid w:val="00B953A3"/>
    <w:rsid w:val="00B96E29"/>
    <w:rsid w:val="00BA17BF"/>
    <w:rsid w:val="00BA1AEF"/>
    <w:rsid w:val="00BA622D"/>
    <w:rsid w:val="00BA6763"/>
    <w:rsid w:val="00BA6782"/>
    <w:rsid w:val="00BB00F3"/>
    <w:rsid w:val="00BB1507"/>
    <w:rsid w:val="00BB1EB7"/>
    <w:rsid w:val="00BB2207"/>
    <w:rsid w:val="00BB2C1F"/>
    <w:rsid w:val="00BB530C"/>
    <w:rsid w:val="00BB6C16"/>
    <w:rsid w:val="00BC0ABD"/>
    <w:rsid w:val="00BC14D6"/>
    <w:rsid w:val="00BC2FC7"/>
    <w:rsid w:val="00BC3923"/>
    <w:rsid w:val="00BC6584"/>
    <w:rsid w:val="00BC76BA"/>
    <w:rsid w:val="00BD11F2"/>
    <w:rsid w:val="00BD2F71"/>
    <w:rsid w:val="00BD32F2"/>
    <w:rsid w:val="00BD3F1F"/>
    <w:rsid w:val="00BD554E"/>
    <w:rsid w:val="00BD617A"/>
    <w:rsid w:val="00BD638D"/>
    <w:rsid w:val="00BD6CFE"/>
    <w:rsid w:val="00BD6FD0"/>
    <w:rsid w:val="00BD7BDE"/>
    <w:rsid w:val="00BE0C1D"/>
    <w:rsid w:val="00BE20FD"/>
    <w:rsid w:val="00BE3BAF"/>
    <w:rsid w:val="00BE51BE"/>
    <w:rsid w:val="00BE537A"/>
    <w:rsid w:val="00BE65CA"/>
    <w:rsid w:val="00BE6D81"/>
    <w:rsid w:val="00BE7A9D"/>
    <w:rsid w:val="00BF17FA"/>
    <w:rsid w:val="00BF7A46"/>
    <w:rsid w:val="00C0010E"/>
    <w:rsid w:val="00C00A68"/>
    <w:rsid w:val="00C014F2"/>
    <w:rsid w:val="00C01833"/>
    <w:rsid w:val="00C022F0"/>
    <w:rsid w:val="00C027E7"/>
    <w:rsid w:val="00C02CF3"/>
    <w:rsid w:val="00C0485A"/>
    <w:rsid w:val="00C06304"/>
    <w:rsid w:val="00C06734"/>
    <w:rsid w:val="00C10A67"/>
    <w:rsid w:val="00C10E5E"/>
    <w:rsid w:val="00C11953"/>
    <w:rsid w:val="00C1276E"/>
    <w:rsid w:val="00C13F9F"/>
    <w:rsid w:val="00C14328"/>
    <w:rsid w:val="00C1565D"/>
    <w:rsid w:val="00C17BDD"/>
    <w:rsid w:val="00C20382"/>
    <w:rsid w:val="00C22DC9"/>
    <w:rsid w:val="00C24AC5"/>
    <w:rsid w:val="00C264D9"/>
    <w:rsid w:val="00C31091"/>
    <w:rsid w:val="00C31356"/>
    <w:rsid w:val="00C3151C"/>
    <w:rsid w:val="00C3475B"/>
    <w:rsid w:val="00C365F5"/>
    <w:rsid w:val="00C4088C"/>
    <w:rsid w:val="00C413F5"/>
    <w:rsid w:val="00C41A23"/>
    <w:rsid w:val="00C44D39"/>
    <w:rsid w:val="00C45ABD"/>
    <w:rsid w:val="00C46243"/>
    <w:rsid w:val="00C4715B"/>
    <w:rsid w:val="00C512AC"/>
    <w:rsid w:val="00C52F1D"/>
    <w:rsid w:val="00C552E8"/>
    <w:rsid w:val="00C55923"/>
    <w:rsid w:val="00C60A90"/>
    <w:rsid w:val="00C61405"/>
    <w:rsid w:val="00C61851"/>
    <w:rsid w:val="00C61AF1"/>
    <w:rsid w:val="00C61B43"/>
    <w:rsid w:val="00C630E4"/>
    <w:rsid w:val="00C631A7"/>
    <w:rsid w:val="00C64CA5"/>
    <w:rsid w:val="00C65D38"/>
    <w:rsid w:val="00C65DC3"/>
    <w:rsid w:val="00C65FBE"/>
    <w:rsid w:val="00C6738B"/>
    <w:rsid w:val="00C67998"/>
    <w:rsid w:val="00C7248F"/>
    <w:rsid w:val="00C73909"/>
    <w:rsid w:val="00C744DD"/>
    <w:rsid w:val="00C74DCB"/>
    <w:rsid w:val="00C76BD2"/>
    <w:rsid w:val="00C76D0E"/>
    <w:rsid w:val="00C80AA8"/>
    <w:rsid w:val="00C81B4C"/>
    <w:rsid w:val="00C82E40"/>
    <w:rsid w:val="00C85C21"/>
    <w:rsid w:val="00C86691"/>
    <w:rsid w:val="00C8717B"/>
    <w:rsid w:val="00C878E6"/>
    <w:rsid w:val="00C90099"/>
    <w:rsid w:val="00C91DAF"/>
    <w:rsid w:val="00C920FA"/>
    <w:rsid w:val="00C934B3"/>
    <w:rsid w:val="00C934BB"/>
    <w:rsid w:val="00C95B47"/>
    <w:rsid w:val="00CA165F"/>
    <w:rsid w:val="00CA1D5A"/>
    <w:rsid w:val="00CA4F98"/>
    <w:rsid w:val="00CA5B03"/>
    <w:rsid w:val="00CB026E"/>
    <w:rsid w:val="00CB0FC7"/>
    <w:rsid w:val="00CB30BD"/>
    <w:rsid w:val="00CB536B"/>
    <w:rsid w:val="00CB5A2C"/>
    <w:rsid w:val="00CB5AC2"/>
    <w:rsid w:val="00CB5F3C"/>
    <w:rsid w:val="00CC0BF9"/>
    <w:rsid w:val="00CC248C"/>
    <w:rsid w:val="00CC253B"/>
    <w:rsid w:val="00CC3273"/>
    <w:rsid w:val="00CC47ED"/>
    <w:rsid w:val="00CC4C59"/>
    <w:rsid w:val="00CC71D9"/>
    <w:rsid w:val="00CD0B81"/>
    <w:rsid w:val="00CD1FA4"/>
    <w:rsid w:val="00CD2452"/>
    <w:rsid w:val="00CD2D48"/>
    <w:rsid w:val="00CD3B6F"/>
    <w:rsid w:val="00CD3FF7"/>
    <w:rsid w:val="00CD55CA"/>
    <w:rsid w:val="00CD71AC"/>
    <w:rsid w:val="00CD7814"/>
    <w:rsid w:val="00CE1931"/>
    <w:rsid w:val="00CE1C55"/>
    <w:rsid w:val="00CE25B7"/>
    <w:rsid w:val="00CE28FB"/>
    <w:rsid w:val="00CE2F18"/>
    <w:rsid w:val="00CE41C2"/>
    <w:rsid w:val="00CE5E3C"/>
    <w:rsid w:val="00CE5F70"/>
    <w:rsid w:val="00CE72B0"/>
    <w:rsid w:val="00CF1FAE"/>
    <w:rsid w:val="00CF76DC"/>
    <w:rsid w:val="00CF7974"/>
    <w:rsid w:val="00CF7D55"/>
    <w:rsid w:val="00D0088C"/>
    <w:rsid w:val="00D01BF4"/>
    <w:rsid w:val="00D020EC"/>
    <w:rsid w:val="00D02278"/>
    <w:rsid w:val="00D029EE"/>
    <w:rsid w:val="00D02BB0"/>
    <w:rsid w:val="00D041CC"/>
    <w:rsid w:val="00D06F81"/>
    <w:rsid w:val="00D10F59"/>
    <w:rsid w:val="00D10FF5"/>
    <w:rsid w:val="00D11189"/>
    <w:rsid w:val="00D1190D"/>
    <w:rsid w:val="00D12C1A"/>
    <w:rsid w:val="00D13995"/>
    <w:rsid w:val="00D14A67"/>
    <w:rsid w:val="00D15A9D"/>
    <w:rsid w:val="00D166AC"/>
    <w:rsid w:val="00D1719B"/>
    <w:rsid w:val="00D17374"/>
    <w:rsid w:val="00D1760C"/>
    <w:rsid w:val="00D17986"/>
    <w:rsid w:val="00D225B2"/>
    <w:rsid w:val="00D23404"/>
    <w:rsid w:val="00D24235"/>
    <w:rsid w:val="00D245F2"/>
    <w:rsid w:val="00D257DF"/>
    <w:rsid w:val="00D27257"/>
    <w:rsid w:val="00D308DF"/>
    <w:rsid w:val="00D3134B"/>
    <w:rsid w:val="00D3255E"/>
    <w:rsid w:val="00D33D1E"/>
    <w:rsid w:val="00D34390"/>
    <w:rsid w:val="00D34B2F"/>
    <w:rsid w:val="00D355A7"/>
    <w:rsid w:val="00D35F03"/>
    <w:rsid w:val="00D35F29"/>
    <w:rsid w:val="00D36EC1"/>
    <w:rsid w:val="00D4046D"/>
    <w:rsid w:val="00D407F9"/>
    <w:rsid w:val="00D41081"/>
    <w:rsid w:val="00D42844"/>
    <w:rsid w:val="00D43669"/>
    <w:rsid w:val="00D44921"/>
    <w:rsid w:val="00D44B07"/>
    <w:rsid w:val="00D45D97"/>
    <w:rsid w:val="00D46088"/>
    <w:rsid w:val="00D51075"/>
    <w:rsid w:val="00D51339"/>
    <w:rsid w:val="00D51C60"/>
    <w:rsid w:val="00D52BB8"/>
    <w:rsid w:val="00D52EA2"/>
    <w:rsid w:val="00D53868"/>
    <w:rsid w:val="00D53B72"/>
    <w:rsid w:val="00D54B7E"/>
    <w:rsid w:val="00D564E5"/>
    <w:rsid w:val="00D57322"/>
    <w:rsid w:val="00D602EF"/>
    <w:rsid w:val="00D60B91"/>
    <w:rsid w:val="00D61385"/>
    <w:rsid w:val="00D61B9D"/>
    <w:rsid w:val="00D65958"/>
    <w:rsid w:val="00D66015"/>
    <w:rsid w:val="00D66BE3"/>
    <w:rsid w:val="00D67B11"/>
    <w:rsid w:val="00D705BE"/>
    <w:rsid w:val="00D7197C"/>
    <w:rsid w:val="00D720A7"/>
    <w:rsid w:val="00D7272A"/>
    <w:rsid w:val="00D73280"/>
    <w:rsid w:val="00D74AE6"/>
    <w:rsid w:val="00D75178"/>
    <w:rsid w:val="00D76FFA"/>
    <w:rsid w:val="00D81621"/>
    <w:rsid w:val="00D81F60"/>
    <w:rsid w:val="00D83DCE"/>
    <w:rsid w:val="00D8431C"/>
    <w:rsid w:val="00D8554A"/>
    <w:rsid w:val="00D864CB"/>
    <w:rsid w:val="00D86770"/>
    <w:rsid w:val="00D86F97"/>
    <w:rsid w:val="00D911D4"/>
    <w:rsid w:val="00D92424"/>
    <w:rsid w:val="00D9279C"/>
    <w:rsid w:val="00D937BC"/>
    <w:rsid w:val="00D940B9"/>
    <w:rsid w:val="00D94B6C"/>
    <w:rsid w:val="00D95A5C"/>
    <w:rsid w:val="00D95D3F"/>
    <w:rsid w:val="00D96A5C"/>
    <w:rsid w:val="00D96C8D"/>
    <w:rsid w:val="00D97B00"/>
    <w:rsid w:val="00DA0577"/>
    <w:rsid w:val="00DA0FA9"/>
    <w:rsid w:val="00DA20A3"/>
    <w:rsid w:val="00DA2250"/>
    <w:rsid w:val="00DA2768"/>
    <w:rsid w:val="00DA31EE"/>
    <w:rsid w:val="00DA4D8F"/>
    <w:rsid w:val="00DA4ECA"/>
    <w:rsid w:val="00DA66E6"/>
    <w:rsid w:val="00DA74EC"/>
    <w:rsid w:val="00DB329D"/>
    <w:rsid w:val="00DB3C02"/>
    <w:rsid w:val="00DB4101"/>
    <w:rsid w:val="00DB6DEA"/>
    <w:rsid w:val="00DB7062"/>
    <w:rsid w:val="00DC0B4F"/>
    <w:rsid w:val="00DC1AAD"/>
    <w:rsid w:val="00DC3ECA"/>
    <w:rsid w:val="00DC4A2A"/>
    <w:rsid w:val="00DC54B1"/>
    <w:rsid w:val="00DC5521"/>
    <w:rsid w:val="00DC56F9"/>
    <w:rsid w:val="00DC5794"/>
    <w:rsid w:val="00DC6128"/>
    <w:rsid w:val="00DC6580"/>
    <w:rsid w:val="00DC6BFD"/>
    <w:rsid w:val="00DD158E"/>
    <w:rsid w:val="00DD18EF"/>
    <w:rsid w:val="00DD2F85"/>
    <w:rsid w:val="00DD3E0E"/>
    <w:rsid w:val="00DD70CA"/>
    <w:rsid w:val="00DE01B5"/>
    <w:rsid w:val="00DE2291"/>
    <w:rsid w:val="00DE27B9"/>
    <w:rsid w:val="00DE30C5"/>
    <w:rsid w:val="00DE75CA"/>
    <w:rsid w:val="00DF2250"/>
    <w:rsid w:val="00DF3E30"/>
    <w:rsid w:val="00DF3F08"/>
    <w:rsid w:val="00DF76AD"/>
    <w:rsid w:val="00DF78BB"/>
    <w:rsid w:val="00DF7966"/>
    <w:rsid w:val="00DF7CB4"/>
    <w:rsid w:val="00DF7D53"/>
    <w:rsid w:val="00E00C90"/>
    <w:rsid w:val="00E016CA"/>
    <w:rsid w:val="00E017A6"/>
    <w:rsid w:val="00E02159"/>
    <w:rsid w:val="00E03746"/>
    <w:rsid w:val="00E0374E"/>
    <w:rsid w:val="00E04FCC"/>
    <w:rsid w:val="00E12BC0"/>
    <w:rsid w:val="00E145A9"/>
    <w:rsid w:val="00E14628"/>
    <w:rsid w:val="00E158D8"/>
    <w:rsid w:val="00E1613B"/>
    <w:rsid w:val="00E16FBA"/>
    <w:rsid w:val="00E233B4"/>
    <w:rsid w:val="00E23AE3"/>
    <w:rsid w:val="00E24BDD"/>
    <w:rsid w:val="00E316FE"/>
    <w:rsid w:val="00E31757"/>
    <w:rsid w:val="00E32718"/>
    <w:rsid w:val="00E348F9"/>
    <w:rsid w:val="00E34E41"/>
    <w:rsid w:val="00E35F4C"/>
    <w:rsid w:val="00E35F9A"/>
    <w:rsid w:val="00E36219"/>
    <w:rsid w:val="00E37AEC"/>
    <w:rsid w:val="00E37EA6"/>
    <w:rsid w:val="00E40470"/>
    <w:rsid w:val="00E40A92"/>
    <w:rsid w:val="00E41489"/>
    <w:rsid w:val="00E41D91"/>
    <w:rsid w:val="00E42DD7"/>
    <w:rsid w:val="00E43C54"/>
    <w:rsid w:val="00E44463"/>
    <w:rsid w:val="00E465BE"/>
    <w:rsid w:val="00E47DB4"/>
    <w:rsid w:val="00E50322"/>
    <w:rsid w:val="00E50555"/>
    <w:rsid w:val="00E508BA"/>
    <w:rsid w:val="00E50B45"/>
    <w:rsid w:val="00E51910"/>
    <w:rsid w:val="00E52ACD"/>
    <w:rsid w:val="00E53B25"/>
    <w:rsid w:val="00E547D2"/>
    <w:rsid w:val="00E60806"/>
    <w:rsid w:val="00E61C3D"/>
    <w:rsid w:val="00E623DE"/>
    <w:rsid w:val="00E6271C"/>
    <w:rsid w:val="00E62D6E"/>
    <w:rsid w:val="00E64C85"/>
    <w:rsid w:val="00E65BB7"/>
    <w:rsid w:val="00E65E08"/>
    <w:rsid w:val="00E66902"/>
    <w:rsid w:val="00E66D7C"/>
    <w:rsid w:val="00E678D4"/>
    <w:rsid w:val="00E70F5A"/>
    <w:rsid w:val="00E71FFF"/>
    <w:rsid w:val="00E735C3"/>
    <w:rsid w:val="00E75575"/>
    <w:rsid w:val="00E76810"/>
    <w:rsid w:val="00E778E7"/>
    <w:rsid w:val="00E824C5"/>
    <w:rsid w:val="00E83683"/>
    <w:rsid w:val="00E91289"/>
    <w:rsid w:val="00E91503"/>
    <w:rsid w:val="00E92906"/>
    <w:rsid w:val="00E9358E"/>
    <w:rsid w:val="00E937ED"/>
    <w:rsid w:val="00E939B3"/>
    <w:rsid w:val="00E94FC7"/>
    <w:rsid w:val="00E9700E"/>
    <w:rsid w:val="00EA0F85"/>
    <w:rsid w:val="00EA21F8"/>
    <w:rsid w:val="00EA2B42"/>
    <w:rsid w:val="00EA3746"/>
    <w:rsid w:val="00EA37DE"/>
    <w:rsid w:val="00EA4413"/>
    <w:rsid w:val="00EA46A4"/>
    <w:rsid w:val="00EA5B54"/>
    <w:rsid w:val="00EA6B39"/>
    <w:rsid w:val="00EA6B8A"/>
    <w:rsid w:val="00EA7691"/>
    <w:rsid w:val="00EB1849"/>
    <w:rsid w:val="00EB29F3"/>
    <w:rsid w:val="00EB3A32"/>
    <w:rsid w:val="00EB4232"/>
    <w:rsid w:val="00EB4452"/>
    <w:rsid w:val="00EB4C99"/>
    <w:rsid w:val="00EB5617"/>
    <w:rsid w:val="00EB63E8"/>
    <w:rsid w:val="00EB6875"/>
    <w:rsid w:val="00EB72CF"/>
    <w:rsid w:val="00EB76A5"/>
    <w:rsid w:val="00EC1DA5"/>
    <w:rsid w:val="00EC280F"/>
    <w:rsid w:val="00EC2BAF"/>
    <w:rsid w:val="00EC2F3A"/>
    <w:rsid w:val="00EC3488"/>
    <w:rsid w:val="00EC4FBE"/>
    <w:rsid w:val="00EC5E1E"/>
    <w:rsid w:val="00ED1DE7"/>
    <w:rsid w:val="00ED286E"/>
    <w:rsid w:val="00ED7767"/>
    <w:rsid w:val="00ED7B08"/>
    <w:rsid w:val="00ED7E24"/>
    <w:rsid w:val="00EE0363"/>
    <w:rsid w:val="00EE2AB5"/>
    <w:rsid w:val="00EE2F45"/>
    <w:rsid w:val="00EE5662"/>
    <w:rsid w:val="00EE5BC6"/>
    <w:rsid w:val="00EE6A2D"/>
    <w:rsid w:val="00EF43E7"/>
    <w:rsid w:val="00EF6176"/>
    <w:rsid w:val="00EF64F4"/>
    <w:rsid w:val="00EF680B"/>
    <w:rsid w:val="00EF6EA8"/>
    <w:rsid w:val="00F02DEC"/>
    <w:rsid w:val="00F03550"/>
    <w:rsid w:val="00F03EAF"/>
    <w:rsid w:val="00F04D49"/>
    <w:rsid w:val="00F05A5E"/>
    <w:rsid w:val="00F0605D"/>
    <w:rsid w:val="00F06170"/>
    <w:rsid w:val="00F06570"/>
    <w:rsid w:val="00F06D02"/>
    <w:rsid w:val="00F10390"/>
    <w:rsid w:val="00F105B7"/>
    <w:rsid w:val="00F13BEC"/>
    <w:rsid w:val="00F13DD9"/>
    <w:rsid w:val="00F154DB"/>
    <w:rsid w:val="00F155AA"/>
    <w:rsid w:val="00F157FB"/>
    <w:rsid w:val="00F165CE"/>
    <w:rsid w:val="00F203B9"/>
    <w:rsid w:val="00F21578"/>
    <w:rsid w:val="00F21D44"/>
    <w:rsid w:val="00F22D96"/>
    <w:rsid w:val="00F2453C"/>
    <w:rsid w:val="00F255FD"/>
    <w:rsid w:val="00F26C4E"/>
    <w:rsid w:val="00F26DC5"/>
    <w:rsid w:val="00F31310"/>
    <w:rsid w:val="00F351B4"/>
    <w:rsid w:val="00F36600"/>
    <w:rsid w:val="00F4125A"/>
    <w:rsid w:val="00F437F4"/>
    <w:rsid w:val="00F43EF2"/>
    <w:rsid w:val="00F44CDE"/>
    <w:rsid w:val="00F46520"/>
    <w:rsid w:val="00F51870"/>
    <w:rsid w:val="00F51D34"/>
    <w:rsid w:val="00F544A9"/>
    <w:rsid w:val="00F553F0"/>
    <w:rsid w:val="00F56E7E"/>
    <w:rsid w:val="00F56F77"/>
    <w:rsid w:val="00F5705F"/>
    <w:rsid w:val="00F5759D"/>
    <w:rsid w:val="00F601D7"/>
    <w:rsid w:val="00F606AB"/>
    <w:rsid w:val="00F61B9D"/>
    <w:rsid w:val="00F639B0"/>
    <w:rsid w:val="00F6404A"/>
    <w:rsid w:val="00F6512D"/>
    <w:rsid w:val="00F67393"/>
    <w:rsid w:val="00F67F79"/>
    <w:rsid w:val="00F70BA7"/>
    <w:rsid w:val="00F7108C"/>
    <w:rsid w:val="00F729E4"/>
    <w:rsid w:val="00F72A7F"/>
    <w:rsid w:val="00F7360A"/>
    <w:rsid w:val="00F73B1C"/>
    <w:rsid w:val="00F742BD"/>
    <w:rsid w:val="00F7782F"/>
    <w:rsid w:val="00F77B96"/>
    <w:rsid w:val="00F80438"/>
    <w:rsid w:val="00F81A11"/>
    <w:rsid w:val="00F81CB0"/>
    <w:rsid w:val="00F8386D"/>
    <w:rsid w:val="00F85A1D"/>
    <w:rsid w:val="00F87491"/>
    <w:rsid w:val="00F8763D"/>
    <w:rsid w:val="00F91224"/>
    <w:rsid w:val="00F920C9"/>
    <w:rsid w:val="00F93376"/>
    <w:rsid w:val="00F9477B"/>
    <w:rsid w:val="00F95F8A"/>
    <w:rsid w:val="00FA0E9E"/>
    <w:rsid w:val="00FA18C3"/>
    <w:rsid w:val="00FA1F21"/>
    <w:rsid w:val="00FA2B5E"/>
    <w:rsid w:val="00FA320C"/>
    <w:rsid w:val="00FA332F"/>
    <w:rsid w:val="00FA3866"/>
    <w:rsid w:val="00FA3F3A"/>
    <w:rsid w:val="00FA568C"/>
    <w:rsid w:val="00FA5DE6"/>
    <w:rsid w:val="00FA632B"/>
    <w:rsid w:val="00FA7A01"/>
    <w:rsid w:val="00FB0FBC"/>
    <w:rsid w:val="00FB2ACB"/>
    <w:rsid w:val="00FB3643"/>
    <w:rsid w:val="00FB7E02"/>
    <w:rsid w:val="00FC0B3B"/>
    <w:rsid w:val="00FC1034"/>
    <w:rsid w:val="00FC13FA"/>
    <w:rsid w:val="00FC356F"/>
    <w:rsid w:val="00FC429B"/>
    <w:rsid w:val="00FC441D"/>
    <w:rsid w:val="00FC6822"/>
    <w:rsid w:val="00FC6B55"/>
    <w:rsid w:val="00FC7207"/>
    <w:rsid w:val="00FC7C8C"/>
    <w:rsid w:val="00FC7F4C"/>
    <w:rsid w:val="00FC7F89"/>
    <w:rsid w:val="00FD018C"/>
    <w:rsid w:val="00FD13AB"/>
    <w:rsid w:val="00FD13BB"/>
    <w:rsid w:val="00FD16CB"/>
    <w:rsid w:val="00FD21A9"/>
    <w:rsid w:val="00FD3B42"/>
    <w:rsid w:val="00FD57F6"/>
    <w:rsid w:val="00FD618C"/>
    <w:rsid w:val="00FD74B4"/>
    <w:rsid w:val="00FD7711"/>
    <w:rsid w:val="00FD7E74"/>
    <w:rsid w:val="00FE17B3"/>
    <w:rsid w:val="00FE2101"/>
    <w:rsid w:val="00FE29F6"/>
    <w:rsid w:val="00FE2F29"/>
    <w:rsid w:val="00FE3FD2"/>
    <w:rsid w:val="00FE5707"/>
    <w:rsid w:val="00FE61E4"/>
    <w:rsid w:val="00FE6954"/>
    <w:rsid w:val="00FF0921"/>
    <w:rsid w:val="00FF2057"/>
    <w:rsid w:val="00FF4D57"/>
    <w:rsid w:val="00FF6107"/>
    <w:rsid w:val="00FF77FA"/>
    <w:rsid w:val="0907656A"/>
    <w:rsid w:val="288B0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nhideWhenUsed="0" w:uiPriority="0" w:semiHidden="0"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numPr>
        <w:ilvl w:val="0"/>
        <w:numId w:val="1"/>
      </w:numPr>
      <w:spacing w:line="360" w:lineRule="auto"/>
      <w:ind w:left="0"/>
      <w:jc w:val="center"/>
      <w:outlineLvl w:val="0"/>
    </w:pPr>
    <w:rPr>
      <w:rFonts w:ascii="Times New Roman" w:hAnsi="Times New Roman"/>
      <w:b/>
      <w:bCs/>
      <w:kern w:val="44"/>
      <w:sz w:val="32"/>
      <w:szCs w:val="44"/>
    </w:rPr>
  </w:style>
  <w:style w:type="paragraph" w:styleId="3">
    <w:name w:val="heading 2"/>
    <w:basedOn w:val="1"/>
    <w:next w:val="1"/>
    <w:link w:val="36"/>
    <w:unhideWhenUsed/>
    <w:qFormat/>
    <w:uiPriority w:val="9"/>
    <w:pPr>
      <w:keepNext/>
      <w:keepLines/>
      <w:numPr>
        <w:ilvl w:val="1"/>
        <w:numId w:val="1"/>
      </w:numPr>
      <w:spacing w:line="360" w:lineRule="auto"/>
      <w:ind w:left="0"/>
      <w:outlineLvl w:val="1"/>
    </w:pPr>
    <w:rPr>
      <w:rFonts w:ascii="Times New Roman" w:hAnsi="Times New Roman" w:eastAsia="宋体" w:cstheme="majorBidi"/>
      <w:b/>
      <w:bCs/>
      <w:sz w:val="30"/>
      <w:szCs w:val="32"/>
    </w:rPr>
  </w:style>
  <w:style w:type="paragraph" w:styleId="4">
    <w:name w:val="heading 3"/>
    <w:basedOn w:val="1"/>
    <w:next w:val="1"/>
    <w:link w:val="37"/>
    <w:unhideWhenUsed/>
    <w:qFormat/>
    <w:uiPriority w:val="9"/>
    <w:pPr>
      <w:keepNext/>
      <w:keepLines/>
      <w:numPr>
        <w:ilvl w:val="2"/>
        <w:numId w:val="1"/>
      </w:numPr>
      <w:spacing w:line="360" w:lineRule="auto"/>
      <w:ind w:left="0"/>
      <w:outlineLvl w:val="2"/>
    </w:pPr>
    <w:rPr>
      <w:rFonts w:ascii="Times New Roman" w:hAnsi="Times New Roman" w:eastAsia="宋体"/>
      <w:b/>
      <w:bCs/>
      <w:sz w:val="28"/>
      <w:szCs w:val="32"/>
    </w:rPr>
  </w:style>
  <w:style w:type="paragraph" w:styleId="5">
    <w:name w:val="heading 4"/>
    <w:basedOn w:val="1"/>
    <w:next w:val="1"/>
    <w:link w:val="38"/>
    <w:unhideWhenUsed/>
    <w:qFormat/>
    <w:uiPriority w:val="9"/>
    <w:pPr>
      <w:keepNext/>
      <w:keepLines/>
      <w:numPr>
        <w:ilvl w:val="3"/>
        <w:numId w:val="1"/>
      </w:numPr>
      <w:spacing w:line="360" w:lineRule="auto"/>
      <w:ind w:left="0"/>
      <w:outlineLvl w:val="3"/>
    </w:pPr>
    <w:rPr>
      <w:rFonts w:ascii="Times New Roman" w:hAnsi="Times New Roman" w:eastAsia="宋体" w:cstheme="majorBidi"/>
      <w:b/>
      <w:bCs/>
      <w:sz w:val="24"/>
      <w:szCs w:val="28"/>
    </w:rPr>
  </w:style>
  <w:style w:type="paragraph" w:styleId="6">
    <w:name w:val="heading 5"/>
    <w:basedOn w:val="1"/>
    <w:next w:val="1"/>
    <w:link w:val="39"/>
    <w:unhideWhenUsed/>
    <w:qFormat/>
    <w:uiPriority w:val="9"/>
    <w:pPr>
      <w:keepNext/>
      <w:keepLines/>
      <w:numPr>
        <w:ilvl w:val="4"/>
        <w:numId w:val="1"/>
      </w:numPr>
      <w:spacing w:line="360" w:lineRule="auto"/>
      <w:outlineLvl w:val="4"/>
    </w:pPr>
    <w:rPr>
      <w:rFonts w:ascii="Times New Roman" w:hAnsi="Times New Roman" w:eastAsia="宋体"/>
      <w:b/>
      <w:bCs/>
      <w:sz w:val="24"/>
      <w:szCs w:val="28"/>
    </w:rPr>
  </w:style>
  <w:style w:type="character" w:default="1" w:styleId="27">
    <w:name w:val="Default Paragraph Font"/>
    <w:semiHidden/>
    <w:unhideWhenUsed/>
    <w:uiPriority w:val="1"/>
  </w:style>
  <w:style w:type="table" w:default="1" w:styleId="25">
    <w:name w:val="Normal Table"/>
    <w:semiHidden/>
    <w:unhideWhenUsed/>
    <w:uiPriority w:val="99"/>
    <w:tblPr>
      <w:tblLayout w:type="fixed"/>
      <w:tblCellMar>
        <w:top w:w="0" w:type="dxa"/>
        <w:left w:w="108" w:type="dxa"/>
        <w:bottom w:w="0" w:type="dxa"/>
        <w:right w:w="108" w:type="dxa"/>
      </w:tblCellMar>
    </w:tblPr>
  </w:style>
  <w:style w:type="paragraph" w:styleId="7">
    <w:name w:val="toc 7"/>
    <w:basedOn w:val="1"/>
    <w:next w:val="1"/>
    <w:unhideWhenUsed/>
    <w:uiPriority w:val="39"/>
    <w:pPr>
      <w:ind w:left="2520" w:leftChars="1200"/>
    </w:pPr>
  </w:style>
  <w:style w:type="paragraph" w:styleId="8">
    <w:name w:val="annotation text"/>
    <w:basedOn w:val="1"/>
    <w:link w:val="89"/>
    <w:semiHidden/>
    <w:unhideWhenUsed/>
    <w:uiPriority w:val="99"/>
    <w:pPr>
      <w:jc w:val="left"/>
    </w:pPr>
  </w:style>
  <w:style w:type="paragraph" w:styleId="9">
    <w:name w:val="Body Text"/>
    <w:basedOn w:val="1"/>
    <w:link w:val="58"/>
    <w:semiHidden/>
    <w:unhideWhenUsed/>
    <w:uiPriority w:val="99"/>
    <w:pPr>
      <w:spacing w:after="120"/>
    </w:pPr>
  </w:style>
  <w:style w:type="paragraph" w:styleId="10">
    <w:name w:val="toc 5"/>
    <w:basedOn w:val="1"/>
    <w:next w:val="1"/>
    <w:unhideWhenUsed/>
    <w:uiPriority w:val="39"/>
    <w:pPr>
      <w:ind w:left="1680" w:leftChars="800"/>
    </w:pPr>
  </w:style>
  <w:style w:type="paragraph" w:styleId="11">
    <w:name w:val="toc 3"/>
    <w:basedOn w:val="1"/>
    <w:next w:val="1"/>
    <w:unhideWhenUsed/>
    <w:uiPriority w:val="39"/>
    <w:pPr>
      <w:ind w:left="840" w:leftChars="400"/>
    </w:pPr>
  </w:style>
  <w:style w:type="paragraph" w:styleId="12">
    <w:name w:val="toc 8"/>
    <w:basedOn w:val="1"/>
    <w:next w:val="1"/>
    <w:unhideWhenUsed/>
    <w:uiPriority w:val="39"/>
    <w:pPr>
      <w:ind w:left="2940" w:leftChars="1400"/>
    </w:pPr>
  </w:style>
  <w:style w:type="paragraph" w:styleId="13">
    <w:name w:val="Balloon Text"/>
    <w:basedOn w:val="1"/>
    <w:link w:val="53"/>
    <w:semiHidden/>
    <w:unhideWhenUsed/>
    <w:uiPriority w:val="99"/>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uiPriority w:val="39"/>
  </w:style>
  <w:style w:type="paragraph" w:styleId="17">
    <w:name w:val="toc 4"/>
    <w:basedOn w:val="1"/>
    <w:next w:val="1"/>
    <w:unhideWhenUsed/>
    <w:uiPriority w:val="39"/>
    <w:pPr>
      <w:ind w:left="1260" w:leftChars="600"/>
    </w:pPr>
  </w:style>
  <w:style w:type="paragraph" w:styleId="18">
    <w:name w:val="Subtitle"/>
    <w:basedOn w:val="1"/>
    <w:next w:val="1"/>
    <w:link w:val="75"/>
    <w:qFormat/>
    <w:uiPriority w:val="11"/>
    <w:pPr>
      <w:adjustRightInd w:val="0"/>
      <w:snapToGrid w:val="0"/>
      <w:jc w:val="center"/>
    </w:pPr>
    <w:rPr>
      <w:rFonts w:ascii="Times New Roman" w:hAnsi="Times New Roman" w:eastAsia="宋体" w:cstheme="majorBidi"/>
      <w:bCs/>
      <w:kern w:val="28"/>
      <w:szCs w:val="32"/>
    </w:rPr>
  </w:style>
  <w:style w:type="paragraph" w:styleId="19">
    <w:name w:val="toc 6"/>
    <w:basedOn w:val="1"/>
    <w:next w:val="1"/>
    <w:unhideWhenUsed/>
    <w:uiPriority w:val="39"/>
    <w:pPr>
      <w:ind w:left="2100" w:leftChars="1000"/>
    </w:pPr>
  </w:style>
  <w:style w:type="paragraph" w:styleId="20">
    <w:name w:val="toc 2"/>
    <w:basedOn w:val="1"/>
    <w:next w:val="1"/>
    <w:unhideWhenUsed/>
    <w:uiPriority w:val="39"/>
    <w:pPr>
      <w:ind w:left="420" w:leftChars="200"/>
    </w:pPr>
  </w:style>
  <w:style w:type="paragraph" w:styleId="21">
    <w:name w:val="toc 9"/>
    <w:basedOn w:val="1"/>
    <w:next w:val="1"/>
    <w:unhideWhenUsed/>
    <w:uiPriority w:val="39"/>
    <w:pPr>
      <w:ind w:left="3360" w:leftChars="1600"/>
    </w:pPr>
  </w:style>
  <w:style w:type="paragraph" w:styleId="22">
    <w:name w:val="Title"/>
    <w:basedOn w:val="1"/>
    <w:next w:val="1"/>
    <w:link w:val="74"/>
    <w:qFormat/>
    <w:uiPriority w:val="0"/>
    <w:pPr>
      <w:adjustRightInd w:val="0"/>
      <w:snapToGrid w:val="0"/>
      <w:jc w:val="center"/>
    </w:pPr>
    <w:rPr>
      <w:rFonts w:ascii="Times New Roman" w:hAnsi="Times New Roman" w:eastAsia="宋体" w:cstheme="majorBidi"/>
      <w:b/>
      <w:bCs/>
      <w:sz w:val="24"/>
      <w:szCs w:val="32"/>
    </w:rPr>
  </w:style>
  <w:style w:type="paragraph" w:styleId="23">
    <w:name w:val="annotation subject"/>
    <w:basedOn w:val="8"/>
    <w:next w:val="8"/>
    <w:link w:val="90"/>
    <w:semiHidden/>
    <w:unhideWhenUsed/>
    <w:uiPriority w:val="99"/>
    <w:rPr>
      <w:b/>
      <w:bCs/>
    </w:rPr>
  </w:style>
  <w:style w:type="paragraph" w:styleId="24">
    <w:name w:val="Body Text First Indent"/>
    <w:basedOn w:val="9"/>
    <w:link w:val="59"/>
    <w:semiHidden/>
    <w:unhideWhenUsed/>
    <w:uiPriority w:val="99"/>
    <w:pPr>
      <w:ind w:firstLine="420" w:firstLineChars="100"/>
    </w:pPr>
  </w:style>
  <w:style w:type="table" w:styleId="26">
    <w:name w:val="Table Grid"/>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8">
    <w:name w:val="Hyperlink"/>
    <w:basedOn w:val="27"/>
    <w:unhideWhenUsed/>
    <w:uiPriority w:val="99"/>
    <w:rPr>
      <w:color w:val="0563C1" w:themeColor="hyperlink"/>
      <w:u w:val="single"/>
      <w14:textFill>
        <w14:solidFill>
          <w14:schemeClr w14:val="hlink"/>
        </w14:solidFill>
      </w14:textFill>
    </w:rPr>
  </w:style>
  <w:style w:type="character" w:styleId="29">
    <w:name w:val="HTML Code"/>
    <w:qFormat/>
    <w:uiPriority w:val="0"/>
    <w:rPr>
      <w:rFonts w:hint="default" w:ascii="Courier New" w:hAnsi="Courier New" w:eastAsia="Courier New" w:cs="Courier New"/>
      <w:sz w:val="20"/>
    </w:rPr>
  </w:style>
  <w:style w:type="character" w:styleId="30">
    <w:name w:val="annotation reference"/>
    <w:basedOn w:val="27"/>
    <w:semiHidden/>
    <w:unhideWhenUsed/>
    <w:uiPriority w:val="99"/>
    <w:rPr>
      <w:sz w:val="21"/>
      <w:szCs w:val="21"/>
    </w:rPr>
  </w:style>
  <w:style w:type="character" w:customStyle="1" w:styleId="31">
    <w:name w:val="页眉 Char"/>
    <w:basedOn w:val="27"/>
    <w:link w:val="15"/>
    <w:qFormat/>
    <w:uiPriority w:val="99"/>
    <w:rPr>
      <w:sz w:val="18"/>
      <w:szCs w:val="18"/>
    </w:rPr>
  </w:style>
  <w:style w:type="character" w:customStyle="1" w:styleId="32">
    <w:name w:val="页脚 Char"/>
    <w:basedOn w:val="27"/>
    <w:link w:val="14"/>
    <w:qFormat/>
    <w:uiPriority w:val="99"/>
    <w:rPr>
      <w:sz w:val="18"/>
      <w:szCs w:val="18"/>
    </w:rPr>
  </w:style>
  <w:style w:type="paragraph" w:customStyle="1" w:styleId="33">
    <w:name w:val="页眉1"/>
    <w:basedOn w:val="1"/>
    <w:next w:val="15"/>
    <w:unhideWhenUsed/>
    <w:qFormat/>
    <w:uiPriority w:val="99"/>
    <w:pPr>
      <w:pBdr>
        <w:bottom w:val="single" w:color="auto" w:sz="6" w:space="1"/>
      </w:pBdr>
      <w:tabs>
        <w:tab w:val="center" w:pos="4153"/>
        <w:tab w:val="right" w:pos="8306"/>
      </w:tabs>
      <w:snapToGrid w:val="0"/>
      <w:spacing w:line="360" w:lineRule="auto"/>
      <w:jc w:val="center"/>
    </w:pPr>
    <w:rPr>
      <w:rFonts w:ascii="Times New Roman" w:hAnsi="Times New Roman" w:eastAsia="宋体"/>
      <w:sz w:val="18"/>
      <w:szCs w:val="18"/>
    </w:rPr>
  </w:style>
  <w:style w:type="paragraph" w:styleId="34">
    <w:name w:val="List Paragraph"/>
    <w:basedOn w:val="1"/>
    <w:qFormat/>
    <w:uiPriority w:val="34"/>
    <w:pPr>
      <w:ind w:firstLine="420" w:firstLineChars="200"/>
    </w:pPr>
  </w:style>
  <w:style w:type="character" w:customStyle="1" w:styleId="35">
    <w:name w:val="标题 1 Char"/>
    <w:basedOn w:val="27"/>
    <w:link w:val="2"/>
    <w:uiPriority w:val="9"/>
    <w:rPr>
      <w:rFonts w:ascii="Times New Roman" w:hAnsi="Times New Roman"/>
      <w:b/>
      <w:bCs/>
      <w:kern w:val="44"/>
      <w:sz w:val="32"/>
      <w:szCs w:val="44"/>
    </w:rPr>
  </w:style>
  <w:style w:type="character" w:customStyle="1" w:styleId="36">
    <w:name w:val="标题 2 Char"/>
    <w:basedOn w:val="27"/>
    <w:link w:val="3"/>
    <w:qFormat/>
    <w:uiPriority w:val="9"/>
    <w:rPr>
      <w:rFonts w:ascii="Times New Roman" w:hAnsi="Times New Roman" w:eastAsia="宋体" w:cstheme="majorBidi"/>
      <w:b/>
      <w:bCs/>
      <w:sz w:val="30"/>
      <w:szCs w:val="32"/>
    </w:rPr>
  </w:style>
  <w:style w:type="character" w:customStyle="1" w:styleId="37">
    <w:name w:val="标题 3 Char"/>
    <w:basedOn w:val="27"/>
    <w:link w:val="4"/>
    <w:uiPriority w:val="9"/>
    <w:rPr>
      <w:rFonts w:ascii="Times New Roman" w:hAnsi="Times New Roman" w:eastAsia="宋体"/>
      <w:b/>
      <w:bCs/>
      <w:sz w:val="28"/>
      <w:szCs w:val="32"/>
    </w:rPr>
  </w:style>
  <w:style w:type="character" w:customStyle="1" w:styleId="38">
    <w:name w:val="标题 4 Char"/>
    <w:basedOn w:val="27"/>
    <w:link w:val="5"/>
    <w:uiPriority w:val="9"/>
    <w:rPr>
      <w:rFonts w:ascii="Times New Roman" w:hAnsi="Times New Roman" w:eastAsia="宋体" w:cstheme="majorBidi"/>
      <w:b/>
      <w:bCs/>
      <w:sz w:val="24"/>
      <w:szCs w:val="28"/>
    </w:rPr>
  </w:style>
  <w:style w:type="character" w:customStyle="1" w:styleId="39">
    <w:name w:val="标题 5 Char"/>
    <w:basedOn w:val="27"/>
    <w:link w:val="6"/>
    <w:uiPriority w:val="9"/>
    <w:rPr>
      <w:rFonts w:ascii="Times New Roman" w:hAnsi="Times New Roman" w:eastAsia="宋体"/>
      <w:b/>
      <w:bCs/>
      <w:sz w:val="24"/>
      <w:szCs w:val="28"/>
    </w:rPr>
  </w:style>
  <w:style w:type="paragraph" w:customStyle="1" w:styleId="40">
    <w:name w:val="环评正文"/>
    <w:basedOn w:val="1"/>
    <w:link w:val="41"/>
    <w:qFormat/>
    <w:uiPriority w:val="0"/>
    <w:pPr>
      <w:spacing w:line="360" w:lineRule="auto"/>
      <w:ind w:firstLine="200" w:firstLineChars="200"/>
    </w:pPr>
    <w:rPr>
      <w:rFonts w:ascii="Times New Roman" w:hAnsi="Times New Roman" w:eastAsia="宋体"/>
      <w:sz w:val="24"/>
    </w:rPr>
  </w:style>
  <w:style w:type="character" w:customStyle="1" w:styleId="41">
    <w:name w:val="环评正文 Char"/>
    <w:basedOn w:val="27"/>
    <w:link w:val="40"/>
    <w:uiPriority w:val="0"/>
    <w:rPr>
      <w:rFonts w:ascii="Times New Roman" w:hAnsi="Times New Roman" w:eastAsia="宋体"/>
      <w:sz w:val="24"/>
    </w:rPr>
  </w:style>
  <w:style w:type="paragraph" w:customStyle="1" w:styleId="42">
    <w:name w:val="reader-word-layer"/>
    <w:basedOn w:val="1"/>
    <w:uiPriority w:val="0"/>
    <w:pPr>
      <w:widowControl/>
      <w:adjustRightInd w:val="0"/>
      <w:snapToGrid w:val="0"/>
      <w:spacing w:before="100" w:beforeAutospacing="1" w:after="100" w:afterAutospacing="1" w:line="360" w:lineRule="auto"/>
      <w:ind w:firstLine="200" w:firstLineChars="200"/>
      <w:jc w:val="left"/>
    </w:pPr>
    <w:rPr>
      <w:rFonts w:ascii="宋体" w:hAnsi="宋体" w:eastAsia="宋体" w:cs="宋体"/>
      <w:kern w:val="0"/>
      <w:sz w:val="24"/>
    </w:rPr>
  </w:style>
  <w:style w:type="paragraph" w:customStyle="1" w:styleId="43">
    <w:name w:val="报告表格"/>
    <w:basedOn w:val="1"/>
    <w:qFormat/>
    <w:uiPriority w:val="0"/>
    <w:pPr>
      <w:widowControl/>
      <w:autoSpaceDE w:val="0"/>
      <w:autoSpaceDN w:val="0"/>
      <w:adjustRightInd w:val="0"/>
      <w:snapToGrid w:val="0"/>
      <w:jc w:val="center"/>
      <w:textAlignment w:val="bottom"/>
    </w:pPr>
    <w:rPr>
      <w:rFonts w:ascii="Times New Roman" w:hAnsi="Times New Roman" w:eastAsia="宋体" w:cs="Times New Roman"/>
      <w:kern w:val="0"/>
      <w:szCs w:val="20"/>
    </w:rPr>
  </w:style>
  <w:style w:type="paragraph" w:customStyle="1" w:styleId="44">
    <w:name w:val="表头2"/>
    <w:basedOn w:val="1"/>
    <w:link w:val="45"/>
    <w:qFormat/>
    <w:uiPriority w:val="0"/>
    <w:pPr>
      <w:adjustRightInd w:val="0"/>
      <w:snapToGrid w:val="0"/>
      <w:jc w:val="center"/>
    </w:pPr>
    <w:rPr>
      <w:rFonts w:ascii="Times New Roman" w:hAnsi="宋体" w:eastAsia="宋体" w:cs="Times New Roman"/>
      <w:b/>
      <w:szCs w:val="24"/>
    </w:rPr>
  </w:style>
  <w:style w:type="character" w:customStyle="1" w:styleId="45">
    <w:name w:val="表头2 Char"/>
    <w:link w:val="44"/>
    <w:uiPriority w:val="0"/>
    <w:rPr>
      <w:rFonts w:ascii="Times New Roman" w:hAnsi="宋体" w:eastAsia="宋体" w:cs="Times New Roman"/>
      <w:b/>
      <w:szCs w:val="24"/>
    </w:rPr>
  </w:style>
  <w:style w:type="character" w:customStyle="1" w:styleId="46">
    <w:name w:val="表格内容 Char"/>
    <w:basedOn w:val="27"/>
    <w:link w:val="47"/>
    <w:qFormat/>
    <w:uiPriority w:val="0"/>
    <w:rPr>
      <w:rFonts w:ascii="Times New Roman" w:hAnsi="宋体" w:eastAsia="宋体" w:cs="Times New Roman"/>
      <w:kern w:val="0"/>
      <w:szCs w:val="20"/>
    </w:rPr>
  </w:style>
  <w:style w:type="paragraph" w:customStyle="1" w:styleId="47">
    <w:name w:val="表格内容"/>
    <w:basedOn w:val="1"/>
    <w:link w:val="46"/>
    <w:qFormat/>
    <w:uiPriority w:val="0"/>
    <w:pPr>
      <w:tabs>
        <w:tab w:val="left" w:pos="2340"/>
      </w:tabs>
      <w:snapToGrid w:val="0"/>
      <w:jc w:val="center"/>
    </w:pPr>
    <w:rPr>
      <w:rFonts w:ascii="Times New Roman" w:hAnsi="宋体" w:eastAsia="宋体" w:cs="Times New Roman"/>
      <w:kern w:val="0"/>
      <w:szCs w:val="20"/>
    </w:rPr>
  </w:style>
  <w:style w:type="table" w:customStyle="1" w:styleId="48">
    <w:name w:val="网格型1"/>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49">
    <w:name w:val="No Spacing"/>
    <w:qFormat/>
    <w:uiPriority w:val="0"/>
    <w:pPr>
      <w:widowControl w:val="0"/>
      <w:adjustRightInd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table" w:customStyle="1" w:styleId="50">
    <w:name w:val="网格型2"/>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51">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table" w:customStyle="1" w:styleId="52">
    <w:name w:val="网格型3"/>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53">
    <w:name w:val="批注框文本 Char"/>
    <w:basedOn w:val="27"/>
    <w:link w:val="13"/>
    <w:semiHidden/>
    <w:uiPriority w:val="99"/>
    <w:rPr>
      <w:sz w:val="18"/>
      <w:szCs w:val="18"/>
    </w:rPr>
  </w:style>
  <w:style w:type="character" w:customStyle="1" w:styleId="54">
    <w:name w:val="正文文本 (5)_"/>
    <w:link w:val="55"/>
    <w:qFormat/>
    <w:locked/>
    <w:uiPriority w:val="0"/>
    <w:rPr>
      <w:rFonts w:ascii="MS Mincho" w:hAnsi="MS Mincho" w:eastAsia="MS Mincho" w:cs="MS Mincho"/>
      <w:spacing w:val="-10"/>
      <w:shd w:val="clear" w:color="auto" w:fill="FFFFFF"/>
    </w:rPr>
  </w:style>
  <w:style w:type="paragraph" w:customStyle="1" w:styleId="55">
    <w:name w:val="正文文本 (5)"/>
    <w:basedOn w:val="1"/>
    <w:link w:val="54"/>
    <w:qFormat/>
    <w:uiPriority w:val="0"/>
    <w:pPr>
      <w:shd w:val="clear" w:color="auto" w:fill="FFFFFF"/>
      <w:spacing w:line="480" w:lineRule="exact"/>
      <w:jc w:val="left"/>
    </w:pPr>
    <w:rPr>
      <w:rFonts w:ascii="MS Mincho" w:hAnsi="MS Mincho" w:eastAsia="MS Mincho" w:cs="MS Mincho"/>
      <w:spacing w:val="-10"/>
    </w:rPr>
  </w:style>
  <w:style w:type="paragraph" w:customStyle="1" w:styleId="56">
    <w:name w:val="表格标题"/>
    <w:basedOn w:val="24"/>
    <w:link w:val="57"/>
    <w:qFormat/>
    <w:uiPriority w:val="0"/>
    <w:pPr>
      <w:adjustRightInd w:val="0"/>
      <w:snapToGrid w:val="0"/>
      <w:spacing w:after="0"/>
      <w:ind w:firstLine="0"/>
      <w:jc w:val="center"/>
    </w:pPr>
    <w:rPr>
      <w:rFonts w:ascii="Times New Roman" w:hAnsi="Times New Roman" w:eastAsia="宋体" w:cs="Times New Roman"/>
      <w:b/>
      <w:kern w:val="0"/>
      <w:szCs w:val="20"/>
      <w:lang w:val="zh-CN" w:eastAsia="zh-CN"/>
    </w:rPr>
  </w:style>
  <w:style w:type="character" w:customStyle="1" w:styleId="57">
    <w:name w:val="表格标题 Char Char"/>
    <w:link w:val="56"/>
    <w:uiPriority w:val="0"/>
    <w:rPr>
      <w:rFonts w:ascii="Times New Roman" w:hAnsi="Times New Roman" w:eastAsia="宋体" w:cs="Times New Roman"/>
      <w:b/>
      <w:kern w:val="0"/>
      <w:szCs w:val="20"/>
      <w:lang w:val="zh-CN" w:eastAsia="zh-CN"/>
    </w:rPr>
  </w:style>
  <w:style w:type="character" w:customStyle="1" w:styleId="58">
    <w:name w:val="正文文本 Char"/>
    <w:basedOn w:val="27"/>
    <w:link w:val="9"/>
    <w:semiHidden/>
    <w:uiPriority w:val="99"/>
  </w:style>
  <w:style w:type="character" w:customStyle="1" w:styleId="59">
    <w:name w:val="正文首行缩进 Char"/>
    <w:basedOn w:val="58"/>
    <w:link w:val="24"/>
    <w:semiHidden/>
    <w:uiPriority w:val="99"/>
  </w:style>
  <w:style w:type="character" w:customStyle="1" w:styleId="60">
    <w:name w:val="!BG_正文 Char Char"/>
    <w:link w:val="61"/>
    <w:qFormat/>
    <w:locked/>
    <w:uiPriority w:val="0"/>
  </w:style>
  <w:style w:type="paragraph" w:customStyle="1" w:styleId="61">
    <w:name w:val="!BG_正文"/>
    <w:basedOn w:val="1"/>
    <w:link w:val="60"/>
    <w:qFormat/>
    <w:uiPriority w:val="0"/>
    <w:pPr>
      <w:widowControl/>
      <w:tabs>
        <w:tab w:val="left" w:pos="360"/>
        <w:tab w:val="left" w:pos="540"/>
      </w:tabs>
      <w:adjustRightInd w:val="0"/>
      <w:snapToGrid w:val="0"/>
      <w:spacing w:line="360" w:lineRule="auto"/>
      <w:ind w:firstLine="200" w:firstLineChars="200"/>
    </w:pPr>
  </w:style>
  <w:style w:type="character" w:customStyle="1" w:styleId="62">
    <w:name w:val="页眉 Char1"/>
    <w:basedOn w:val="27"/>
    <w:uiPriority w:val="99"/>
    <w:rPr>
      <w:sz w:val="18"/>
      <w:szCs w:val="18"/>
    </w:rPr>
  </w:style>
  <w:style w:type="character" w:customStyle="1" w:styleId="63">
    <w:name w:val="正文格式 Char Char"/>
    <w:link w:val="64"/>
    <w:qFormat/>
    <w:locked/>
    <w:uiPriority w:val="0"/>
    <w:rPr>
      <w:rFonts w:ascii="宋体" w:hAnsi="宋体" w:eastAsia="宋体"/>
      <w:color w:val="000000"/>
      <w:w w:val="110"/>
      <w:sz w:val="24"/>
      <w:szCs w:val="24"/>
    </w:rPr>
  </w:style>
  <w:style w:type="paragraph" w:customStyle="1" w:styleId="64">
    <w:name w:val="正文格式"/>
    <w:basedOn w:val="1"/>
    <w:next w:val="1"/>
    <w:link w:val="63"/>
    <w:qFormat/>
    <w:uiPriority w:val="0"/>
    <w:pPr>
      <w:spacing w:line="360" w:lineRule="auto"/>
      <w:ind w:firstLine="200" w:firstLineChars="200"/>
    </w:pPr>
    <w:rPr>
      <w:rFonts w:ascii="宋体" w:hAnsi="宋体" w:eastAsia="宋体"/>
      <w:color w:val="000000"/>
      <w:w w:val="110"/>
      <w:sz w:val="24"/>
      <w:szCs w:val="24"/>
    </w:rPr>
  </w:style>
  <w:style w:type="table" w:customStyle="1" w:styleId="65">
    <w:name w:val="网格型4"/>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6">
    <w:name w:val="网格型5"/>
    <w:basedOn w:val="25"/>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67">
    <w:name w:val="网格型6"/>
    <w:basedOn w:val="2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68">
    <w:name w:val="0正文"/>
    <w:basedOn w:val="1"/>
    <w:next w:val="1"/>
    <w:link w:val="69"/>
    <w:qFormat/>
    <w:uiPriority w:val="0"/>
    <w:pPr>
      <w:spacing w:line="360" w:lineRule="auto"/>
      <w:ind w:firstLine="200" w:firstLineChars="200"/>
      <w:jc w:val="left"/>
    </w:pPr>
    <w:rPr>
      <w:rFonts w:ascii="Times New Roman" w:hAnsi="Times New Roman" w:eastAsia="宋体" w:cs="宋体"/>
      <w:kern w:val="0"/>
      <w:sz w:val="24"/>
      <w:szCs w:val="20"/>
    </w:rPr>
  </w:style>
  <w:style w:type="character" w:customStyle="1" w:styleId="69">
    <w:name w:val="0正文 Char"/>
    <w:link w:val="68"/>
    <w:uiPriority w:val="0"/>
    <w:rPr>
      <w:rFonts w:ascii="Times New Roman" w:hAnsi="Times New Roman" w:eastAsia="宋体" w:cs="宋体"/>
      <w:kern w:val="0"/>
      <w:sz w:val="24"/>
      <w:szCs w:val="20"/>
    </w:rPr>
  </w:style>
  <w:style w:type="paragraph" w:customStyle="1" w:styleId="70">
    <w:name w:val="Char5"/>
    <w:basedOn w:val="1"/>
    <w:qFormat/>
    <w:uiPriority w:val="0"/>
    <w:pPr>
      <w:widowControl/>
      <w:adjustRightInd w:val="0"/>
      <w:snapToGrid w:val="0"/>
      <w:spacing w:line="360" w:lineRule="auto"/>
      <w:ind w:firstLine="200" w:firstLineChars="200"/>
    </w:pPr>
    <w:rPr>
      <w:rFonts w:ascii="Times New Roman" w:hAnsi="Times New Roman" w:eastAsia="宋体" w:cs="Times New Roman"/>
      <w:kern w:val="0"/>
      <w:sz w:val="24"/>
    </w:rPr>
  </w:style>
  <w:style w:type="paragraph" w:customStyle="1" w:styleId="71">
    <w:name w:val="正文 二院"/>
    <w:basedOn w:val="1"/>
    <w:qFormat/>
    <w:uiPriority w:val="0"/>
    <w:pPr>
      <w:spacing w:line="360" w:lineRule="auto"/>
      <w:ind w:firstLine="200" w:firstLineChars="200"/>
    </w:pPr>
    <w:rPr>
      <w:rFonts w:ascii="Times New Roman" w:hAnsi="Times New Roman" w:eastAsia="宋体" w:cs="Times New Roman"/>
      <w:color w:val="000000"/>
      <w:sz w:val="24"/>
    </w:rPr>
  </w:style>
  <w:style w:type="paragraph" w:customStyle="1" w:styleId="72">
    <w:name w:val="TOC Heading"/>
    <w:basedOn w:val="2"/>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3">
    <w:name w:val="Char Char Char Char Char Char Char Char Char Char Char Char Char Char Char Char Char Char"/>
    <w:basedOn w:val="1"/>
    <w:qFormat/>
    <w:uiPriority w:val="0"/>
    <w:pPr>
      <w:spacing w:line="360" w:lineRule="auto"/>
      <w:jc w:val="left"/>
    </w:pPr>
    <w:rPr>
      <w:rFonts w:ascii="Arial" w:hAnsi="Times New Roman" w:eastAsia="楷体_GB2312" w:cs="Times New Roman"/>
      <w:spacing w:val="-6"/>
      <w:kern w:val="0"/>
      <w:sz w:val="28"/>
      <w:szCs w:val="20"/>
    </w:rPr>
  </w:style>
  <w:style w:type="character" w:customStyle="1" w:styleId="74">
    <w:name w:val="标题 Char"/>
    <w:basedOn w:val="27"/>
    <w:link w:val="22"/>
    <w:uiPriority w:val="0"/>
    <w:rPr>
      <w:rFonts w:ascii="Times New Roman" w:hAnsi="Times New Roman" w:eastAsia="宋体" w:cstheme="majorBidi"/>
      <w:b/>
      <w:bCs/>
      <w:sz w:val="24"/>
      <w:szCs w:val="32"/>
    </w:rPr>
  </w:style>
  <w:style w:type="character" w:customStyle="1" w:styleId="75">
    <w:name w:val="副标题 Char"/>
    <w:basedOn w:val="27"/>
    <w:link w:val="18"/>
    <w:uiPriority w:val="11"/>
    <w:rPr>
      <w:rFonts w:ascii="Times New Roman" w:hAnsi="Times New Roman" w:eastAsia="宋体" w:cstheme="majorBidi"/>
      <w:bCs/>
      <w:kern w:val="28"/>
      <w:szCs w:val="32"/>
    </w:rPr>
  </w:style>
  <w:style w:type="paragraph" w:customStyle="1" w:styleId="76">
    <w:name w:val="正文，文本"/>
    <w:basedOn w:val="1"/>
    <w:uiPriority w:val="0"/>
    <w:pPr>
      <w:widowControl/>
      <w:spacing w:line="360" w:lineRule="auto"/>
      <w:ind w:firstLine="480" w:firstLineChars="200"/>
      <w:jc w:val="left"/>
    </w:pPr>
    <w:rPr>
      <w:rFonts w:ascii="宋体" w:hAnsi="宋体" w:eastAsia="宋体" w:cs="宋体"/>
      <w:kern w:val="0"/>
      <w:sz w:val="24"/>
      <w:szCs w:val="20"/>
    </w:rPr>
  </w:style>
  <w:style w:type="table" w:customStyle="1" w:styleId="77">
    <w:name w:val="网格型7"/>
    <w:basedOn w:val="2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78">
    <w:name w:val="表格文字"/>
    <w:basedOn w:val="1"/>
    <w:next w:val="1"/>
    <w:link w:val="91"/>
    <w:qFormat/>
    <w:uiPriority w:val="0"/>
    <w:pPr>
      <w:adjustRightInd w:val="0"/>
      <w:snapToGrid w:val="0"/>
      <w:jc w:val="center"/>
    </w:pPr>
    <w:rPr>
      <w:rFonts w:ascii="Times New Roman" w:hAnsi="Times New Roman" w:eastAsia="宋体" w:cs="Times New Roman"/>
      <w:szCs w:val="20"/>
    </w:rPr>
  </w:style>
  <w:style w:type="paragraph" w:customStyle="1" w:styleId="79">
    <w:name w:val="Char Char Char Char Char Char Char Char Char Char Char Char Char Char Char Char Char Char1"/>
    <w:basedOn w:val="1"/>
    <w:qFormat/>
    <w:uiPriority w:val="0"/>
    <w:pPr>
      <w:spacing w:line="360" w:lineRule="auto"/>
      <w:jc w:val="left"/>
    </w:pPr>
    <w:rPr>
      <w:rFonts w:ascii="Arial" w:hAnsi="Times New Roman" w:eastAsia="楷体_GB2312" w:cs="Times New Roman"/>
      <w:spacing w:val="-6"/>
      <w:kern w:val="0"/>
      <w:sz w:val="28"/>
      <w:szCs w:val="20"/>
    </w:rPr>
  </w:style>
  <w:style w:type="character" w:customStyle="1" w:styleId="80">
    <w:name w:val="正文格式 Char"/>
    <w:uiPriority w:val="0"/>
    <w:rPr>
      <w:rFonts w:ascii="Times New Roman" w:hAnsi="宋体" w:cs="宋体"/>
      <w:sz w:val="24"/>
      <w:lang w:val="en-US" w:eastAsia="zh-CN"/>
    </w:rPr>
  </w:style>
  <w:style w:type="table" w:customStyle="1" w:styleId="81">
    <w:name w:val="网格型8"/>
    <w:basedOn w:val="2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2">
    <w:name w:val="网格型9"/>
    <w:basedOn w:val="2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83">
    <w:name w:val="网格型10"/>
    <w:basedOn w:val="2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4">
    <w:name w:val="样式 正文 行距: 固定值 25 磅 Char Char"/>
    <w:link w:val="85"/>
    <w:uiPriority w:val="0"/>
    <w:rPr>
      <w:rFonts w:ascii="宋体" w:hAnsi="宋体" w:cs="宋体"/>
      <w:sz w:val="24"/>
      <w:szCs w:val="24"/>
    </w:rPr>
  </w:style>
  <w:style w:type="paragraph" w:customStyle="1" w:styleId="85">
    <w:name w:val="样式 正文 行距: 固定值 25 磅"/>
    <w:basedOn w:val="1"/>
    <w:link w:val="84"/>
    <w:uiPriority w:val="0"/>
    <w:pPr>
      <w:adjustRightInd w:val="0"/>
      <w:spacing w:line="500" w:lineRule="exact"/>
      <w:ind w:firstLine="200" w:firstLineChars="200"/>
    </w:pPr>
    <w:rPr>
      <w:rFonts w:ascii="宋体" w:hAnsi="宋体" w:cs="宋体"/>
      <w:sz w:val="24"/>
      <w:szCs w:val="24"/>
    </w:rPr>
  </w:style>
  <w:style w:type="table" w:customStyle="1" w:styleId="86">
    <w:name w:val="网格型11"/>
    <w:basedOn w:val="25"/>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7">
    <w:name w:val="表题、图题"/>
    <w:basedOn w:val="1"/>
    <w:next w:val="1"/>
    <w:qFormat/>
    <w:uiPriority w:val="0"/>
    <w:pPr>
      <w:adjustRightInd w:val="0"/>
      <w:spacing w:line="360" w:lineRule="auto"/>
      <w:jc w:val="center"/>
      <w:textAlignment w:val="baseline"/>
    </w:pPr>
    <w:rPr>
      <w:rFonts w:ascii="Times New Roman" w:hAnsi="Times New Roman" w:eastAsia="宋体" w:cs="Times New Roman"/>
      <w:b/>
      <w:kern w:val="0"/>
      <w:sz w:val="24"/>
      <w:szCs w:val="20"/>
    </w:rPr>
  </w:style>
  <w:style w:type="paragraph" w:customStyle="1" w:styleId="88">
    <w:name w:val="表格正文111"/>
    <w:basedOn w:val="87"/>
    <w:qFormat/>
    <w:uiPriority w:val="0"/>
    <w:pPr>
      <w:snapToGrid w:val="0"/>
      <w:spacing w:line="240" w:lineRule="auto"/>
    </w:pPr>
    <w:rPr>
      <w:b w:val="0"/>
      <w:sz w:val="21"/>
    </w:rPr>
  </w:style>
  <w:style w:type="character" w:customStyle="1" w:styleId="89">
    <w:name w:val="批注文字 Char"/>
    <w:basedOn w:val="27"/>
    <w:link w:val="8"/>
    <w:semiHidden/>
    <w:uiPriority w:val="99"/>
  </w:style>
  <w:style w:type="character" w:customStyle="1" w:styleId="90">
    <w:name w:val="批注主题 Char"/>
    <w:basedOn w:val="89"/>
    <w:link w:val="23"/>
    <w:semiHidden/>
    <w:uiPriority w:val="99"/>
    <w:rPr>
      <w:b/>
      <w:bCs/>
    </w:rPr>
  </w:style>
  <w:style w:type="character" w:customStyle="1" w:styleId="91">
    <w:name w:val="表格文字 Char"/>
    <w:link w:val="78"/>
    <w:uiPriority w:val="0"/>
    <w:rPr>
      <w:rFonts w:ascii="Times New Roman" w:hAnsi="Times New Roman" w:eastAsia="宋体" w:cs="Times New Roman"/>
      <w:szCs w:val="20"/>
    </w:rPr>
  </w:style>
  <w:style w:type="paragraph" w:customStyle="1" w:styleId="92">
    <w:name w:val="Char Char Char Char Char Char Char Char Char Char Char Char Char Char Char Char Char Char2"/>
    <w:basedOn w:val="1"/>
    <w:qFormat/>
    <w:uiPriority w:val="0"/>
    <w:pPr>
      <w:spacing w:line="360" w:lineRule="auto"/>
      <w:jc w:val="left"/>
    </w:pPr>
    <w:rPr>
      <w:rFonts w:ascii="Arial" w:hAnsi="Times New Roman" w:eastAsia="楷体_GB2312" w:cs="Times New Roman"/>
      <w:spacing w:val="-6"/>
      <w:kern w:val="0"/>
      <w:sz w:val="28"/>
      <w:szCs w:val="20"/>
    </w:rPr>
  </w:style>
  <w:style w:type="paragraph" w:customStyle="1" w:styleId="93">
    <w:name w:val="小标题"/>
    <w:basedOn w:val="1"/>
    <w:uiPriority w:val="0"/>
    <w:pPr>
      <w:autoSpaceDE w:val="0"/>
      <w:autoSpaceDN w:val="0"/>
      <w:adjustRightInd w:val="0"/>
      <w:spacing w:before="120" w:after="120" w:line="400" w:lineRule="atLeast"/>
      <w:ind w:firstLine="482" w:firstLineChars="200"/>
      <w:textAlignment w:val="baseline"/>
    </w:pPr>
    <w:rPr>
      <w:rFonts w:ascii="宋体" w:hAnsi="Tms Rmn" w:eastAsia="宋体" w:cs="Times New Roman"/>
      <w:b/>
      <w:bCs/>
      <w:kern w:val="0"/>
      <w:sz w:val="24"/>
      <w:szCs w:val="20"/>
      <w:u w:val="single"/>
    </w:rPr>
  </w:style>
  <w:style w:type="paragraph" w:customStyle="1" w:styleId="94">
    <w:name w:val="p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5">
    <w:name w:val="Char Char Char Char Char Char Char Char Char Char Char Char Char Char Char Char Char Char3"/>
    <w:basedOn w:val="1"/>
    <w:qFormat/>
    <w:uiPriority w:val="0"/>
    <w:pPr>
      <w:spacing w:line="360" w:lineRule="auto"/>
      <w:jc w:val="left"/>
    </w:pPr>
    <w:rPr>
      <w:rFonts w:ascii="Arial" w:hAnsi="Times New Roman" w:eastAsia="楷体_GB2312" w:cs="Times New Roman"/>
      <w:spacing w:val="-6"/>
      <w:kern w:val="0"/>
      <w:sz w:val="28"/>
      <w:szCs w:val="20"/>
    </w:rPr>
  </w:style>
  <w:style w:type="paragraph" w:customStyle="1" w:styleId="96">
    <w:name w:val="Char Char Char Char Char Char Char Char Char Char Char Char Char Char Char Char Char Char4"/>
    <w:basedOn w:val="1"/>
    <w:qFormat/>
    <w:uiPriority w:val="0"/>
    <w:pPr>
      <w:spacing w:line="360" w:lineRule="auto"/>
      <w:jc w:val="left"/>
    </w:pPr>
    <w:rPr>
      <w:rFonts w:ascii="Arial" w:hAnsi="Times New Roman" w:eastAsia="楷体_GB2312" w:cs="Times New Roman"/>
      <w:spacing w:val="-6"/>
      <w:kern w:val="0"/>
      <w:sz w:val="28"/>
      <w:szCs w:val="20"/>
    </w:rPr>
  </w:style>
  <w:style w:type="paragraph" w:customStyle="1" w:styleId="97">
    <w:name w:val="Table Paragraph"/>
    <w:basedOn w:val="1"/>
    <w:qFormat/>
    <w:uiPriority w:val="1"/>
    <w:pPr>
      <w:spacing w:line="360" w:lineRule="auto"/>
      <w:jc w:val="center"/>
    </w:pPr>
    <w:rPr>
      <w:rFonts w:ascii="宋体" w:hAnsi="宋体" w:eastAsia="宋体" w:cs="宋体"/>
      <w:spacing w:val="-6"/>
      <w:kern w:val="0"/>
      <w:sz w:val="28"/>
      <w:szCs w:val="20"/>
      <w:lang w:val="zh-CN" w:bidi="zh-CN"/>
    </w:rPr>
  </w:style>
  <w:style w:type="paragraph" w:customStyle="1" w:styleId="98">
    <w:name w:val="样式1"/>
    <w:basedOn w:val="15"/>
    <w:qFormat/>
    <w:uiPriority w:val="0"/>
    <w:pPr>
      <w:pBdr>
        <w:bottom w:val="none" w:color="auto" w:sz="0" w:space="0"/>
      </w:pBdr>
      <w:spacing w:line="360" w:lineRule="auto"/>
      <w:jc w:val="left"/>
    </w:pPr>
    <w:rPr>
      <w:rFonts w:ascii="Times New Roman" w:hAnsi="Times New Roman" w:eastAsia="宋体" w:cs="Times New Roman"/>
      <w:sz w:val="21"/>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6.bin"/><Relationship Id="rId98" Type="http://schemas.openxmlformats.org/officeDocument/2006/relationships/image" Target="media/image15.wmf"/><Relationship Id="rId97" Type="http://schemas.openxmlformats.org/officeDocument/2006/relationships/oleObject" Target="embeddings/oleObject15.bin"/><Relationship Id="rId96" Type="http://schemas.openxmlformats.org/officeDocument/2006/relationships/image" Target="media/image14.wmf"/><Relationship Id="rId95" Type="http://schemas.openxmlformats.org/officeDocument/2006/relationships/oleObject" Target="embeddings/oleObject14.bin"/><Relationship Id="rId94" Type="http://schemas.openxmlformats.org/officeDocument/2006/relationships/image" Target="media/image13.wmf"/><Relationship Id="rId93" Type="http://schemas.openxmlformats.org/officeDocument/2006/relationships/oleObject" Target="embeddings/oleObject13.bin"/><Relationship Id="rId92" Type="http://schemas.openxmlformats.org/officeDocument/2006/relationships/image" Target="media/image12.wmf"/><Relationship Id="rId91" Type="http://schemas.openxmlformats.org/officeDocument/2006/relationships/oleObject" Target="embeddings/oleObject12.bin"/><Relationship Id="rId90" Type="http://schemas.openxmlformats.org/officeDocument/2006/relationships/image" Target="media/image11.wmf"/><Relationship Id="rId9" Type="http://schemas.openxmlformats.org/officeDocument/2006/relationships/footer" Target="footer4.xml"/><Relationship Id="rId89" Type="http://schemas.openxmlformats.org/officeDocument/2006/relationships/oleObject" Target="embeddings/oleObject11.bin"/><Relationship Id="rId88" Type="http://schemas.openxmlformats.org/officeDocument/2006/relationships/image" Target="media/image10.emf"/><Relationship Id="rId87" Type="http://schemas.openxmlformats.org/officeDocument/2006/relationships/oleObject" Target="embeddings/oleObject10.bin"/><Relationship Id="rId86" Type="http://schemas.openxmlformats.org/officeDocument/2006/relationships/image" Target="media/image9.wmf"/><Relationship Id="rId85" Type="http://schemas.openxmlformats.org/officeDocument/2006/relationships/oleObject" Target="embeddings/oleObject9.bin"/><Relationship Id="rId84" Type="http://schemas.openxmlformats.org/officeDocument/2006/relationships/image" Target="media/image8.wmf"/><Relationship Id="rId83" Type="http://schemas.openxmlformats.org/officeDocument/2006/relationships/oleObject" Target="embeddings/oleObject8.bin"/><Relationship Id="rId82" Type="http://schemas.openxmlformats.org/officeDocument/2006/relationships/image" Target="media/image7.wmf"/><Relationship Id="rId81" Type="http://schemas.openxmlformats.org/officeDocument/2006/relationships/oleObject" Target="embeddings/oleObject7.bin"/><Relationship Id="rId80" Type="http://schemas.openxmlformats.org/officeDocument/2006/relationships/image" Target="media/image6.wmf"/><Relationship Id="rId8" Type="http://schemas.openxmlformats.org/officeDocument/2006/relationships/footer" Target="footer3.xml"/><Relationship Id="rId79" Type="http://schemas.openxmlformats.org/officeDocument/2006/relationships/oleObject" Target="embeddings/oleObject6.bin"/><Relationship Id="rId78" Type="http://schemas.openxmlformats.org/officeDocument/2006/relationships/image" Target="media/image5.wmf"/><Relationship Id="rId77" Type="http://schemas.openxmlformats.org/officeDocument/2006/relationships/oleObject" Target="embeddings/oleObject5.bin"/><Relationship Id="rId76" Type="http://schemas.openxmlformats.org/officeDocument/2006/relationships/image" Target="media/image4.emf"/><Relationship Id="rId75" Type="http://schemas.openxmlformats.org/officeDocument/2006/relationships/oleObject" Target="embeddings/oleObject4.bin"/><Relationship Id="rId74" Type="http://schemas.openxmlformats.org/officeDocument/2006/relationships/image" Target="media/image3.emf"/><Relationship Id="rId73" Type="http://schemas.openxmlformats.org/officeDocument/2006/relationships/oleObject" Target="embeddings/oleObject3.bin"/><Relationship Id="rId72" Type="http://schemas.openxmlformats.org/officeDocument/2006/relationships/image" Target="media/image2.emf"/><Relationship Id="rId71" Type="http://schemas.openxmlformats.org/officeDocument/2006/relationships/oleObject" Target="embeddings/oleObject2.bin"/><Relationship Id="rId70" Type="http://schemas.openxmlformats.org/officeDocument/2006/relationships/image" Target="media/image1.emf"/><Relationship Id="rId7" Type="http://schemas.openxmlformats.org/officeDocument/2006/relationships/footer" Target="footer2.xml"/><Relationship Id="rId69" Type="http://schemas.openxmlformats.org/officeDocument/2006/relationships/oleObject" Target="embeddings/oleObject1.bin"/><Relationship Id="rId68" Type="http://schemas.openxmlformats.org/officeDocument/2006/relationships/theme" Target="theme/theme1.xml"/><Relationship Id="rId67" Type="http://schemas.openxmlformats.org/officeDocument/2006/relationships/header" Target="header55.xml"/><Relationship Id="rId66" Type="http://schemas.openxmlformats.org/officeDocument/2006/relationships/header" Target="header54.xml"/><Relationship Id="rId65" Type="http://schemas.openxmlformats.org/officeDocument/2006/relationships/header" Target="header53.xml"/><Relationship Id="rId64" Type="http://schemas.openxmlformats.org/officeDocument/2006/relationships/header" Target="header52.xml"/><Relationship Id="rId63" Type="http://schemas.openxmlformats.org/officeDocument/2006/relationships/header" Target="header51.xml"/><Relationship Id="rId62" Type="http://schemas.openxmlformats.org/officeDocument/2006/relationships/header" Target="header50.xml"/><Relationship Id="rId61" Type="http://schemas.openxmlformats.org/officeDocument/2006/relationships/header" Target="header49.xml"/><Relationship Id="rId60" Type="http://schemas.openxmlformats.org/officeDocument/2006/relationships/header" Target="header48.xml"/><Relationship Id="rId6" Type="http://schemas.openxmlformats.org/officeDocument/2006/relationships/footer" Target="footer1.xml"/><Relationship Id="rId59" Type="http://schemas.openxmlformats.org/officeDocument/2006/relationships/header" Target="header47.xml"/><Relationship Id="rId58" Type="http://schemas.openxmlformats.org/officeDocument/2006/relationships/header" Target="header46.xml"/><Relationship Id="rId57" Type="http://schemas.openxmlformats.org/officeDocument/2006/relationships/header" Target="header45.xml"/><Relationship Id="rId56" Type="http://schemas.openxmlformats.org/officeDocument/2006/relationships/header" Target="header44.xml"/><Relationship Id="rId55" Type="http://schemas.openxmlformats.org/officeDocument/2006/relationships/header" Target="header43.xml"/><Relationship Id="rId54" Type="http://schemas.openxmlformats.org/officeDocument/2006/relationships/header" Target="header42.xml"/><Relationship Id="rId53" Type="http://schemas.openxmlformats.org/officeDocument/2006/relationships/header" Target="header41.xml"/><Relationship Id="rId52" Type="http://schemas.openxmlformats.org/officeDocument/2006/relationships/header" Target="header40.xml"/><Relationship Id="rId51" Type="http://schemas.openxmlformats.org/officeDocument/2006/relationships/header" Target="header39.xml"/><Relationship Id="rId50" Type="http://schemas.openxmlformats.org/officeDocument/2006/relationships/header" Target="header38.xml"/><Relationship Id="rId5" Type="http://schemas.openxmlformats.org/officeDocument/2006/relationships/header" Target="header3.xml"/><Relationship Id="rId49" Type="http://schemas.openxmlformats.org/officeDocument/2006/relationships/header" Target="header37.xml"/><Relationship Id="rId48" Type="http://schemas.openxmlformats.org/officeDocument/2006/relationships/header" Target="header36.xml"/><Relationship Id="rId47" Type="http://schemas.openxmlformats.org/officeDocument/2006/relationships/header" Target="header35.xml"/><Relationship Id="rId46" Type="http://schemas.openxmlformats.org/officeDocument/2006/relationships/header" Target="header34.xml"/><Relationship Id="rId45" Type="http://schemas.openxmlformats.org/officeDocument/2006/relationships/header" Target="header33.xml"/><Relationship Id="rId44" Type="http://schemas.openxmlformats.org/officeDocument/2006/relationships/header" Target="header32.xml"/><Relationship Id="rId43" Type="http://schemas.openxmlformats.org/officeDocument/2006/relationships/header" Target="header31.xml"/><Relationship Id="rId42" Type="http://schemas.openxmlformats.org/officeDocument/2006/relationships/header" Target="header30.xml"/><Relationship Id="rId41" Type="http://schemas.openxmlformats.org/officeDocument/2006/relationships/header" Target="header29.xml"/><Relationship Id="rId40" Type="http://schemas.openxmlformats.org/officeDocument/2006/relationships/header" Target="header28.xml"/><Relationship Id="rId4" Type="http://schemas.openxmlformats.org/officeDocument/2006/relationships/header" Target="header2.xml"/><Relationship Id="rId39" Type="http://schemas.openxmlformats.org/officeDocument/2006/relationships/footer" Target="footer10.xml"/><Relationship Id="rId38" Type="http://schemas.openxmlformats.org/officeDocument/2006/relationships/footer" Target="footer9.xml"/><Relationship Id="rId37" Type="http://schemas.openxmlformats.org/officeDocument/2006/relationships/header" Target="header27.xml"/><Relationship Id="rId36" Type="http://schemas.openxmlformats.org/officeDocument/2006/relationships/header" Target="header26.xml"/><Relationship Id="rId35" Type="http://schemas.openxmlformats.org/officeDocument/2006/relationships/header" Target="header25.xml"/><Relationship Id="rId34" Type="http://schemas.openxmlformats.org/officeDocument/2006/relationships/header" Target="header24.xml"/><Relationship Id="rId33" Type="http://schemas.openxmlformats.org/officeDocument/2006/relationships/header" Target="header23.xml"/><Relationship Id="rId32" Type="http://schemas.openxmlformats.org/officeDocument/2006/relationships/header" Target="header22.xml"/><Relationship Id="rId31" Type="http://schemas.openxmlformats.org/officeDocument/2006/relationships/header" Target="header21.xml"/><Relationship Id="rId30" Type="http://schemas.openxmlformats.org/officeDocument/2006/relationships/header" Target="header20.xml"/><Relationship Id="rId3" Type="http://schemas.openxmlformats.org/officeDocument/2006/relationships/header" Target="header1.xml"/><Relationship Id="rId29" Type="http://schemas.openxmlformats.org/officeDocument/2006/relationships/header" Target="header19.xml"/><Relationship Id="rId28" Type="http://schemas.openxmlformats.org/officeDocument/2006/relationships/footer" Target="footer8.xml"/><Relationship Id="rId27" Type="http://schemas.openxmlformats.org/officeDocument/2006/relationships/header" Target="header18.xml"/><Relationship Id="rId26" Type="http://schemas.openxmlformats.org/officeDocument/2006/relationships/header" Target="header17.xml"/><Relationship Id="rId25" Type="http://schemas.openxmlformats.org/officeDocument/2006/relationships/header" Target="header16.xml"/><Relationship Id="rId24" Type="http://schemas.openxmlformats.org/officeDocument/2006/relationships/header" Target="header15.xml"/><Relationship Id="rId23" Type="http://schemas.openxmlformats.org/officeDocument/2006/relationships/header" Target="header14.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1" Type="http://schemas.openxmlformats.org/officeDocument/2006/relationships/fontTable" Target="fontTable.xml"/><Relationship Id="rId120" Type="http://schemas.openxmlformats.org/officeDocument/2006/relationships/customXml" Target="../customXml/item2.xml"/><Relationship Id="rId12" Type="http://schemas.openxmlformats.org/officeDocument/2006/relationships/footer" Target="footer5.xml"/><Relationship Id="rId119" Type="http://schemas.openxmlformats.org/officeDocument/2006/relationships/numbering" Target="numbering.xml"/><Relationship Id="rId118" Type="http://schemas.openxmlformats.org/officeDocument/2006/relationships/customXml" Target="../customXml/item1.xml"/><Relationship Id="rId117" Type="http://schemas.openxmlformats.org/officeDocument/2006/relationships/image" Target="media/image29.jpeg"/><Relationship Id="rId116" Type="http://schemas.openxmlformats.org/officeDocument/2006/relationships/image" Target="media/image28.jpeg"/><Relationship Id="rId115" Type="http://schemas.openxmlformats.org/officeDocument/2006/relationships/image" Target="media/image27.jpeg"/><Relationship Id="rId114" Type="http://schemas.openxmlformats.org/officeDocument/2006/relationships/image" Target="media/image26.jpeg"/><Relationship Id="rId113" Type="http://schemas.openxmlformats.org/officeDocument/2006/relationships/image" Target="media/image25.jpeg"/><Relationship Id="rId112" Type="http://schemas.openxmlformats.org/officeDocument/2006/relationships/image" Target="media/image24.jpeg"/><Relationship Id="rId111" Type="http://schemas.openxmlformats.org/officeDocument/2006/relationships/image" Target="media/image23.jpeg"/><Relationship Id="rId110" Type="http://schemas.openxmlformats.org/officeDocument/2006/relationships/image" Target="media/image22.jpeg"/><Relationship Id="rId11" Type="http://schemas.openxmlformats.org/officeDocument/2006/relationships/header" Target="header5.xml"/><Relationship Id="rId109" Type="http://schemas.openxmlformats.org/officeDocument/2006/relationships/image" Target="media/image21.jpeg"/><Relationship Id="rId108" Type="http://schemas.openxmlformats.org/officeDocument/2006/relationships/image" Target="media/image20.emf"/><Relationship Id="rId107" Type="http://schemas.openxmlformats.org/officeDocument/2006/relationships/oleObject" Target="embeddings/oleObject20.bin"/><Relationship Id="rId106" Type="http://schemas.openxmlformats.org/officeDocument/2006/relationships/image" Target="media/image19.wmf"/><Relationship Id="rId105" Type="http://schemas.openxmlformats.org/officeDocument/2006/relationships/oleObject" Target="embeddings/oleObject19.bin"/><Relationship Id="rId104" Type="http://schemas.openxmlformats.org/officeDocument/2006/relationships/image" Target="media/image18.wmf"/><Relationship Id="rId103" Type="http://schemas.openxmlformats.org/officeDocument/2006/relationships/oleObject" Target="embeddings/oleObject18.bin"/><Relationship Id="rId102" Type="http://schemas.openxmlformats.org/officeDocument/2006/relationships/image" Target="media/image17.wmf"/><Relationship Id="rId101" Type="http://schemas.openxmlformats.org/officeDocument/2006/relationships/oleObject" Target="embeddings/oleObject17.bin"/><Relationship Id="rId100" Type="http://schemas.openxmlformats.org/officeDocument/2006/relationships/image" Target="media/image16.wmf"/><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8A612-FAF6-45A2-B20A-9C017E2695F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133</Pages>
  <Words>15790</Words>
  <Characters>90005</Characters>
  <Lines>750</Lines>
  <Paragraphs>211</Paragraphs>
  <TotalTime>1629</TotalTime>
  <ScaleCrop>false</ScaleCrop>
  <LinksUpToDate>false</LinksUpToDate>
  <CharactersWithSpaces>105584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2022-09-05T02:14:00Z</dcterms:created>
  <dc:creator>lsl</dc:creator>
  <cp:lastModifiedBy>释然惜缘</cp:lastModifiedBy>
  <cp:lastPrinted>2022-09-22T09:32:00Z</cp:lastPrinted>
  <dcterms:modified xsi:type="dcterms:W3CDTF">2023-05-05T01:59:11Z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