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sz w:val="32"/>
          <w:szCs w:val="32"/>
        </w:rPr>
      </w:pPr>
    </w:p>
    <w:p>
      <w:pPr>
        <w:ind w:firstLine="640"/>
        <w:rPr>
          <w:sz w:val="32"/>
          <w:szCs w:val="32"/>
        </w:rPr>
      </w:pPr>
    </w:p>
    <w:p>
      <w:pPr>
        <w:ind w:firstLine="640"/>
        <w:rPr>
          <w:sz w:val="32"/>
          <w:szCs w:val="32"/>
        </w:rPr>
      </w:pPr>
    </w:p>
    <w:p>
      <w:pPr>
        <w:ind w:firstLine="883" w:firstLineChars="0"/>
        <w:jc w:val="center"/>
        <w:rPr>
          <w:b/>
          <w:spacing w:val="-20"/>
          <w:sz w:val="44"/>
          <w:szCs w:val="44"/>
        </w:rPr>
      </w:pPr>
      <w:r>
        <w:rPr>
          <w:rFonts w:hint="eastAsia"/>
          <w:b/>
          <w:spacing w:val="-20"/>
          <w:sz w:val="44"/>
          <w:szCs w:val="44"/>
        </w:rPr>
        <w:t>陕西</w:t>
      </w:r>
      <w:r>
        <w:rPr>
          <w:b/>
          <w:spacing w:val="-20"/>
          <w:sz w:val="44"/>
          <w:szCs w:val="44"/>
        </w:rPr>
        <w:t>宏达坤生物</w:t>
      </w:r>
      <w:r>
        <w:rPr>
          <w:rFonts w:hint="eastAsia"/>
          <w:b/>
          <w:spacing w:val="-20"/>
          <w:sz w:val="44"/>
          <w:szCs w:val="44"/>
        </w:rPr>
        <w:t>科技有限</w:t>
      </w:r>
      <w:r>
        <w:rPr>
          <w:b/>
          <w:spacing w:val="-20"/>
          <w:sz w:val="44"/>
          <w:szCs w:val="44"/>
        </w:rPr>
        <w:t>公司</w:t>
      </w:r>
    </w:p>
    <w:p>
      <w:pPr>
        <w:ind w:firstLine="883" w:firstLineChars="0"/>
        <w:jc w:val="center"/>
        <w:rPr>
          <w:b/>
          <w:spacing w:val="-20"/>
          <w:sz w:val="44"/>
          <w:szCs w:val="44"/>
        </w:rPr>
      </w:pPr>
      <w:r>
        <w:rPr>
          <w:rFonts w:hint="eastAsia"/>
          <w:b/>
          <w:spacing w:val="-20"/>
          <w:sz w:val="44"/>
          <w:szCs w:val="44"/>
        </w:rPr>
        <w:t>黄姜</w:t>
      </w:r>
      <w:r>
        <w:rPr>
          <w:b/>
          <w:spacing w:val="-20"/>
          <w:sz w:val="44"/>
          <w:szCs w:val="44"/>
        </w:rPr>
        <w:t>提取物研究基地项</w:t>
      </w:r>
      <w:r>
        <w:rPr>
          <w:rFonts w:hint="eastAsia"/>
          <w:b/>
          <w:spacing w:val="-20"/>
          <w:sz w:val="44"/>
          <w:szCs w:val="44"/>
        </w:rPr>
        <w:t>目</w:t>
      </w:r>
    </w:p>
    <w:p>
      <w:pPr>
        <w:ind w:firstLine="1687"/>
        <w:rPr>
          <w:b/>
          <w:sz w:val="84"/>
          <w:szCs w:val="84"/>
          <w:lang w:val="zh-CN"/>
        </w:rPr>
      </w:pPr>
      <w:r>
        <w:rPr>
          <w:b/>
          <w:sz w:val="84"/>
          <w:szCs w:val="84"/>
          <w:lang w:val="zh-CN"/>
        </w:rPr>
        <w:t>环境影响报告书</w:t>
      </w:r>
    </w:p>
    <w:p>
      <w:pPr>
        <w:spacing w:line="240" w:lineRule="auto"/>
        <w:ind w:firstLine="880"/>
        <w:jc w:val="center"/>
        <w:rPr>
          <w:rFonts w:ascii="宋体" w:hAnsi="宋体"/>
          <w:spacing w:val="20"/>
          <w:kern w:val="0"/>
          <w:sz w:val="40"/>
          <w:szCs w:val="52"/>
        </w:rPr>
      </w:pPr>
      <w:r>
        <w:rPr>
          <w:rFonts w:hint="eastAsia" w:ascii="宋体" w:hAnsi="宋体"/>
          <w:spacing w:val="20"/>
          <w:kern w:val="0"/>
          <w:sz w:val="40"/>
          <w:szCs w:val="52"/>
        </w:rPr>
        <w:t>（送审稿）</w:t>
      </w: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jc w:val="center"/>
        <w:rPr>
          <w:rFonts w:eastAsia="黑体"/>
          <w:spacing w:val="20"/>
          <w:kern w:val="0"/>
          <w:sz w:val="40"/>
          <w:szCs w:val="52"/>
        </w:rPr>
      </w:pPr>
    </w:p>
    <w:p>
      <w:pPr>
        <w:spacing w:line="700" w:lineRule="exact"/>
        <w:ind w:firstLine="880"/>
        <w:rPr>
          <w:rFonts w:eastAsia="黑体"/>
          <w:spacing w:val="20"/>
          <w:kern w:val="0"/>
          <w:sz w:val="40"/>
          <w:szCs w:val="52"/>
        </w:rPr>
      </w:pPr>
    </w:p>
    <w:p>
      <w:pPr>
        <w:ind w:firstLine="1606" w:firstLineChars="500"/>
        <w:jc w:val="left"/>
        <w:rPr>
          <w:b/>
          <w:sz w:val="32"/>
          <w:lang w:val="zh-CN"/>
        </w:rPr>
      </w:pPr>
      <w:r>
        <w:rPr>
          <w:b/>
          <w:sz w:val="32"/>
          <w:lang w:val="zh-CN"/>
        </w:rPr>
        <w:t>编制单位：西安君润环保科技工程有限公司</w:t>
      </w:r>
    </w:p>
    <w:p>
      <w:pPr>
        <w:ind w:firstLine="1645" w:firstLineChars="512"/>
        <w:rPr>
          <w:b/>
          <w:sz w:val="32"/>
        </w:rPr>
      </w:pPr>
      <w:r>
        <w:rPr>
          <w:b/>
          <w:sz w:val="32"/>
          <w:lang w:val="zh-CN"/>
        </w:rPr>
        <w:t>建设单位：</w:t>
      </w:r>
      <w:r>
        <w:rPr>
          <w:rFonts w:hint="eastAsia"/>
          <w:b/>
          <w:sz w:val="32"/>
        </w:rPr>
        <w:t>陕西</w:t>
      </w:r>
      <w:r>
        <w:rPr>
          <w:b/>
          <w:sz w:val="32"/>
        </w:rPr>
        <w:t>宏达坤生物</w:t>
      </w:r>
      <w:r>
        <w:rPr>
          <w:rFonts w:hint="eastAsia"/>
          <w:b/>
          <w:sz w:val="32"/>
        </w:rPr>
        <w:t>科技有限</w:t>
      </w:r>
      <w:r>
        <w:rPr>
          <w:b/>
          <w:sz w:val="32"/>
        </w:rPr>
        <w:t>公司</w:t>
      </w:r>
    </w:p>
    <w:p>
      <w:pPr>
        <w:widowControl/>
        <w:ind w:firstLine="0" w:firstLineChars="0"/>
        <w:jc w:val="center"/>
        <w:rPr>
          <w:sz w:val="32"/>
          <w:szCs w:val="32"/>
        </w:rPr>
      </w:pPr>
      <w:r>
        <w:rPr>
          <w:sz w:val="32"/>
          <w:szCs w:val="32"/>
        </w:rPr>
        <w:t>二〇</w:t>
      </w:r>
      <w:r>
        <w:rPr>
          <w:rFonts w:hint="eastAsia"/>
          <w:sz w:val="32"/>
          <w:szCs w:val="32"/>
        </w:rPr>
        <w:t>二一年九</w:t>
      </w:r>
      <w:r>
        <w:rPr>
          <w:sz w:val="32"/>
          <w:szCs w:val="32"/>
        </w:rPr>
        <w:t>月</w:t>
      </w:r>
    </w:p>
    <w:p>
      <w:pPr>
        <w:widowControl/>
        <w:ind w:firstLine="0" w:firstLineChars="0"/>
        <w:jc w:val="center"/>
        <w:rPr>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587" w:right="1418" w:bottom="1587" w:left="1418" w:header="567" w:footer="567" w:gutter="0"/>
          <w:cols w:space="720" w:num="1"/>
          <w:docGrid w:type="lines" w:linePitch="333" w:charSpace="0"/>
        </w:sectPr>
      </w:pPr>
    </w:p>
    <w:sdt>
      <w:sdtPr>
        <w:rPr>
          <w:rFonts w:ascii="Times New Roman" w:hAnsi="Times New Roman" w:eastAsia="宋体" w:cs="Times New Roman"/>
          <w:color w:val="auto"/>
          <w:kern w:val="2"/>
          <w:sz w:val="24"/>
          <w:szCs w:val="22"/>
          <w:lang w:val="zh-CN"/>
        </w:rPr>
        <w:id w:val="2069224024"/>
        <w:docPartObj>
          <w:docPartGallery w:val="Table of Contents"/>
          <w:docPartUnique/>
        </w:docPartObj>
      </w:sdtPr>
      <w:sdtEndPr>
        <w:rPr>
          <w:rFonts w:ascii="Times New Roman" w:hAnsi="Times New Roman" w:eastAsia="宋体" w:cs="Times New Roman"/>
          <w:b/>
          <w:bCs/>
          <w:color w:val="auto"/>
          <w:kern w:val="2"/>
          <w:sz w:val="24"/>
          <w:szCs w:val="22"/>
          <w:highlight w:val="yellow"/>
          <w:lang w:val="zh-CN"/>
        </w:rPr>
      </w:sdtEndPr>
      <w:sdtContent>
        <w:p>
          <w:pPr>
            <w:pStyle w:val="108"/>
            <w:ind w:firstLine="480"/>
            <w:jc w:val="center"/>
            <w:rPr>
              <w:color w:val="auto"/>
            </w:rPr>
          </w:pPr>
          <w:r>
            <w:rPr>
              <w:color w:val="auto"/>
              <w:lang w:val="zh-CN"/>
            </w:rPr>
            <w:t>目录</w:t>
          </w:r>
        </w:p>
        <w:p>
          <w:pPr>
            <w:pStyle w:val="24"/>
            <w:tabs>
              <w:tab w:val="right" w:leader="dot" w:pos="9060"/>
            </w:tabs>
            <w:ind w:firstLine="400"/>
            <w:rPr>
              <w:rFonts w:ascii="Times New Roman" w:hAnsi="Times New Roman" w:cs="Times New Roman" w:eastAsiaTheme="minorEastAsia"/>
              <w:b w:val="0"/>
              <w:bCs w:val="0"/>
              <w:caps w:val="0"/>
              <w:sz w:val="21"/>
              <w:szCs w:val="22"/>
            </w:rPr>
          </w:pPr>
          <w:r>
            <w:rPr>
              <w:b w:val="0"/>
              <w:bCs w:val="0"/>
              <w:caps w:val="0"/>
            </w:rPr>
            <w:fldChar w:fldCharType="begin"/>
          </w:r>
          <w:r>
            <w:rPr>
              <w:b w:val="0"/>
              <w:bCs w:val="0"/>
              <w:caps w:val="0"/>
            </w:rPr>
            <w:instrText xml:space="preserve"> TOC \o "1-2" \h \z \u </w:instrText>
          </w:r>
          <w:r>
            <w:rPr>
              <w:b w:val="0"/>
              <w:bCs w:val="0"/>
              <w:caps w:val="0"/>
            </w:rPr>
            <w:fldChar w:fldCharType="separate"/>
          </w:r>
          <w:r>
            <w:fldChar w:fldCharType="begin"/>
          </w:r>
          <w:r>
            <w:instrText xml:space="preserve"> HYPERLINK \l "_Toc82502931" </w:instrText>
          </w:r>
          <w:r>
            <w:fldChar w:fldCharType="separate"/>
          </w:r>
          <w:r>
            <w:rPr>
              <w:rStyle w:val="39"/>
              <w:rFonts w:ascii="Times New Roman" w:hAnsi="Times New Roman" w:cs="Times New Roman"/>
            </w:rPr>
            <w:t>1 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_Toc82502931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"_Toc82502932" </w:instrText>
          </w:r>
          <w:r>
            <w:fldChar w:fldCharType="separate"/>
          </w:r>
          <w:r>
            <w:rPr>
              <w:rStyle w:val="39"/>
              <w:rFonts w:ascii="Times New Roman" w:hAnsi="Times New Roman" w:cs="Times New Roman"/>
            </w:rPr>
            <w:t>1.1 项目背景及由来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_Toc82502932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"_Toc82502933" </w:instrText>
          </w:r>
          <w:r>
            <w:fldChar w:fldCharType="separate"/>
          </w:r>
          <w:r>
            <w:rPr>
              <w:rStyle w:val="39"/>
              <w:rFonts w:ascii="Times New Roman" w:hAnsi="Times New Roman" w:cs="Times New Roman"/>
            </w:rPr>
            <w:t>1.2 分析判定相关情况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_Toc82502933 \h </w:instrText>
          </w:r>
          <w:r>
            <w:rPr>
              <w:rFonts w:ascii="Times New Roman" w:hAnsi="Times New Roman" w:cs="Times New Roman"/>
            </w:rPr>
            <w:fldChar w:fldCharType="separate"/>
          </w:r>
          <w:r>
            <w:rPr>
              <w:rFonts w:ascii="Times New Roman" w:hAnsi="Times New Roman" w:cs="Times New Roman"/>
            </w:rPr>
            <w:t>- 3 -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"_Toc82502934" </w:instrText>
          </w:r>
          <w:r>
            <w:fldChar w:fldCharType="separate"/>
          </w:r>
          <w:r>
            <w:rPr>
              <w:rStyle w:val="39"/>
              <w:rFonts w:ascii="Times New Roman" w:hAnsi="Times New Roman" w:cs="Times New Roman"/>
            </w:rPr>
            <w:t>1.3 建设项目特点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_Toc82502934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"_Toc82502935" </w:instrText>
          </w:r>
          <w:r>
            <w:fldChar w:fldCharType="separate"/>
          </w:r>
          <w:r>
            <w:rPr>
              <w:rStyle w:val="39"/>
              <w:rFonts w:ascii="Times New Roman" w:hAnsi="Times New Roman" w:cs="Times New Roman"/>
            </w:rPr>
            <w:t>1.4 环境影响评价过程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_Toc82502935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"_Toc82502936" </w:instrText>
          </w:r>
          <w:r>
            <w:fldChar w:fldCharType="separate"/>
          </w:r>
          <w:r>
            <w:rPr>
              <w:rStyle w:val="39"/>
              <w:rFonts w:ascii="Times New Roman" w:hAnsi="Times New Roman" w:cs="Times New Roman"/>
            </w:rPr>
            <w:t>1.5 关注的主要环境问题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_Toc82502936 \h </w:instrText>
          </w:r>
          <w:r>
            <w:rPr>
              <w:rFonts w:ascii="Times New Roman" w:hAnsi="Times New Roman" w:cs="Times New Roman"/>
            </w:rPr>
            <w:fldChar w:fldCharType="separate"/>
          </w:r>
          <w:r>
            <w:rPr>
              <w:rFonts w:ascii="Times New Roman" w:hAnsi="Times New Roman" w:cs="Times New Roman"/>
            </w:rPr>
            <w:t>- 8 -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"_Toc82502937" </w:instrText>
          </w:r>
          <w:r>
            <w:fldChar w:fldCharType="separate"/>
          </w:r>
          <w:r>
            <w:rPr>
              <w:rStyle w:val="39"/>
              <w:rFonts w:ascii="Times New Roman" w:hAnsi="Times New Roman" w:cs="Times New Roman"/>
            </w:rPr>
            <w:t>1.6 环境影响评价的主要结论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_Toc82502937 \h </w:instrText>
          </w:r>
          <w:r>
            <w:rPr>
              <w:rFonts w:ascii="Times New Roman" w:hAnsi="Times New Roman" w:cs="Times New Roman"/>
            </w:rPr>
            <w:fldChar w:fldCharType="separate"/>
          </w:r>
          <w:r>
            <w:rPr>
              <w:rFonts w:ascii="Times New Roman" w:hAnsi="Times New Roman" w:cs="Times New Roman"/>
            </w:rPr>
            <w:t>- 8 -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"_Toc82502938" </w:instrText>
          </w:r>
          <w:r>
            <w:fldChar w:fldCharType="separate"/>
          </w:r>
          <w:r>
            <w:rPr>
              <w:rStyle w:val="39"/>
              <w:rFonts w:ascii="Times New Roman" w:hAnsi="Times New Roman" w:cs="Times New Roman"/>
            </w:rPr>
            <w:t>2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_Toc82502938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"_Toc82502939" </w:instrText>
          </w:r>
          <w:r>
            <w:fldChar w:fldCharType="separate"/>
          </w:r>
          <w:r>
            <w:rPr>
              <w:rStyle w:val="39"/>
              <w:rFonts w:ascii="Times New Roman" w:hAnsi="Times New Roman" w:cs="Times New Roman"/>
            </w:rPr>
            <w:t>2.1 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_Toc82502939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"_Toc82502940" </w:instrText>
          </w:r>
          <w:r>
            <w:fldChar w:fldCharType="separate"/>
          </w:r>
          <w:r>
            <w:rPr>
              <w:rStyle w:val="39"/>
              <w:rFonts w:ascii="Times New Roman" w:hAnsi="Times New Roman" w:cs="Times New Roman"/>
            </w:rPr>
            <w:t>2.2 评价目的和原则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_Toc82502940 \h </w:instrText>
          </w:r>
          <w:r>
            <w:rPr>
              <w:rFonts w:ascii="Times New Roman" w:hAnsi="Times New Roman" w:cs="Times New Roman"/>
            </w:rPr>
            <w:fldChar w:fldCharType="separate"/>
          </w:r>
          <w:r>
            <w:rPr>
              <w:rFonts w:ascii="Times New Roman" w:hAnsi="Times New Roman" w:cs="Times New Roman"/>
            </w:rPr>
            <w:t>- 11 -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"_Toc82502941" </w:instrText>
          </w:r>
          <w:r>
            <w:fldChar w:fldCharType="separate"/>
          </w:r>
          <w:r>
            <w:rPr>
              <w:rStyle w:val="39"/>
              <w:rFonts w:ascii="Times New Roman" w:hAnsi="Times New Roman" w:cs="Times New Roman"/>
            </w:rPr>
            <w:t>2.3 环境影响识别与评价因子筛选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_Toc82502941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"_Toc82502942" </w:instrText>
          </w:r>
          <w:r>
            <w:fldChar w:fldCharType="separate"/>
          </w:r>
          <w:r>
            <w:rPr>
              <w:rStyle w:val="39"/>
              <w:rFonts w:ascii="Times New Roman" w:hAnsi="Times New Roman" w:cs="Times New Roman"/>
            </w:rPr>
            <w:t>2.4 评价标准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_Toc82502942 \h </w:instrText>
          </w:r>
          <w:r>
            <w:rPr>
              <w:rFonts w:ascii="Times New Roman" w:hAnsi="Times New Roman" w:cs="Times New Roman"/>
            </w:rPr>
            <w:fldChar w:fldCharType="separate"/>
          </w:r>
          <w:r>
            <w:rPr>
              <w:rFonts w:ascii="Times New Roman" w:hAnsi="Times New Roman" w:cs="Times New Roman"/>
            </w:rPr>
            <w:t>- 14 -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"_Toc82502943" </w:instrText>
          </w:r>
          <w:r>
            <w:fldChar w:fldCharType="separate"/>
          </w:r>
          <w:r>
            <w:rPr>
              <w:rStyle w:val="39"/>
              <w:rFonts w:ascii="Times New Roman" w:hAnsi="Times New Roman" w:cs="Times New Roman"/>
            </w:rPr>
            <w:t>2.5 评价工作等级和评价范围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_Toc82502943 \h </w:instrText>
          </w:r>
          <w:r>
            <w:rPr>
              <w:rFonts w:ascii="Times New Roman" w:hAnsi="Times New Roman" w:cs="Times New Roman"/>
            </w:rPr>
            <w:fldChar w:fldCharType="separate"/>
          </w:r>
          <w:r>
            <w:rPr>
              <w:rFonts w:ascii="Times New Roman" w:hAnsi="Times New Roman" w:cs="Times New Roman"/>
            </w:rPr>
            <w:t>- 17 -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"_Toc82502944" </w:instrText>
          </w:r>
          <w:r>
            <w:fldChar w:fldCharType="separate"/>
          </w:r>
          <w:r>
            <w:rPr>
              <w:rStyle w:val="39"/>
              <w:rFonts w:ascii="Times New Roman" w:hAnsi="Times New Roman" w:cs="Times New Roman"/>
            </w:rPr>
            <w:t>2.6 相关规划及环境功能区划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_Toc82502944 \h </w:instrText>
          </w:r>
          <w:r>
            <w:rPr>
              <w:rFonts w:ascii="Times New Roman" w:hAnsi="Times New Roman" w:cs="Times New Roman"/>
            </w:rPr>
            <w:fldChar w:fldCharType="separate"/>
          </w:r>
          <w:r>
            <w:rPr>
              <w:rFonts w:ascii="Times New Roman" w:hAnsi="Times New Roman" w:cs="Times New Roman"/>
            </w:rPr>
            <w:t>- 23 -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"_Toc82502945" </w:instrText>
          </w:r>
          <w:r>
            <w:fldChar w:fldCharType="separate"/>
          </w:r>
          <w:r>
            <w:rPr>
              <w:rStyle w:val="39"/>
              <w:rFonts w:ascii="Times New Roman" w:hAnsi="Times New Roman" w:cs="Times New Roman"/>
            </w:rPr>
            <w:t>2.7 环境保护目标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_Toc82502945 \h </w:instrText>
          </w:r>
          <w:r>
            <w:rPr>
              <w:rFonts w:ascii="Times New Roman" w:hAnsi="Times New Roman" w:cs="Times New Roman"/>
            </w:rPr>
            <w:fldChar w:fldCharType="separate"/>
          </w:r>
          <w:r>
            <w:rPr>
              <w:rFonts w:ascii="Times New Roman" w:hAnsi="Times New Roman" w:cs="Times New Roman"/>
            </w:rPr>
            <w:t>- 24 -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"_Toc82502946" </w:instrText>
          </w:r>
          <w:r>
            <w:fldChar w:fldCharType="separate"/>
          </w:r>
          <w:r>
            <w:rPr>
              <w:rStyle w:val="39"/>
              <w:rFonts w:ascii="Times New Roman" w:hAnsi="Times New Roman" w:cs="Times New Roman"/>
            </w:rPr>
            <w:t>3 建设项目工程分析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_Toc82502946 \h </w:instrText>
          </w:r>
          <w:r>
            <w:rPr>
              <w:rFonts w:ascii="Times New Roman" w:hAnsi="Times New Roman" w:cs="Times New Roman"/>
            </w:rPr>
            <w:fldChar w:fldCharType="separate"/>
          </w:r>
          <w:r>
            <w:rPr>
              <w:rFonts w:ascii="Times New Roman" w:hAnsi="Times New Roman" w:cs="Times New Roman"/>
            </w:rPr>
            <w:t>- 27 -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"_Toc82502947" </w:instrText>
          </w:r>
          <w:r>
            <w:fldChar w:fldCharType="separate"/>
          </w:r>
          <w:r>
            <w:rPr>
              <w:rStyle w:val="39"/>
              <w:rFonts w:ascii="Times New Roman" w:hAnsi="Times New Roman" w:cs="Times New Roman"/>
            </w:rPr>
            <w:t>3.1 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_Toc82502947 \h </w:instrText>
          </w:r>
          <w:r>
            <w:rPr>
              <w:rFonts w:ascii="Times New Roman" w:hAnsi="Times New Roman" w:cs="Times New Roman"/>
            </w:rPr>
            <w:fldChar w:fldCharType="separate"/>
          </w:r>
          <w:r>
            <w:rPr>
              <w:rFonts w:ascii="Times New Roman" w:hAnsi="Times New Roman" w:cs="Times New Roman"/>
            </w:rPr>
            <w:t>- 27 -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"_Toc82502948" </w:instrText>
          </w:r>
          <w:r>
            <w:fldChar w:fldCharType="separate"/>
          </w:r>
          <w:r>
            <w:rPr>
              <w:rStyle w:val="39"/>
              <w:rFonts w:ascii="Times New Roman" w:hAnsi="Times New Roman" w:cs="Times New Roman"/>
            </w:rPr>
            <w:t>3.2 影响因素分析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_Toc82502948 \h </w:instrText>
          </w:r>
          <w:r>
            <w:rPr>
              <w:rFonts w:ascii="Times New Roman" w:hAnsi="Times New Roman" w:cs="Times New Roman"/>
            </w:rPr>
            <w:fldChar w:fldCharType="separate"/>
          </w:r>
          <w:r>
            <w:rPr>
              <w:rFonts w:ascii="Times New Roman" w:hAnsi="Times New Roman" w:cs="Times New Roman"/>
            </w:rPr>
            <w:t>- 39 -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"_Toc82502949" </w:instrText>
          </w:r>
          <w:r>
            <w:fldChar w:fldCharType="separate"/>
          </w:r>
          <w:r>
            <w:rPr>
              <w:rStyle w:val="39"/>
              <w:rFonts w:ascii="Times New Roman" w:hAnsi="Times New Roman" w:cs="Times New Roman"/>
            </w:rPr>
            <w:t>3.3 污染源强核算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_Toc82502949 \h </w:instrText>
          </w:r>
          <w:r>
            <w:rPr>
              <w:rFonts w:ascii="Times New Roman" w:hAnsi="Times New Roman" w:cs="Times New Roman"/>
            </w:rPr>
            <w:fldChar w:fldCharType="separate"/>
          </w:r>
          <w:r>
            <w:rPr>
              <w:rFonts w:ascii="Times New Roman" w:hAnsi="Times New Roman" w:cs="Times New Roman"/>
            </w:rPr>
            <w:t>- 43 -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"_Toc82502950" </w:instrText>
          </w:r>
          <w:r>
            <w:fldChar w:fldCharType="separate"/>
          </w:r>
          <w:r>
            <w:rPr>
              <w:rStyle w:val="39"/>
              <w:rFonts w:ascii="Times New Roman" w:hAnsi="Times New Roman" w:cs="Times New Roman"/>
            </w:rPr>
            <w:t>4 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_Toc82502950 \h </w:instrText>
          </w:r>
          <w:r>
            <w:rPr>
              <w:rFonts w:ascii="Times New Roman" w:hAnsi="Times New Roman" w:cs="Times New Roman"/>
            </w:rPr>
            <w:fldChar w:fldCharType="separate"/>
          </w:r>
          <w:r>
            <w:rPr>
              <w:rFonts w:ascii="Times New Roman" w:hAnsi="Times New Roman" w:cs="Times New Roman"/>
            </w:rPr>
            <w:t>- 61 -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"_Toc82502951" </w:instrText>
          </w:r>
          <w:r>
            <w:fldChar w:fldCharType="separate"/>
          </w:r>
          <w:r>
            <w:rPr>
              <w:rStyle w:val="39"/>
              <w:rFonts w:ascii="Times New Roman" w:hAnsi="Times New Roman" w:cs="Times New Roman"/>
            </w:rPr>
            <w:t>4.1 自然环境现状调查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_Toc82502951 \h </w:instrText>
          </w:r>
          <w:r>
            <w:rPr>
              <w:rFonts w:ascii="Times New Roman" w:hAnsi="Times New Roman" w:cs="Times New Roman"/>
            </w:rPr>
            <w:fldChar w:fldCharType="separate"/>
          </w:r>
          <w:r>
            <w:rPr>
              <w:rFonts w:ascii="Times New Roman" w:hAnsi="Times New Roman" w:cs="Times New Roman"/>
            </w:rPr>
            <w:t>- 61 -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"_Toc82502952" </w:instrText>
          </w:r>
          <w:r>
            <w:fldChar w:fldCharType="separate"/>
          </w:r>
          <w:r>
            <w:rPr>
              <w:rStyle w:val="39"/>
              <w:rFonts w:ascii="Times New Roman" w:hAnsi="Times New Roman" w:cs="Times New Roman"/>
            </w:rPr>
            <w:t>4.2 旬阳市省级高新技术产业开发区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_Toc82502952 \h </w:instrText>
          </w:r>
          <w:r>
            <w:rPr>
              <w:rFonts w:ascii="Times New Roman" w:hAnsi="Times New Roman" w:cs="Times New Roman"/>
            </w:rPr>
            <w:fldChar w:fldCharType="separate"/>
          </w:r>
          <w:r>
            <w:rPr>
              <w:rFonts w:ascii="Times New Roman" w:hAnsi="Times New Roman" w:cs="Times New Roman"/>
            </w:rPr>
            <w:t>- 65 -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"_Toc82502953" </w:instrText>
          </w:r>
          <w:r>
            <w:fldChar w:fldCharType="separate"/>
          </w:r>
          <w:r>
            <w:rPr>
              <w:rStyle w:val="39"/>
              <w:rFonts w:ascii="Times New Roman" w:hAnsi="Times New Roman" w:cs="Times New Roman"/>
            </w:rPr>
            <w:t>4.3 区域污染源调查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_Toc82502953 \h </w:instrText>
          </w:r>
          <w:r>
            <w:rPr>
              <w:rFonts w:ascii="Times New Roman" w:hAnsi="Times New Roman" w:cs="Times New Roman"/>
            </w:rPr>
            <w:fldChar w:fldCharType="separate"/>
          </w:r>
          <w:r>
            <w:rPr>
              <w:rFonts w:ascii="Times New Roman" w:hAnsi="Times New Roman" w:cs="Times New Roman"/>
            </w:rPr>
            <w:t>- 67 -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"_Toc82502954" </w:instrText>
          </w:r>
          <w:r>
            <w:fldChar w:fldCharType="separate"/>
          </w:r>
          <w:r>
            <w:rPr>
              <w:rStyle w:val="39"/>
              <w:rFonts w:ascii="Times New Roman" w:hAnsi="Times New Roman" w:cs="Times New Roman"/>
            </w:rPr>
            <w:t>4.4 环境空气质量现状调查与评价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_Toc82502954 \h </w:instrText>
          </w:r>
          <w:r>
            <w:rPr>
              <w:rFonts w:ascii="Times New Roman" w:hAnsi="Times New Roman" w:cs="Times New Roman"/>
            </w:rPr>
            <w:fldChar w:fldCharType="separate"/>
          </w:r>
          <w:r>
            <w:rPr>
              <w:rFonts w:ascii="Times New Roman" w:hAnsi="Times New Roman" w:cs="Times New Roman"/>
            </w:rPr>
            <w:t>- 68 -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"_Toc82502955" </w:instrText>
          </w:r>
          <w:r>
            <w:fldChar w:fldCharType="separate"/>
          </w:r>
          <w:r>
            <w:rPr>
              <w:rStyle w:val="39"/>
              <w:rFonts w:ascii="Times New Roman" w:hAnsi="Times New Roman" w:cs="Times New Roman"/>
            </w:rPr>
            <w:t>5 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_Toc82502955 \h </w:instrText>
          </w:r>
          <w:r>
            <w:rPr>
              <w:rFonts w:ascii="Times New Roman" w:hAnsi="Times New Roman" w:cs="Times New Roman"/>
            </w:rPr>
            <w:fldChar w:fldCharType="separate"/>
          </w:r>
          <w:r>
            <w:rPr>
              <w:rFonts w:ascii="Times New Roman" w:hAnsi="Times New Roman" w:cs="Times New Roman"/>
            </w:rPr>
            <w:t>- 77 -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"_Toc82502956" </w:instrText>
          </w:r>
          <w:r>
            <w:fldChar w:fldCharType="separate"/>
          </w:r>
          <w:r>
            <w:rPr>
              <w:rStyle w:val="39"/>
              <w:rFonts w:ascii="Times New Roman" w:hAnsi="Times New Roman" w:cs="Times New Roman"/>
            </w:rPr>
            <w:t>5.1 施工期环境影响分析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_Toc82502956 \h </w:instrText>
          </w:r>
          <w:r>
            <w:rPr>
              <w:rFonts w:ascii="Times New Roman" w:hAnsi="Times New Roman" w:cs="Times New Roman"/>
            </w:rPr>
            <w:fldChar w:fldCharType="separate"/>
          </w:r>
          <w:r>
            <w:rPr>
              <w:rFonts w:ascii="Times New Roman" w:hAnsi="Times New Roman" w:cs="Times New Roman"/>
            </w:rPr>
            <w:t>- 77 -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"_Toc82502957" </w:instrText>
          </w:r>
          <w:r>
            <w:fldChar w:fldCharType="separate"/>
          </w:r>
          <w:r>
            <w:rPr>
              <w:rStyle w:val="39"/>
              <w:rFonts w:ascii="Times New Roman" w:hAnsi="Times New Roman" w:cs="Times New Roman"/>
            </w:rPr>
            <w:t>5.2 运营期环境影响预测与评价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_Toc82502957 \h </w:instrText>
          </w:r>
          <w:r>
            <w:rPr>
              <w:rFonts w:ascii="Times New Roman" w:hAnsi="Times New Roman" w:cs="Times New Roman"/>
            </w:rPr>
            <w:fldChar w:fldCharType="separate"/>
          </w:r>
          <w:r>
            <w:rPr>
              <w:rFonts w:ascii="Times New Roman" w:hAnsi="Times New Roman" w:cs="Times New Roman"/>
            </w:rPr>
            <w:t>- 81 -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"_Toc82502958" </w:instrText>
          </w:r>
          <w:r>
            <w:fldChar w:fldCharType="separate"/>
          </w:r>
          <w:r>
            <w:rPr>
              <w:rStyle w:val="39"/>
              <w:rFonts w:ascii="Times New Roman" w:hAnsi="Times New Roman" w:cs="Times New Roman"/>
            </w:rPr>
            <w:t>6 环境风险评价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_Toc82502958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"_Toc82502959" </w:instrText>
          </w:r>
          <w:r>
            <w:fldChar w:fldCharType="separate"/>
          </w:r>
          <w:r>
            <w:rPr>
              <w:rStyle w:val="39"/>
              <w:rFonts w:ascii="Times New Roman" w:hAnsi="Times New Roman" w:cs="Times New Roman"/>
            </w:rPr>
            <w:t>6.1 评价目的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_Toc82502959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"_Toc82502960" </w:instrText>
          </w:r>
          <w:r>
            <w:fldChar w:fldCharType="separate"/>
          </w:r>
          <w:r>
            <w:rPr>
              <w:rStyle w:val="39"/>
              <w:rFonts w:ascii="Times New Roman" w:hAnsi="Times New Roman" w:cs="Times New Roman"/>
            </w:rPr>
            <w:t>6.2 评价原则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_Toc82502960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"_Toc82502961" </w:instrText>
          </w:r>
          <w:r>
            <w:fldChar w:fldCharType="separate"/>
          </w:r>
          <w:r>
            <w:rPr>
              <w:rStyle w:val="39"/>
              <w:rFonts w:ascii="Times New Roman" w:hAnsi="Times New Roman" w:cs="Times New Roman"/>
            </w:rPr>
            <w:t>6.3 风险调查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_Toc82502961 \h </w:instrText>
          </w:r>
          <w:r>
            <w:rPr>
              <w:rFonts w:ascii="Times New Roman" w:hAnsi="Times New Roman" w:cs="Times New Roman"/>
            </w:rPr>
            <w:fldChar w:fldCharType="separate"/>
          </w:r>
          <w:r>
            <w:rPr>
              <w:rFonts w:ascii="Times New Roman" w:hAnsi="Times New Roman" w:cs="Times New Roman"/>
            </w:rPr>
            <w:t>- 104 -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"_Toc82502962" </w:instrText>
          </w:r>
          <w:r>
            <w:fldChar w:fldCharType="separate"/>
          </w:r>
          <w:r>
            <w:rPr>
              <w:rStyle w:val="39"/>
              <w:rFonts w:ascii="Times New Roman" w:hAnsi="Times New Roman" w:cs="Times New Roman"/>
            </w:rPr>
            <w:t>6.4 风险潜势初判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_Toc82502962 \h </w:instrText>
          </w:r>
          <w:r>
            <w:rPr>
              <w:rFonts w:ascii="Times New Roman" w:hAnsi="Times New Roman" w:cs="Times New Roman"/>
            </w:rPr>
            <w:fldChar w:fldCharType="separate"/>
          </w:r>
          <w:r>
            <w:rPr>
              <w:rFonts w:ascii="Times New Roman" w:hAnsi="Times New Roman" w:cs="Times New Roman"/>
            </w:rPr>
            <w:t>- 105 -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"_Toc82502963" </w:instrText>
          </w:r>
          <w:r>
            <w:fldChar w:fldCharType="separate"/>
          </w:r>
          <w:r>
            <w:rPr>
              <w:rStyle w:val="39"/>
              <w:rFonts w:ascii="Times New Roman" w:hAnsi="Times New Roman" w:cs="Times New Roman"/>
            </w:rPr>
            <w:t>6.5 环境风险评价等级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_Toc82502963 \h </w:instrText>
          </w:r>
          <w:r>
            <w:rPr>
              <w:rFonts w:ascii="Times New Roman" w:hAnsi="Times New Roman" w:cs="Times New Roman"/>
            </w:rPr>
            <w:fldChar w:fldCharType="separate"/>
          </w:r>
          <w:r>
            <w:rPr>
              <w:rFonts w:ascii="Times New Roman" w:hAnsi="Times New Roman" w:cs="Times New Roman"/>
            </w:rPr>
            <w:t>- 108 -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"_Toc82502964" </w:instrText>
          </w:r>
          <w:r>
            <w:fldChar w:fldCharType="separate"/>
          </w:r>
          <w:r>
            <w:rPr>
              <w:rStyle w:val="39"/>
              <w:rFonts w:ascii="Times New Roman" w:hAnsi="Times New Roman" w:cs="Times New Roman"/>
            </w:rPr>
            <w:t>6.6 风险识别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_Toc82502964 \h </w:instrText>
          </w:r>
          <w:r>
            <w:rPr>
              <w:rFonts w:ascii="Times New Roman" w:hAnsi="Times New Roman" w:cs="Times New Roman"/>
            </w:rPr>
            <w:fldChar w:fldCharType="separate"/>
          </w:r>
          <w:r>
            <w:rPr>
              <w:rFonts w:ascii="Times New Roman" w:hAnsi="Times New Roman" w:cs="Times New Roman"/>
            </w:rPr>
            <w:t>- 109 -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"_Toc82502965" </w:instrText>
          </w:r>
          <w:r>
            <w:fldChar w:fldCharType="separate"/>
          </w:r>
          <w:r>
            <w:rPr>
              <w:rStyle w:val="39"/>
              <w:rFonts w:ascii="Times New Roman" w:hAnsi="Times New Roman" w:cs="Times New Roman"/>
            </w:rPr>
            <w:t>6.7 风险事故情形分析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_Toc82502965 \h </w:instrText>
          </w:r>
          <w:r>
            <w:rPr>
              <w:rFonts w:ascii="Times New Roman" w:hAnsi="Times New Roman" w:cs="Times New Roman"/>
            </w:rPr>
            <w:fldChar w:fldCharType="separate"/>
          </w:r>
          <w:r>
            <w:rPr>
              <w:rFonts w:ascii="Times New Roman" w:hAnsi="Times New Roman" w:cs="Times New Roman"/>
            </w:rPr>
            <w:t>- 113 -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"_Toc82502966" </w:instrText>
          </w:r>
          <w:r>
            <w:fldChar w:fldCharType="separate"/>
          </w:r>
          <w:r>
            <w:rPr>
              <w:rStyle w:val="39"/>
              <w:rFonts w:ascii="Times New Roman" w:hAnsi="Times New Roman" w:cs="Times New Roman"/>
            </w:rPr>
            <w:t>6.8 环境风险分析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_Toc82502966 \h </w:instrText>
          </w:r>
          <w:r>
            <w:rPr>
              <w:rFonts w:ascii="Times New Roman" w:hAnsi="Times New Roman" w:cs="Times New Roman"/>
            </w:rPr>
            <w:fldChar w:fldCharType="separate"/>
          </w:r>
          <w:r>
            <w:rPr>
              <w:rFonts w:ascii="Times New Roman" w:hAnsi="Times New Roman" w:cs="Times New Roman"/>
            </w:rPr>
            <w:t>- 113 -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"_Toc82502967" </w:instrText>
          </w:r>
          <w:r>
            <w:fldChar w:fldCharType="separate"/>
          </w:r>
          <w:r>
            <w:rPr>
              <w:rStyle w:val="39"/>
              <w:rFonts w:ascii="Times New Roman" w:hAnsi="Times New Roman" w:cs="Times New Roman"/>
            </w:rPr>
            <w:t>6.9 风险防范措施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_Toc82502967 \h </w:instrText>
          </w:r>
          <w:r>
            <w:rPr>
              <w:rFonts w:ascii="Times New Roman" w:hAnsi="Times New Roman" w:cs="Times New Roman"/>
            </w:rPr>
            <w:fldChar w:fldCharType="separate"/>
          </w:r>
          <w:r>
            <w:rPr>
              <w:rFonts w:ascii="Times New Roman" w:hAnsi="Times New Roman" w:cs="Times New Roman"/>
            </w:rPr>
            <w:t>- 114 -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"_Toc82502968" </w:instrText>
          </w:r>
          <w:r>
            <w:fldChar w:fldCharType="separate"/>
          </w:r>
          <w:r>
            <w:rPr>
              <w:rStyle w:val="39"/>
              <w:rFonts w:ascii="Times New Roman" w:hAnsi="Times New Roman" w:cs="Times New Roman"/>
            </w:rPr>
            <w:t>6.10 环境风险管理及事故应急预案要求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_Toc82502968 \h </w:instrText>
          </w:r>
          <w:r>
            <w:rPr>
              <w:rFonts w:ascii="Times New Roman" w:hAnsi="Times New Roman" w:cs="Times New Roman"/>
            </w:rPr>
            <w:fldChar w:fldCharType="separate"/>
          </w:r>
          <w:r>
            <w:rPr>
              <w:rFonts w:ascii="Times New Roman" w:hAnsi="Times New Roman" w:cs="Times New Roman"/>
            </w:rPr>
            <w:t>- 117 -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"_Toc82502969" </w:instrText>
          </w:r>
          <w:r>
            <w:fldChar w:fldCharType="separate"/>
          </w:r>
          <w:r>
            <w:rPr>
              <w:rStyle w:val="39"/>
              <w:rFonts w:ascii="Times New Roman" w:hAnsi="Times New Roman" w:cs="Times New Roman"/>
            </w:rPr>
            <w:t>6.11 风险评价小结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_Toc82502969 \h </w:instrText>
          </w:r>
          <w:r>
            <w:rPr>
              <w:rFonts w:ascii="Times New Roman" w:hAnsi="Times New Roman" w:cs="Times New Roman"/>
            </w:rPr>
            <w:fldChar w:fldCharType="separate"/>
          </w:r>
          <w:r>
            <w:rPr>
              <w:rFonts w:ascii="Times New Roman" w:hAnsi="Times New Roman" w:cs="Times New Roman"/>
            </w:rPr>
            <w:t>- 119 -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"_Toc82502970" </w:instrText>
          </w:r>
          <w:r>
            <w:fldChar w:fldCharType="separate"/>
          </w:r>
          <w:r>
            <w:rPr>
              <w:rStyle w:val="39"/>
              <w:rFonts w:ascii="Times New Roman" w:hAnsi="Times New Roman" w:cs="Times New Roman"/>
            </w:rPr>
            <w:t>7 环境保护措施及其可行性论证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_Toc82502970 \h </w:instrText>
          </w:r>
          <w:r>
            <w:rPr>
              <w:rFonts w:ascii="Times New Roman" w:hAnsi="Times New Roman" w:cs="Times New Roman"/>
            </w:rPr>
            <w:fldChar w:fldCharType="separate"/>
          </w:r>
          <w:r>
            <w:rPr>
              <w:rFonts w:ascii="Times New Roman" w:hAnsi="Times New Roman" w:cs="Times New Roman"/>
            </w:rPr>
            <w:t>- 121 -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"_Toc82502971" </w:instrText>
          </w:r>
          <w:r>
            <w:fldChar w:fldCharType="separate"/>
          </w:r>
          <w:r>
            <w:rPr>
              <w:rStyle w:val="39"/>
              <w:rFonts w:ascii="Times New Roman" w:hAnsi="Times New Roman" w:cs="Times New Roman"/>
            </w:rPr>
            <w:t>7.1 施工期污染防治措施及技术经济分析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_Toc82502971 \h </w:instrText>
          </w:r>
          <w:r>
            <w:rPr>
              <w:rFonts w:ascii="Times New Roman" w:hAnsi="Times New Roman" w:cs="Times New Roman"/>
            </w:rPr>
            <w:fldChar w:fldCharType="separate"/>
          </w:r>
          <w:r>
            <w:rPr>
              <w:rFonts w:ascii="Times New Roman" w:hAnsi="Times New Roman" w:cs="Times New Roman"/>
            </w:rPr>
            <w:t>- 121 -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"_Toc82502972" </w:instrText>
          </w:r>
          <w:r>
            <w:fldChar w:fldCharType="separate"/>
          </w:r>
          <w:r>
            <w:rPr>
              <w:rStyle w:val="39"/>
              <w:rFonts w:ascii="Times New Roman" w:hAnsi="Times New Roman" w:cs="Times New Roman"/>
            </w:rPr>
            <w:t>7.2 运营期污染防治措施及技术经济分析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_Toc82502972 \h </w:instrText>
          </w:r>
          <w:r>
            <w:rPr>
              <w:rFonts w:ascii="Times New Roman" w:hAnsi="Times New Roman" w:cs="Times New Roman"/>
            </w:rPr>
            <w:fldChar w:fldCharType="separate"/>
          </w:r>
          <w:r>
            <w:rPr>
              <w:rFonts w:ascii="Times New Roman" w:hAnsi="Times New Roman" w:cs="Times New Roman"/>
            </w:rPr>
            <w:t>- 122 -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"_Toc82502973" </w:instrText>
          </w:r>
          <w:r>
            <w:fldChar w:fldCharType="separate"/>
          </w:r>
          <w:r>
            <w:rPr>
              <w:rStyle w:val="39"/>
              <w:rFonts w:ascii="Times New Roman" w:hAnsi="Times New Roman" w:cs="Times New Roman"/>
            </w:rPr>
            <w:t>8 环境影响经济损益分析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_Toc82502973 \h </w:instrText>
          </w:r>
          <w:r>
            <w:rPr>
              <w:rFonts w:ascii="Times New Roman" w:hAnsi="Times New Roman" w:cs="Times New Roman"/>
            </w:rPr>
            <w:fldChar w:fldCharType="separate"/>
          </w:r>
          <w:r>
            <w:rPr>
              <w:rFonts w:ascii="Times New Roman" w:hAnsi="Times New Roman" w:cs="Times New Roman"/>
            </w:rPr>
            <w:t>- 131 -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"_Toc82502974" </w:instrText>
          </w:r>
          <w:r>
            <w:fldChar w:fldCharType="separate"/>
          </w:r>
          <w:r>
            <w:rPr>
              <w:rStyle w:val="39"/>
              <w:rFonts w:ascii="Times New Roman" w:hAnsi="Times New Roman" w:cs="Times New Roman"/>
            </w:rPr>
            <w:t>8.1 社会效益分析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_Toc82502974 \h </w:instrText>
          </w:r>
          <w:r>
            <w:rPr>
              <w:rFonts w:ascii="Times New Roman" w:hAnsi="Times New Roman" w:cs="Times New Roman"/>
            </w:rPr>
            <w:fldChar w:fldCharType="separate"/>
          </w:r>
          <w:r>
            <w:rPr>
              <w:rFonts w:ascii="Times New Roman" w:hAnsi="Times New Roman" w:cs="Times New Roman"/>
            </w:rPr>
            <w:t>- 131 -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"_Toc82502975" </w:instrText>
          </w:r>
          <w:r>
            <w:fldChar w:fldCharType="separate"/>
          </w:r>
          <w:r>
            <w:rPr>
              <w:rStyle w:val="39"/>
              <w:rFonts w:ascii="Times New Roman" w:hAnsi="Times New Roman" w:cs="Times New Roman"/>
            </w:rPr>
            <w:t>8.2 环境效益分析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_Toc82502975 \h </w:instrText>
          </w:r>
          <w:r>
            <w:rPr>
              <w:rFonts w:ascii="Times New Roman" w:hAnsi="Times New Roman" w:cs="Times New Roman"/>
            </w:rPr>
            <w:fldChar w:fldCharType="separate"/>
          </w:r>
          <w:r>
            <w:rPr>
              <w:rFonts w:ascii="Times New Roman" w:hAnsi="Times New Roman" w:cs="Times New Roman"/>
            </w:rPr>
            <w:t>- 131 -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"_Toc82502976" </w:instrText>
          </w:r>
          <w:r>
            <w:fldChar w:fldCharType="separate"/>
          </w:r>
          <w:r>
            <w:rPr>
              <w:rStyle w:val="39"/>
              <w:rFonts w:ascii="Times New Roman" w:hAnsi="Times New Roman" w:cs="Times New Roman"/>
            </w:rPr>
            <w:t>8.3 小结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_Toc82502976 \h </w:instrText>
          </w:r>
          <w:r>
            <w:rPr>
              <w:rFonts w:ascii="Times New Roman" w:hAnsi="Times New Roman" w:cs="Times New Roman"/>
            </w:rPr>
            <w:fldChar w:fldCharType="separate"/>
          </w:r>
          <w:r>
            <w:rPr>
              <w:rFonts w:ascii="Times New Roman" w:hAnsi="Times New Roman" w:cs="Times New Roman"/>
            </w:rPr>
            <w:t>- 134 -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"_Toc82502977" </w:instrText>
          </w:r>
          <w:r>
            <w:fldChar w:fldCharType="separate"/>
          </w:r>
          <w:r>
            <w:rPr>
              <w:rStyle w:val="39"/>
              <w:rFonts w:ascii="Times New Roman" w:hAnsi="Times New Roman" w:cs="Times New Roman"/>
            </w:rPr>
            <w:t>9 环境管理与监测计划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_Toc82502977 \h </w:instrText>
          </w:r>
          <w:r>
            <w:rPr>
              <w:rFonts w:ascii="Times New Roman" w:hAnsi="Times New Roman" w:cs="Times New Roman"/>
            </w:rPr>
            <w:fldChar w:fldCharType="separate"/>
          </w:r>
          <w:r>
            <w:rPr>
              <w:rFonts w:ascii="Times New Roman" w:hAnsi="Times New Roman" w:cs="Times New Roman"/>
            </w:rPr>
            <w:t>- 135 -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"_Toc82502978" </w:instrText>
          </w:r>
          <w:r>
            <w:fldChar w:fldCharType="separate"/>
          </w:r>
          <w:r>
            <w:rPr>
              <w:rStyle w:val="39"/>
              <w:rFonts w:ascii="Times New Roman" w:hAnsi="Times New Roman" w:cs="Times New Roman"/>
              <w:u w:color="000000"/>
            </w:rPr>
            <w:t>9.1 环境管理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_Toc82502978 \h </w:instrText>
          </w:r>
          <w:r>
            <w:rPr>
              <w:rFonts w:ascii="Times New Roman" w:hAnsi="Times New Roman" w:cs="Times New Roman"/>
            </w:rPr>
            <w:fldChar w:fldCharType="separate"/>
          </w:r>
          <w:r>
            <w:rPr>
              <w:rFonts w:ascii="Times New Roman" w:hAnsi="Times New Roman" w:cs="Times New Roman"/>
            </w:rPr>
            <w:t>- 135 -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"_Toc82502979" </w:instrText>
          </w:r>
          <w:r>
            <w:fldChar w:fldCharType="separate"/>
          </w:r>
          <w:r>
            <w:rPr>
              <w:rStyle w:val="39"/>
              <w:rFonts w:ascii="Times New Roman" w:hAnsi="Times New Roman" w:cs="Times New Roman"/>
            </w:rPr>
            <w:t>9.2 污染物排放管理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_Toc82502979 \h </w:instrText>
          </w:r>
          <w:r>
            <w:rPr>
              <w:rFonts w:ascii="Times New Roman" w:hAnsi="Times New Roman" w:cs="Times New Roman"/>
            </w:rPr>
            <w:fldChar w:fldCharType="separate"/>
          </w:r>
          <w:r>
            <w:rPr>
              <w:rFonts w:ascii="Times New Roman" w:hAnsi="Times New Roman" w:cs="Times New Roman"/>
            </w:rPr>
            <w:t>- 138 -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"_Toc82502980" </w:instrText>
          </w:r>
          <w:r>
            <w:fldChar w:fldCharType="separate"/>
          </w:r>
          <w:r>
            <w:rPr>
              <w:rStyle w:val="39"/>
              <w:rFonts w:ascii="Times New Roman" w:hAnsi="Times New Roman" w:cs="Times New Roman"/>
              <w:snapToGrid w:val="0"/>
            </w:rPr>
            <w:t>9.3 环境监测计划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_Toc82502980 \h </w:instrText>
          </w:r>
          <w:r>
            <w:rPr>
              <w:rFonts w:ascii="Times New Roman" w:hAnsi="Times New Roman" w:cs="Times New Roman"/>
            </w:rPr>
            <w:fldChar w:fldCharType="separate"/>
          </w:r>
          <w:r>
            <w:rPr>
              <w:rFonts w:ascii="Times New Roman" w:hAnsi="Times New Roman" w:cs="Times New Roman"/>
            </w:rPr>
            <w:t>- 143 -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"_Toc82502981" </w:instrText>
          </w:r>
          <w:r>
            <w:fldChar w:fldCharType="separate"/>
          </w:r>
          <w:r>
            <w:rPr>
              <w:rStyle w:val="39"/>
              <w:rFonts w:ascii="Times New Roman" w:hAnsi="Times New Roman" w:cs="Times New Roman"/>
            </w:rPr>
            <w:t>9.4 竣工环保验收清单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_Toc82502981 \h </w:instrText>
          </w:r>
          <w:r>
            <w:rPr>
              <w:rFonts w:ascii="Times New Roman" w:hAnsi="Times New Roman" w:cs="Times New Roman"/>
            </w:rPr>
            <w:fldChar w:fldCharType="separate"/>
          </w:r>
          <w:r>
            <w:rPr>
              <w:rFonts w:ascii="Times New Roman" w:hAnsi="Times New Roman" w:cs="Times New Roman"/>
            </w:rPr>
            <w:t>- 143 -</w:t>
          </w:r>
          <w:r>
            <w:rPr>
              <w:rFonts w:ascii="Times New Roman" w:hAnsi="Times New Roman" w:cs="Times New Roman"/>
            </w:rPr>
            <w:fldChar w:fldCharType="end"/>
          </w:r>
          <w:r>
            <w:rPr>
              <w:rFonts w:ascii="Times New Roman" w:hAnsi="Times New Roman" w:cs="Times New Roman"/>
            </w:rPr>
            <w:fldChar w:fldCharType="end"/>
          </w:r>
        </w:p>
        <w:p>
          <w:pPr>
            <w:pStyle w:val="24"/>
            <w:tabs>
              <w:tab w:val="right" w:leader="dot" w:pos="9060"/>
            </w:tabs>
            <w:ind w:firstLine="402"/>
            <w:rPr>
              <w:rFonts w:ascii="Times New Roman" w:hAnsi="Times New Roman" w:cs="Times New Roman" w:eastAsiaTheme="minorEastAsia"/>
              <w:b w:val="0"/>
              <w:bCs w:val="0"/>
              <w:caps w:val="0"/>
              <w:sz w:val="21"/>
              <w:szCs w:val="22"/>
            </w:rPr>
          </w:pPr>
          <w:r>
            <w:fldChar w:fldCharType="begin"/>
          </w:r>
          <w:r>
            <w:instrText xml:space="preserve"> HYPERLINK \l "_Toc82502982" </w:instrText>
          </w:r>
          <w:r>
            <w:fldChar w:fldCharType="separate"/>
          </w:r>
          <w:r>
            <w:rPr>
              <w:rStyle w:val="39"/>
              <w:rFonts w:ascii="Times New Roman" w:hAnsi="Times New Roman" w:cs="Times New Roman"/>
            </w:rPr>
            <w:t>10 结论和建议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_Toc82502982 \h </w:instrText>
          </w:r>
          <w:r>
            <w:rPr>
              <w:rFonts w:ascii="Times New Roman" w:hAnsi="Times New Roman" w:cs="Times New Roman"/>
            </w:rPr>
            <w:fldChar w:fldCharType="separate"/>
          </w:r>
          <w:r>
            <w:rPr>
              <w:rFonts w:ascii="Times New Roman" w:hAnsi="Times New Roman" w:cs="Times New Roman"/>
            </w:rPr>
            <w:t>- 145 -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"_Toc82502983" </w:instrText>
          </w:r>
          <w:r>
            <w:fldChar w:fldCharType="separate"/>
          </w:r>
          <w:r>
            <w:rPr>
              <w:rStyle w:val="39"/>
              <w:rFonts w:ascii="Times New Roman" w:hAnsi="Times New Roman" w:cs="Times New Roman"/>
            </w:rPr>
            <w:t>10.1 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_Toc82502983 \h </w:instrText>
          </w:r>
          <w:r>
            <w:rPr>
              <w:rFonts w:ascii="Times New Roman" w:hAnsi="Times New Roman" w:cs="Times New Roman"/>
            </w:rPr>
            <w:fldChar w:fldCharType="separate"/>
          </w:r>
          <w:r>
            <w:rPr>
              <w:rFonts w:ascii="Times New Roman" w:hAnsi="Times New Roman" w:cs="Times New Roman"/>
            </w:rPr>
            <w:t>- 145 -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"_Toc82502984" </w:instrText>
          </w:r>
          <w:r>
            <w:fldChar w:fldCharType="separate"/>
          </w:r>
          <w:r>
            <w:rPr>
              <w:rStyle w:val="39"/>
              <w:rFonts w:ascii="Times New Roman" w:hAnsi="Times New Roman" w:cs="Times New Roman"/>
            </w:rPr>
            <w:t>10.2 环境质量现状结论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_Toc82502984 \h </w:instrText>
          </w:r>
          <w:r>
            <w:rPr>
              <w:rFonts w:ascii="Times New Roman" w:hAnsi="Times New Roman" w:cs="Times New Roman"/>
            </w:rPr>
            <w:fldChar w:fldCharType="separate"/>
          </w:r>
          <w:r>
            <w:rPr>
              <w:rFonts w:ascii="Times New Roman" w:hAnsi="Times New Roman" w:cs="Times New Roman"/>
            </w:rPr>
            <w:t>- 145 -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"_Toc82502985" </w:instrText>
          </w:r>
          <w:r>
            <w:fldChar w:fldCharType="separate"/>
          </w:r>
          <w:r>
            <w:rPr>
              <w:rStyle w:val="39"/>
              <w:rFonts w:ascii="Times New Roman" w:hAnsi="Times New Roman" w:cs="Times New Roman"/>
            </w:rPr>
            <w:t>10.3 施工期环境影响分析及保护措施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_Toc82502985 \h </w:instrText>
          </w:r>
          <w:r>
            <w:rPr>
              <w:rFonts w:ascii="Times New Roman" w:hAnsi="Times New Roman" w:cs="Times New Roman"/>
            </w:rPr>
            <w:fldChar w:fldCharType="separate"/>
          </w:r>
          <w:r>
            <w:rPr>
              <w:rFonts w:ascii="Times New Roman" w:hAnsi="Times New Roman" w:cs="Times New Roman"/>
            </w:rPr>
            <w:t>- 145 -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"_Toc82502986" </w:instrText>
          </w:r>
          <w:r>
            <w:fldChar w:fldCharType="separate"/>
          </w:r>
          <w:r>
            <w:rPr>
              <w:rStyle w:val="39"/>
              <w:rFonts w:ascii="Times New Roman" w:hAnsi="Times New Roman" w:cs="Times New Roman"/>
            </w:rPr>
            <w:t>10.4 运营期环境影响分析及保护措施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_Toc82502986 \h </w:instrText>
          </w:r>
          <w:r>
            <w:rPr>
              <w:rFonts w:ascii="Times New Roman" w:hAnsi="Times New Roman" w:cs="Times New Roman"/>
            </w:rPr>
            <w:fldChar w:fldCharType="separate"/>
          </w:r>
          <w:r>
            <w:rPr>
              <w:rFonts w:ascii="Times New Roman" w:hAnsi="Times New Roman" w:cs="Times New Roman"/>
            </w:rPr>
            <w:t>- 146 -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"_Toc82502987" </w:instrText>
          </w:r>
          <w:r>
            <w:fldChar w:fldCharType="separate"/>
          </w:r>
          <w:r>
            <w:rPr>
              <w:rStyle w:val="39"/>
              <w:rFonts w:ascii="Times New Roman" w:hAnsi="Times New Roman" w:cs="Times New Roman"/>
              <w:kern w:val="0"/>
            </w:rPr>
            <w:t>10.5 公众参与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_Toc82502987 \h </w:instrText>
          </w:r>
          <w:r>
            <w:rPr>
              <w:rFonts w:ascii="Times New Roman" w:hAnsi="Times New Roman" w:cs="Times New Roman"/>
            </w:rPr>
            <w:fldChar w:fldCharType="separate"/>
          </w:r>
          <w:r>
            <w:rPr>
              <w:rFonts w:ascii="Times New Roman" w:hAnsi="Times New Roman" w:cs="Times New Roman"/>
            </w:rPr>
            <w:t>- 148 -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"_Toc82502988" </w:instrText>
          </w:r>
          <w:r>
            <w:fldChar w:fldCharType="separate"/>
          </w:r>
          <w:r>
            <w:rPr>
              <w:rStyle w:val="39"/>
              <w:rFonts w:ascii="Times New Roman" w:hAnsi="Times New Roman" w:cs="Times New Roman"/>
            </w:rPr>
            <w:t>10.6 总结论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_Toc82502988 \h </w:instrText>
          </w:r>
          <w:r>
            <w:rPr>
              <w:rFonts w:ascii="Times New Roman" w:hAnsi="Times New Roman" w:cs="Times New Roman"/>
            </w:rPr>
            <w:fldChar w:fldCharType="separate"/>
          </w:r>
          <w:r>
            <w:rPr>
              <w:rFonts w:ascii="Times New Roman" w:hAnsi="Times New Roman" w:cs="Times New Roman"/>
            </w:rPr>
            <w:t>- 148 -</w:t>
          </w:r>
          <w:r>
            <w:rPr>
              <w:rFonts w:ascii="Times New Roman" w:hAnsi="Times New Roman" w:cs="Times New Roman"/>
            </w:rPr>
            <w:fldChar w:fldCharType="end"/>
          </w:r>
          <w:r>
            <w:rPr>
              <w:rFonts w:ascii="Times New Roman" w:hAnsi="Times New Roman" w:cs="Times New Roman"/>
            </w:rPr>
            <w:fldChar w:fldCharType="end"/>
          </w:r>
        </w:p>
        <w:p>
          <w:pPr>
            <w:pStyle w:val="29"/>
            <w:tabs>
              <w:tab w:val="right" w:leader="dot" w:pos="9060"/>
            </w:tabs>
            <w:ind w:firstLine="400"/>
            <w:rPr>
              <w:rFonts w:ascii="Times New Roman" w:hAnsi="Times New Roman" w:cs="Times New Roman" w:eastAsiaTheme="minorEastAsia"/>
              <w:smallCaps w:val="0"/>
              <w:sz w:val="21"/>
              <w:szCs w:val="22"/>
            </w:rPr>
          </w:pPr>
          <w:r>
            <w:fldChar w:fldCharType="begin"/>
          </w:r>
          <w:r>
            <w:instrText xml:space="preserve"> HYPERLINK \l "_Toc82502989" </w:instrText>
          </w:r>
          <w:r>
            <w:fldChar w:fldCharType="separate"/>
          </w:r>
          <w:r>
            <w:rPr>
              <w:rStyle w:val="39"/>
              <w:rFonts w:ascii="Times New Roman" w:hAnsi="Times New Roman" w:cs="Times New Roman"/>
            </w:rPr>
            <w:t>10.7 要求和建议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_Toc82502989 \h </w:instrText>
          </w:r>
          <w:r>
            <w:rPr>
              <w:rFonts w:ascii="Times New Roman" w:hAnsi="Times New Roman" w:cs="Times New Roman"/>
            </w:rPr>
            <w:fldChar w:fldCharType="separate"/>
          </w:r>
          <w:r>
            <w:rPr>
              <w:rFonts w:ascii="Times New Roman" w:hAnsi="Times New Roman" w:cs="Times New Roman"/>
            </w:rPr>
            <w:t>- 148 -</w:t>
          </w:r>
          <w:r>
            <w:rPr>
              <w:rFonts w:ascii="Times New Roman" w:hAnsi="Times New Roman" w:cs="Times New Roman"/>
            </w:rPr>
            <w:fldChar w:fldCharType="end"/>
          </w:r>
          <w:r>
            <w:rPr>
              <w:rFonts w:ascii="Times New Roman" w:hAnsi="Times New Roman" w:cs="Times New Roman"/>
            </w:rPr>
            <w:fldChar w:fldCharType="end"/>
          </w:r>
        </w:p>
        <w:p>
          <w:pPr>
            <w:ind w:firstLine="402"/>
            <w:rPr>
              <w:highlight w:val="yellow"/>
            </w:rPr>
          </w:pPr>
          <w:r>
            <w:rPr>
              <w:rFonts w:asciiTheme="minorHAnsi" w:hAnsiTheme="minorHAnsi" w:cstheme="minorHAnsi"/>
              <w:b/>
              <w:bCs/>
              <w:caps/>
              <w:sz w:val="20"/>
              <w:szCs w:val="20"/>
            </w:rPr>
            <w:fldChar w:fldCharType="end"/>
          </w:r>
        </w:p>
      </w:sdtContent>
    </w:sdt>
    <w:p>
      <w:pPr>
        <w:pStyle w:val="24"/>
        <w:tabs>
          <w:tab w:val="right" w:leader="dot" w:pos="8296"/>
        </w:tabs>
        <w:spacing w:line="500" w:lineRule="exact"/>
        <w:ind w:firstLine="402"/>
        <w:rPr>
          <w:highlight w:val="yellow"/>
        </w:rPr>
      </w:pPr>
    </w:p>
    <w:p>
      <w:pPr>
        <w:pStyle w:val="24"/>
        <w:tabs>
          <w:tab w:val="right" w:leader="dot" w:pos="8296"/>
        </w:tabs>
        <w:spacing w:line="500" w:lineRule="exact"/>
        <w:ind w:firstLine="402"/>
        <w:rPr>
          <w:rFonts w:eastAsiaTheme="minorEastAsia" w:cstheme="minorBidi"/>
          <w:highlight w:val="yellow"/>
        </w:rPr>
      </w:pPr>
      <w:r>
        <w:rPr>
          <w:highlight w:val="yellow"/>
        </w:rPr>
        <w:fldChar w:fldCharType="begin"/>
      </w:r>
      <w:r>
        <w:rPr>
          <w:highlight w:val="yellow"/>
        </w:rPr>
        <w:instrText xml:space="preserve"> TOC \o "1-2" \h \z \u </w:instrText>
      </w:r>
      <w:r>
        <w:rPr>
          <w:highlight w:val="yellow"/>
        </w:rPr>
        <w:fldChar w:fldCharType="separate"/>
      </w:r>
    </w:p>
    <w:p>
      <w:pPr>
        <w:adjustRightInd/>
        <w:snapToGrid/>
        <w:ind w:firstLine="0" w:firstLineChars="0"/>
        <w:rPr>
          <w:b/>
        </w:rPr>
      </w:pPr>
      <w:r>
        <w:rPr>
          <w:rFonts w:hint="eastAsia"/>
          <w:b/>
        </w:rPr>
        <w:t>图件</w:t>
      </w:r>
      <w:r>
        <w:rPr>
          <w:b/>
        </w:rPr>
        <w:t>：</w:t>
      </w:r>
    </w:p>
    <w:p>
      <w:pPr>
        <w:adjustRightInd/>
        <w:snapToGrid/>
        <w:ind w:firstLine="0" w:firstLineChars="0"/>
      </w:pPr>
      <w:r>
        <w:rPr>
          <w:rFonts w:hint="eastAsia"/>
        </w:rPr>
        <w:t>图1.2-1：</w:t>
      </w:r>
      <w:r>
        <w:t>项目</w:t>
      </w:r>
      <w:r>
        <w:rPr>
          <w:rFonts w:hint="eastAsia"/>
        </w:rPr>
        <w:t>土地</w:t>
      </w:r>
      <w:r>
        <w:t>利用规划</w:t>
      </w:r>
      <w:r>
        <w:rPr>
          <w:rFonts w:hint="eastAsia"/>
        </w:rPr>
        <w:t>图</w:t>
      </w:r>
      <w:r>
        <w:t>；</w:t>
      </w:r>
    </w:p>
    <w:p>
      <w:pPr>
        <w:adjustRightInd/>
        <w:snapToGrid/>
        <w:ind w:firstLine="0" w:firstLineChars="0"/>
      </w:pPr>
      <w:r>
        <w:rPr>
          <w:rFonts w:hint="eastAsia"/>
        </w:rPr>
        <w:t>图2.7-1：</w:t>
      </w:r>
      <w:r>
        <w:t>项目四邻关系图；</w:t>
      </w:r>
    </w:p>
    <w:p>
      <w:pPr>
        <w:adjustRightInd/>
        <w:snapToGrid/>
        <w:ind w:firstLine="0" w:firstLineChars="0"/>
      </w:pPr>
      <w:r>
        <w:rPr>
          <w:rFonts w:hint="eastAsia"/>
        </w:rPr>
        <w:t>图2.7-2：</w:t>
      </w:r>
      <w:r>
        <w:t>项目敏感目标及</w:t>
      </w:r>
      <w:r>
        <w:rPr>
          <w:rFonts w:hint="eastAsia"/>
        </w:rPr>
        <w:t>大气</w:t>
      </w:r>
      <w:r>
        <w:t>评价范围图；</w:t>
      </w:r>
    </w:p>
    <w:p>
      <w:pPr>
        <w:adjustRightInd/>
        <w:snapToGrid/>
        <w:ind w:firstLine="0" w:firstLineChars="0"/>
      </w:pPr>
      <w:r>
        <w:rPr>
          <w:rFonts w:hint="eastAsia"/>
        </w:rPr>
        <w:t>图3.</w:t>
      </w:r>
      <w:r>
        <w:t>1</w:t>
      </w:r>
      <w:r>
        <w:rPr>
          <w:rFonts w:hint="eastAsia"/>
        </w:rPr>
        <w:t>-1：</w:t>
      </w:r>
      <w:r>
        <w:t>项目地理位置图；</w:t>
      </w:r>
    </w:p>
    <w:p>
      <w:pPr>
        <w:adjustRightInd/>
        <w:snapToGrid/>
        <w:ind w:firstLine="0" w:firstLineChars="0"/>
      </w:pPr>
      <w:r>
        <w:rPr>
          <w:rFonts w:hint="eastAsia"/>
        </w:rPr>
        <w:t>图3.</w:t>
      </w:r>
      <w:r>
        <w:t>1</w:t>
      </w:r>
      <w:r>
        <w:rPr>
          <w:rFonts w:hint="eastAsia"/>
        </w:rPr>
        <w:t>-2：</w:t>
      </w:r>
      <w:r>
        <w:t>项目</w:t>
      </w:r>
      <w:r>
        <w:rPr>
          <w:rFonts w:hint="eastAsia"/>
        </w:rPr>
        <w:t>平面</w:t>
      </w:r>
      <w:r>
        <w:t>布置示意图；</w:t>
      </w:r>
    </w:p>
    <w:p>
      <w:pPr>
        <w:adjustRightInd/>
        <w:snapToGrid/>
        <w:ind w:firstLine="0" w:firstLineChars="0"/>
      </w:pPr>
      <w:r>
        <w:rPr>
          <w:rFonts w:hint="eastAsia"/>
        </w:rPr>
        <w:t>图</w:t>
      </w:r>
      <w:r>
        <w:t>4</w:t>
      </w:r>
      <w:r>
        <w:rPr>
          <w:rFonts w:hint="eastAsia"/>
        </w:rPr>
        <w:t>.4-1：项目监测</w:t>
      </w:r>
      <w:r>
        <w:t>点位图。</w:t>
      </w:r>
    </w:p>
    <w:p>
      <w:pPr>
        <w:adjustRightInd/>
        <w:snapToGrid/>
        <w:ind w:firstLine="0" w:firstLineChars="0"/>
      </w:pPr>
    </w:p>
    <w:p>
      <w:pPr>
        <w:adjustRightInd/>
        <w:snapToGrid/>
        <w:ind w:firstLine="0" w:firstLineChars="0"/>
      </w:pPr>
    </w:p>
    <w:p>
      <w:pPr>
        <w:adjustRightInd/>
        <w:snapToGrid/>
        <w:ind w:firstLine="0" w:firstLineChars="0"/>
      </w:pPr>
    </w:p>
    <w:p>
      <w:pPr>
        <w:adjustRightInd/>
        <w:snapToGrid/>
        <w:ind w:firstLine="0" w:firstLineChars="0"/>
        <w:rPr>
          <w:b/>
        </w:rPr>
      </w:pPr>
      <w:r>
        <w:rPr>
          <w:rFonts w:hint="eastAsia"/>
          <w:b/>
        </w:rPr>
        <w:t>附件</w:t>
      </w:r>
      <w:r>
        <w:rPr>
          <w:b/>
        </w:rPr>
        <w:t>：</w:t>
      </w:r>
    </w:p>
    <w:p>
      <w:pPr>
        <w:adjustRightInd/>
        <w:snapToGrid/>
        <w:ind w:firstLine="0" w:firstLineChars="0"/>
      </w:pPr>
      <w:r>
        <w:rPr>
          <w:rFonts w:hint="eastAsia"/>
        </w:rPr>
        <w:t>附件1：《陕西宏达坤生物科技有限公司</w:t>
      </w:r>
      <w:r>
        <w:t>黄姜提取物研究基地项目环评委托书</w:t>
      </w:r>
      <w:r>
        <w:rPr>
          <w:rFonts w:hint="eastAsia"/>
        </w:rPr>
        <w:t>》</w:t>
      </w:r>
      <w:r>
        <w:t>；</w:t>
      </w:r>
    </w:p>
    <w:p>
      <w:pPr>
        <w:adjustRightInd/>
        <w:snapToGrid/>
        <w:ind w:firstLine="0" w:firstLineChars="0"/>
      </w:pPr>
      <w:r>
        <w:rPr>
          <w:rFonts w:hint="eastAsia"/>
        </w:rPr>
        <w:t>附件2：陕西省企业</w:t>
      </w:r>
      <w:r>
        <w:t>投资项目备案确认</w:t>
      </w:r>
      <w:r>
        <w:rPr>
          <w:rFonts w:hint="eastAsia"/>
        </w:rPr>
        <w:t>书</w:t>
      </w:r>
      <w:r>
        <w:t>；</w:t>
      </w:r>
    </w:p>
    <w:p>
      <w:pPr>
        <w:adjustRightInd/>
        <w:snapToGrid/>
        <w:ind w:firstLine="0" w:firstLineChars="0"/>
      </w:pPr>
      <w:r>
        <w:rPr>
          <w:rFonts w:hint="eastAsia"/>
        </w:rPr>
        <w:t>附件3：项目</w:t>
      </w:r>
      <w:r>
        <w:t>厂房租赁合同；</w:t>
      </w:r>
    </w:p>
    <w:p>
      <w:pPr>
        <w:adjustRightInd/>
        <w:snapToGrid/>
        <w:ind w:firstLine="0" w:firstLineChars="0"/>
      </w:pPr>
      <w:r>
        <w:rPr>
          <w:rFonts w:hint="eastAsia"/>
        </w:rPr>
        <w:t>附件4：陕西</w:t>
      </w:r>
      <w:r>
        <w:t>省环境保护厅关于旬阳高新技术产业开发区规划环境因袭报告书审查意见的函</w:t>
      </w:r>
      <w:r>
        <w:rPr>
          <w:rFonts w:hint="eastAsia"/>
        </w:rPr>
        <w:t>（陕</w:t>
      </w:r>
      <w:r>
        <w:t>环函</w:t>
      </w:r>
      <w:r>
        <w:rPr>
          <w:rFonts w:hint="eastAsia"/>
        </w:rPr>
        <w:t>[</w:t>
      </w:r>
      <w:r>
        <w:t>2017</w:t>
      </w:r>
      <w:r>
        <w:rPr>
          <w:rFonts w:hint="eastAsia"/>
        </w:rPr>
        <w:t>]</w:t>
      </w:r>
      <w:r>
        <w:t>820</w:t>
      </w:r>
      <w:r>
        <w:rPr>
          <w:rFonts w:hint="eastAsia"/>
        </w:rPr>
        <w:t>号）；</w:t>
      </w:r>
    </w:p>
    <w:p>
      <w:pPr>
        <w:adjustRightInd/>
        <w:snapToGrid/>
        <w:ind w:firstLine="0" w:firstLineChars="0"/>
      </w:pPr>
      <w:r>
        <w:rPr>
          <w:rFonts w:hint="eastAsia"/>
        </w:rPr>
        <w:t>附件</w:t>
      </w:r>
      <w:r>
        <w:t>5</w:t>
      </w:r>
      <w:r>
        <w:rPr>
          <w:rFonts w:hint="eastAsia"/>
        </w:rPr>
        <w:t>：陕西宏达坤生物科技有限公司</w:t>
      </w:r>
      <w:r>
        <w:t>黄姜提取物研究基地项目环评现状监测</w:t>
      </w:r>
      <w:r>
        <w:rPr>
          <w:rFonts w:hint="eastAsia"/>
        </w:rPr>
        <w:t>；</w:t>
      </w:r>
    </w:p>
    <w:p>
      <w:pPr>
        <w:adjustRightInd/>
        <w:snapToGrid/>
        <w:ind w:firstLine="0" w:firstLineChars="0"/>
      </w:pPr>
      <w:r>
        <w:rPr>
          <w:rFonts w:hint="eastAsia"/>
        </w:rPr>
        <w:t>附件6：</w:t>
      </w:r>
      <w:r>
        <w:t>陕西宏达坤</w:t>
      </w:r>
      <w:r>
        <w:rPr>
          <w:rFonts w:hint="eastAsia"/>
        </w:rPr>
        <w:t>生物</w:t>
      </w:r>
      <w:r>
        <w:t>科技有限公司营业执照</w:t>
      </w:r>
      <w:r>
        <w:rPr>
          <w:rFonts w:hint="eastAsia"/>
        </w:rPr>
        <w:t>。</w:t>
      </w:r>
    </w:p>
    <w:p>
      <w:pPr>
        <w:adjustRightInd/>
        <w:snapToGrid/>
        <w:ind w:firstLine="0" w:firstLineChars="0"/>
        <w:rPr>
          <w:highlight w:val="yellow"/>
        </w:rPr>
      </w:pPr>
    </w:p>
    <w:p>
      <w:pPr>
        <w:pStyle w:val="29"/>
        <w:spacing w:line="500" w:lineRule="exact"/>
        <w:ind w:firstLine="420"/>
        <w:rPr>
          <w:rFonts w:eastAsiaTheme="minorEastAsia" w:cstheme="minorBidi"/>
          <w:sz w:val="21"/>
          <w:highlight w:val="yellow"/>
        </w:rPr>
      </w:pPr>
    </w:p>
    <w:p>
      <w:pPr>
        <w:spacing w:line="240" w:lineRule="auto"/>
        <w:ind w:firstLine="0" w:firstLineChars="0"/>
        <w:rPr>
          <w:highlight w:val="yellow"/>
        </w:rPr>
      </w:pPr>
      <w:r>
        <w:rPr>
          <w:highlight w:val="yellow"/>
        </w:rPr>
        <w:fldChar w:fldCharType="end"/>
      </w: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r>
        <w:rPr>
          <w:highlight w:val="yellow"/>
        </w:rPr>
        <w:br w:type="column"/>
      </w:r>
    </w:p>
    <w:p>
      <w:pPr>
        <w:ind w:firstLine="480"/>
        <w:rPr>
          <w:highlight w:val="yellow"/>
        </w:rPr>
      </w:pPr>
    </w:p>
    <w:p>
      <w:pPr>
        <w:ind w:firstLine="480"/>
        <w:rPr>
          <w:highlight w:val="yellow"/>
        </w:rPr>
      </w:pPr>
    </w:p>
    <w:p>
      <w:pPr>
        <w:ind w:firstLine="480"/>
        <w:rPr>
          <w:highlight w:val="yellow"/>
        </w:rPr>
        <w:sectPr>
          <w:headerReference r:id="rId11" w:type="first"/>
          <w:footerReference r:id="rId13" w:type="first"/>
          <w:headerReference r:id="rId9" w:type="default"/>
          <w:footerReference r:id="rId12" w:type="default"/>
          <w:headerReference r:id="rId10" w:type="even"/>
          <w:pgSz w:w="11906" w:h="16838"/>
          <w:pgMar w:top="1440" w:right="1418" w:bottom="1440" w:left="1418" w:header="992" w:footer="992" w:gutter="0"/>
          <w:pgNumType w:fmt="upperRoman" w:start="1"/>
          <w:cols w:space="425" w:num="1"/>
          <w:docGrid w:type="lines" w:linePitch="326" w:charSpace="0"/>
        </w:sectPr>
      </w:pPr>
    </w:p>
    <w:p>
      <w:pPr>
        <w:pStyle w:val="2"/>
      </w:pPr>
      <w:bookmarkStart w:id="0" w:name="_Toc488102141"/>
      <w:bookmarkStart w:id="1" w:name="_Toc82502931"/>
      <w:r>
        <w:rPr>
          <w:rFonts w:hint="eastAsia"/>
        </w:rPr>
        <w:t>概述</w:t>
      </w:r>
      <w:bookmarkEnd w:id="0"/>
      <w:bookmarkEnd w:id="1"/>
    </w:p>
    <w:p>
      <w:pPr>
        <w:pStyle w:val="3"/>
      </w:pPr>
      <w:bookmarkStart w:id="2" w:name="_Toc82502932"/>
      <w:r>
        <w:rPr>
          <w:rFonts w:hint="eastAsia"/>
        </w:rPr>
        <w:t>项目背景</w:t>
      </w:r>
      <w:r>
        <w:t>及</w:t>
      </w:r>
      <w:r>
        <w:rPr>
          <w:rFonts w:hint="eastAsia"/>
        </w:rPr>
        <w:t>由来</w:t>
      </w:r>
      <w:bookmarkEnd w:id="2"/>
    </w:p>
    <w:p>
      <w:pPr>
        <w:ind w:firstLine="480"/>
      </w:pPr>
      <w:r>
        <w:rPr>
          <w:rFonts w:hint="eastAsia"/>
        </w:rPr>
        <w:t>姜因其根茎中富含薯蓣皂元，是我国用来生产甾体激素类药物的主要原料植物。近年来，随着国家生态环境保护日趋严格的政策要求和绿色化、循环化、低碳化产业发展的发展态势，传统工艺提取黄姜皂素存在着出品率低、废水排放量大且达标排放处理难度大、成本高等难题，该产业成为“水十条”和陕西省水污染防治三年行动方案中限值发展的产业。为有效破解传统工艺存在的出品率低、环境污染重的难题，建设</w:t>
      </w:r>
      <w:r>
        <w:t>单位</w:t>
      </w:r>
      <w:r>
        <w:rPr>
          <w:rFonts w:hint="eastAsia"/>
        </w:rPr>
        <w:t>在创业期于2019年01月至2020年11月在河南郑州市开展了一种无废水排放提取黄姜皂素新工艺试验室小试。试验运用微粉加压破壁双向溶剂提取的原理，围绕围绕前处理、破壁、醇提、酸解、醚提和结晶工段中颗粒度、压力、固液比、温度、时间、精滤度等系列因变量、自变量，科学、系统、全面地进行了连续试验。小试每次投放量在300kg-600kg之间，可出成品在10kg-20kg。各试验经10次以上稳定出产后，得出了其最佳参数数据，试验生产的皂素产品，经化验符合国家行业标准。</w:t>
      </w:r>
    </w:p>
    <w:p>
      <w:pPr>
        <w:ind w:firstLine="480"/>
        <w:rPr>
          <w:rFonts w:hint="eastAsia"/>
        </w:rPr>
      </w:pPr>
      <w:r>
        <w:rPr>
          <w:rFonts w:hint="eastAsia"/>
        </w:rPr>
        <w:t>小试的主要成果有：</w:t>
      </w:r>
    </w:p>
    <w:p>
      <w:pPr>
        <w:ind w:firstLine="480"/>
        <w:rPr>
          <w:rFonts w:hint="eastAsia"/>
        </w:rPr>
      </w:pPr>
      <w:r>
        <w:rPr>
          <w:rFonts w:hint="eastAsia"/>
        </w:rPr>
        <w:t>（一）环保方面</w:t>
      </w:r>
    </w:p>
    <w:p>
      <w:pPr>
        <w:ind w:firstLine="480"/>
        <w:rPr>
          <w:rFonts w:hint="eastAsia"/>
        </w:rPr>
      </w:pPr>
      <w:r>
        <w:rPr>
          <w:rFonts w:hint="eastAsia"/>
        </w:rPr>
        <w:t>1、废水：新工艺以干黄姜切片替代传统工艺使用的新鲜黄姜，在全封闭状态下，微粉至300目以上进行破壁，破壁后经两次2000目以上滤芯精滤，保证了浸膏中仅有少量水分，基本不含可分解物质。后续使用4-5%的稀硫酸酸解，酸解废液中COD含量仅为150-200mg/L左右（传统工艺是将全部物料进行发酵酸解，物料中含有大量的可分解物质，一般使用36%左右硫酸酸解，单位产品废酸水平均产生量为500立方米/吨，且COD可高达20000mg/L以上）。新工艺废酸水使用活性炭或硅胶吸附处理后，再添加浓酸调节浓度保持4-5%，可以循环使用。经小试试验，新工艺废酸水循环利用不影响最终产品的质量和出品率，实现了工艺无废水排放。</w:t>
      </w:r>
    </w:p>
    <w:p>
      <w:pPr>
        <w:ind w:firstLine="480"/>
        <w:rPr>
          <w:rFonts w:hint="eastAsia"/>
        </w:rPr>
      </w:pPr>
      <w:r>
        <w:rPr>
          <w:rFonts w:hint="eastAsia"/>
        </w:rPr>
        <w:t>2、噪音、粉尘和气体排放：风机安装消音器，微粉系统、物料输送系统均安装了袋式除尘器，每个下料口均安装了封闭式卸料器。加之，整个工艺系统都是封闭式运作，两项溶剂尾气出口均加装了冷冻回收装置，有效的防止了粉尘、溶剂尾气产生。</w:t>
      </w:r>
    </w:p>
    <w:p>
      <w:pPr>
        <w:ind w:firstLine="480"/>
        <w:rPr>
          <w:rFonts w:hint="eastAsia"/>
        </w:rPr>
      </w:pPr>
      <w:r>
        <w:rPr>
          <w:rFonts w:hint="eastAsia"/>
        </w:rPr>
        <w:t>3、节能：新工艺系统全封闭，使用的两样溶剂均能利用冷却技术顺利回收，经小试试验，吨物料消耗甲醇5kg，石油醚4kg，耗电504度，蒸汽3方，工艺自控化程度很高，在用能和用料方面均优于传统工艺。</w:t>
      </w:r>
    </w:p>
    <w:p>
      <w:pPr>
        <w:ind w:firstLine="480"/>
        <w:rPr>
          <w:rFonts w:hint="eastAsia"/>
        </w:rPr>
      </w:pPr>
      <w:r>
        <w:rPr>
          <w:rFonts w:hint="eastAsia"/>
        </w:rPr>
        <w:t>（二）产品方面</w:t>
      </w:r>
    </w:p>
    <w:p>
      <w:pPr>
        <w:ind w:firstLine="480"/>
        <w:rPr>
          <w:rFonts w:hint="eastAsia"/>
        </w:rPr>
      </w:pPr>
      <w:r>
        <w:rPr>
          <w:rFonts w:hint="eastAsia"/>
        </w:rPr>
        <w:t>1、出品率：新工艺在全封闭状态下进行微粉破壁，能够充分提取物料中的有效成分，避免了传统工艺中发酵、酸解、冲洗等流程导致的有效成分流失。经试验对比，新工艺比传统工艺出品率提高10%左右。</w:t>
      </w:r>
    </w:p>
    <w:p>
      <w:pPr>
        <w:ind w:firstLine="480"/>
      </w:pPr>
      <w:r>
        <w:rPr>
          <w:rFonts w:hint="eastAsia"/>
        </w:rPr>
        <w:t>2、产品质量：经市场调查，传统工艺皂素纯度只能达到95%左右，本工艺生产皂素经专业机构多批次检测，纯度能到达99%以上，色泽呈类白色，含水量0.3-0.45%，熔点195℃，无机械杂质，产品合格。</w:t>
      </w:r>
    </w:p>
    <w:p>
      <w:pPr>
        <w:ind w:firstLine="480"/>
        <w:rPr>
          <w:rFonts w:hint="eastAsia"/>
        </w:rPr>
      </w:pPr>
      <w:r>
        <w:rPr>
          <w:rFonts w:hint="eastAsia"/>
        </w:rPr>
        <w:t>产品化验单、样品照片如下</w:t>
      </w:r>
      <w:r>
        <w:t>：</w:t>
      </w:r>
    </w:p>
    <w:tbl>
      <w:tblPr>
        <w:tblStyle w:val="36"/>
        <w:tblW w:w="83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4"/>
        <w:gridCol w:w="4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84" w:type="dxa"/>
            <w:vAlign w:val="center"/>
          </w:tcPr>
          <w:p>
            <w:pPr>
              <w:pStyle w:val="97"/>
            </w:pPr>
            <w:r>
              <w:drawing>
                <wp:inline distT="0" distB="0" distL="0" distR="0">
                  <wp:extent cx="2519680" cy="2159635"/>
                  <wp:effectExtent l="0" t="0" r="0" b="0"/>
                  <wp:docPr id="3" name="图片 3" descr="G:\君润环保\2021\03安康中药材5.12\小试资料\小试的水解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君润环保\2021\03安康中药材5.12\小试资料\小试的水解物.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c>
          <w:tcPr>
            <w:tcW w:w="4184" w:type="dxa"/>
            <w:vAlign w:val="center"/>
          </w:tcPr>
          <w:p>
            <w:pPr>
              <w:pStyle w:val="97"/>
            </w:pPr>
            <w:r>
              <w:drawing>
                <wp:inline distT="0" distB="0" distL="0" distR="0">
                  <wp:extent cx="2519680" cy="2159635"/>
                  <wp:effectExtent l="0" t="0" r="0" b="0"/>
                  <wp:docPr id="14" name="图片 14" descr="G:\君润环保\2021\03安康中药材5.12\小试资料\小试的皂素成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君润环保\2021\03安康中药材5.12\小试资料\小试的皂素成品.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84" w:type="dxa"/>
            <w:vAlign w:val="center"/>
          </w:tcPr>
          <w:p>
            <w:pPr>
              <w:pStyle w:val="97"/>
              <w:rPr>
                <w:b/>
              </w:rPr>
            </w:pPr>
            <w:r>
              <w:rPr>
                <w:rFonts w:hint="eastAsia"/>
                <w:b/>
              </w:rPr>
              <w:t>小试</w:t>
            </w:r>
            <w:r>
              <w:rPr>
                <w:b/>
              </w:rPr>
              <w:t>水解物</w:t>
            </w:r>
          </w:p>
        </w:tc>
        <w:tc>
          <w:tcPr>
            <w:tcW w:w="4184" w:type="dxa"/>
            <w:vAlign w:val="center"/>
          </w:tcPr>
          <w:p>
            <w:pPr>
              <w:pStyle w:val="97"/>
              <w:rPr>
                <w:b/>
              </w:rPr>
            </w:pPr>
            <w:r>
              <w:rPr>
                <w:rFonts w:hint="eastAsia"/>
                <w:b/>
              </w:rPr>
              <w:t>小试</w:t>
            </w:r>
            <w:r>
              <w:rPr>
                <w:b/>
              </w:rPr>
              <w:t>皂素成品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84" w:type="dxa"/>
            <w:vAlign w:val="center"/>
          </w:tcPr>
          <w:p>
            <w:pPr>
              <w:pStyle w:val="97"/>
            </w:pPr>
            <w:r>
              <w:drawing>
                <wp:inline distT="0" distB="0" distL="0" distR="0">
                  <wp:extent cx="2519680" cy="2159635"/>
                  <wp:effectExtent l="0" t="0" r="0" b="0"/>
                  <wp:docPr id="15" name="图片 15" descr="G:\君润环保\2021\03安康中药材5.12\小试资料\小试结晶过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君润环保\2021\03安康中药材5.12\小试资料\小试结晶过程.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c>
          <w:tcPr>
            <w:tcW w:w="4184" w:type="dxa"/>
            <w:vAlign w:val="center"/>
          </w:tcPr>
          <w:p>
            <w:pPr>
              <w:pStyle w:val="97"/>
            </w:pPr>
            <w:r>
              <w:drawing>
                <wp:inline distT="0" distB="0" distL="0" distR="0">
                  <wp:extent cx="2519680" cy="2159635"/>
                  <wp:effectExtent l="0" t="0" r="0" b="0"/>
                  <wp:docPr id="16" name="图片 16" descr="G:\君润环保\2021\03安康中药材5.12\小试资料\小试成品化验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君润环保\2021\03安康中药材5.12\小试资料\小试成品化验单.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84" w:type="dxa"/>
            <w:vAlign w:val="center"/>
          </w:tcPr>
          <w:p>
            <w:pPr>
              <w:pStyle w:val="97"/>
              <w:rPr>
                <w:b/>
              </w:rPr>
            </w:pPr>
            <w:r>
              <w:rPr>
                <w:rFonts w:hint="eastAsia"/>
                <w:b/>
              </w:rPr>
              <w:t>小试</w:t>
            </w:r>
            <w:r>
              <w:rPr>
                <w:b/>
              </w:rPr>
              <w:t>结晶过程</w:t>
            </w:r>
          </w:p>
        </w:tc>
        <w:tc>
          <w:tcPr>
            <w:tcW w:w="4184" w:type="dxa"/>
            <w:vAlign w:val="center"/>
          </w:tcPr>
          <w:p>
            <w:pPr>
              <w:pStyle w:val="97"/>
              <w:rPr>
                <w:b/>
              </w:rPr>
            </w:pPr>
            <w:r>
              <w:rPr>
                <w:rFonts w:hint="eastAsia"/>
                <w:b/>
              </w:rPr>
              <w:t>小试</w:t>
            </w:r>
            <w:r>
              <w:rPr>
                <w:b/>
              </w:rPr>
              <w:t>产品化验单</w:t>
            </w:r>
          </w:p>
        </w:tc>
      </w:tr>
    </w:tbl>
    <w:p>
      <w:pPr>
        <w:ind w:firstLine="480"/>
      </w:pPr>
    </w:p>
    <w:p>
      <w:pPr>
        <w:ind w:firstLine="480"/>
        <w:rPr>
          <w:rFonts w:hint="eastAsia"/>
        </w:rPr>
      </w:pPr>
      <w:r>
        <w:rPr>
          <w:rFonts w:hint="eastAsia"/>
        </w:rPr>
        <w:t>（三）科技成果方面</w:t>
      </w:r>
    </w:p>
    <w:p>
      <w:pPr>
        <w:ind w:firstLine="480"/>
        <w:rPr>
          <w:rFonts w:hint="eastAsia"/>
        </w:rPr>
      </w:pPr>
      <w:r>
        <w:rPr>
          <w:rFonts w:hint="eastAsia"/>
        </w:rPr>
        <w:t>1、本项目小试研发的一种无废水排放提取黄姜皂素新工艺，已经作为发明专利报至国家科技部，顺利通过了一次审查和公示，今年8月，已经收到二次审查通知，正在办理后续相关手续中。</w:t>
      </w:r>
    </w:p>
    <w:p>
      <w:pPr>
        <w:ind w:firstLine="480"/>
        <w:rPr>
          <w:rFonts w:hint="eastAsia"/>
        </w:rPr>
      </w:pPr>
      <w:r>
        <w:rPr>
          <w:rFonts w:hint="eastAsia"/>
        </w:rPr>
        <w:t>2、工艺中皂苷加酸或石油醚溶剂和酸提取皂素技术已经获得国家发明专利，专利号：CN110305182A。</w:t>
      </w:r>
    </w:p>
    <w:p>
      <w:pPr>
        <w:ind w:firstLine="480"/>
      </w:pPr>
      <w:r>
        <w:rPr>
          <w:rFonts w:hint="eastAsia"/>
        </w:rPr>
        <w:t>3、工艺中醚提取和醇提取装置已经获得实用新型专利（一种节能的提取装置），专利号：CN208741978U。</w:t>
      </w:r>
    </w:p>
    <w:p>
      <w:pPr>
        <w:ind w:firstLine="480"/>
      </w:pPr>
      <w:r>
        <w:rPr>
          <w:rFonts w:hint="eastAsia"/>
        </w:rPr>
        <w:t>根据在郑州开展的小试结果，建设单位于2019年底开始多次到安康、旬阳各地开展考察，注册了陕西省宏达坤生物科技有限公司。经比选，拟在旬阳高新区吕河工业园区投资建设黄姜提取物研究基地项目，进一步确定项目生产流程中涉及的压力、温度等相关参数，为下阶段产业化推广应用提供科学支撑，为重振旬阳市和陕南地区黄姜产业，加快农业产业化，推动乡村振兴，促进农户持续稳定增收做出贡献。中</w:t>
      </w:r>
      <w:r>
        <w:t>试</w:t>
      </w:r>
      <w:r>
        <w:rPr>
          <w:rFonts w:hint="eastAsia"/>
        </w:rPr>
        <w:t>试验目的为</w:t>
      </w:r>
      <w:r>
        <w:t>：</w:t>
      </w:r>
      <w:r>
        <w:rPr>
          <w:rFonts w:hint="eastAsia"/>
        </w:rPr>
        <w:t>检测扩大投料量后，设备的稳定性、设备各处是否有瓶颈口、各设备的温度压力与小试是否有区别、固液配比、提取时间是否有变化，各种消耗品与产品产出的比例关系。检测酸解后的废水COD的含量及调整浓度后，是否能循环使用；设备放大后，产品的出品率是否有变化，产品质量是否稳定和达标。</w:t>
      </w:r>
    </w:p>
    <w:p>
      <w:pPr>
        <w:ind w:firstLine="480"/>
      </w:pPr>
      <w:r>
        <w:rPr>
          <w:rFonts w:hint="eastAsia"/>
        </w:rPr>
        <w:t>项目</w:t>
      </w:r>
      <w:r>
        <w:t>已于</w:t>
      </w:r>
      <w:r>
        <w:rPr>
          <w:rFonts w:hint="eastAsia"/>
        </w:rPr>
        <w:t>202</w:t>
      </w:r>
      <w:r>
        <w:t>1</w:t>
      </w:r>
      <w:r>
        <w:rPr>
          <w:rFonts w:hint="eastAsia"/>
        </w:rPr>
        <w:t>年</w:t>
      </w:r>
      <w:r>
        <w:t>3</w:t>
      </w:r>
      <w:r>
        <w:rPr>
          <w:rFonts w:hint="eastAsia"/>
        </w:rPr>
        <w:t>月</w:t>
      </w:r>
      <w:r>
        <w:t>1</w:t>
      </w:r>
      <w:r>
        <w:rPr>
          <w:rFonts w:hint="eastAsia"/>
        </w:rPr>
        <w:t>日</w:t>
      </w:r>
      <w:r>
        <w:t>取得</w:t>
      </w:r>
      <w:r>
        <w:rPr>
          <w:rFonts w:hint="eastAsia"/>
        </w:rPr>
        <w:t>旬阳</w:t>
      </w:r>
      <w:r>
        <w:t>高新区经济</w:t>
      </w:r>
      <w:r>
        <w:rPr>
          <w:rFonts w:hint="eastAsia"/>
        </w:rPr>
        <w:t>发展</w:t>
      </w:r>
      <w:r>
        <w:t>和招商局审核通过的陕西省企业投资项目备案确</w:t>
      </w:r>
      <w:r>
        <w:rPr>
          <w:rFonts w:hint="eastAsia"/>
        </w:rPr>
        <w:t>任</w:t>
      </w:r>
      <w:r>
        <w:t>书</w:t>
      </w:r>
      <w:r>
        <w:rPr>
          <w:rFonts w:hint="eastAsia"/>
        </w:rPr>
        <w:t>（项目</w:t>
      </w:r>
      <w:r>
        <w:t>代码</w:t>
      </w:r>
      <w:r>
        <w:rPr>
          <w:rFonts w:hint="eastAsia"/>
        </w:rPr>
        <w:t>：2102-610963-04-01-142083）。</w:t>
      </w:r>
    </w:p>
    <w:p>
      <w:pPr>
        <w:pStyle w:val="3"/>
      </w:pPr>
      <w:bookmarkStart w:id="3" w:name="_Toc488102144"/>
      <w:bookmarkStart w:id="4" w:name="_Toc82502933"/>
      <w:bookmarkStart w:id="5" w:name="_Toc488102143"/>
      <w:r>
        <w:rPr>
          <w:rFonts w:hint="eastAsia"/>
        </w:rPr>
        <w:t>分析判定相关情况</w:t>
      </w:r>
      <w:bookmarkEnd w:id="3"/>
      <w:bookmarkEnd w:id="4"/>
    </w:p>
    <w:p>
      <w:pPr>
        <w:pStyle w:val="4"/>
      </w:pPr>
      <w:r>
        <w:rPr>
          <w:rFonts w:hint="eastAsia"/>
        </w:rPr>
        <w:t>产业政策相符性</w:t>
      </w:r>
    </w:p>
    <w:p>
      <w:pPr>
        <w:ind w:firstLine="480"/>
      </w:pPr>
      <w:r>
        <w:rPr>
          <w:rFonts w:hint="eastAsia"/>
        </w:rPr>
        <w:t>根据《国民</w:t>
      </w:r>
      <w:r>
        <w:t>经济行业分类</w:t>
      </w:r>
      <w:r>
        <w:rPr>
          <w:rFonts w:hint="eastAsia"/>
        </w:rPr>
        <w:t>》（GB/T</w:t>
      </w:r>
      <w:r>
        <w:t>4754-2017</w:t>
      </w:r>
      <w:r>
        <w:rPr>
          <w:rFonts w:hint="eastAsia"/>
        </w:rPr>
        <w:t>），</w:t>
      </w:r>
      <w:r>
        <w:t>项目属于</w:t>
      </w:r>
      <w:r>
        <w:rPr>
          <w:rFonts w:ascii="宋体" w:hAnsi="宋体"/>
        </w:rPr>
        <w:t>“</w:t>
      </w:r>
      <w:r>
        <w:t>27</w:t>
      </w:r>
      <w:r>
        <w:rPr>
          <w:rFonts w:hint="eastAsia" w:ascii="宋体" w:hAnsi="宋体"/>
        </w:rPr>
        <w:t>医药制造业</w:t>
      </w:r>
      <w:r>
        <w:rPr>
          <w:rFonts w:ascii="宋体" w:hAnsi="宋体"/>
        </w:rPr>
        <w:t>，</w:t>
      </w:r>
      <w:r>
        <w:t>2710 化学药</w:t>
      </w:r>
      <w:r>
        <w:rPr>
          <w:rFonts w:ascii="宋体" w:hAnsi="宋体"/>
        </w:rPr>
        <w:t>品原料药制造”</w:t>
      </w:r>
      <w:r>
        <w:rPr>
          <w:rFonts w:hint="eastAsia" w:ascii="宋体" w:hAnsi="宋体"/>
        </w:rPr>
        <w:t>以及</w:t>
      </w:r>
      <w:r>
        <w:rPr>
          <w:rFonts w:ascii="宋体" w:hAnsi="宋体"/>
        </w:rPr>
        <w:t>“</w:t>
      </w:r>
      <w:r>
        <w:rPr>
          <w:rStyle w:val="88"/>
        </w:rPr>
        <w:t>73</w:t>
      </w:r>
      <w:r>
        <w:rPr>
          <w:rStyle w:val="88"/>
          <w:rFonts w:hint="eastAsia"/>
        </w:rPr>
        <w:t>研究</w:t>
      </w:r>
      <w:r>
        <w:rPr>
          <w:rFonts w:ascii="宋体" w:hAnsi="宋体"/>
        </w:rPr>
        <w:t>和试验发展</w:t>
      </w:r>
      <w:r>
        <w:rPr>
          <w:rFonts w:hint="eastAsia" w:ascii="宋体" w:hAnsi="宋体"/>
        </w:rPr>
        <w:t>，</w:t>
      </w:r>
      <w:r>
        <w:rPr>
          <w:rStyle w:val="88"/>
          <w:rFonts w:hint="eastAsia"/>
        </w:rPr>
        <w:t>7320</w:t>
      </w:r>
      <w:r>
        <w:rPr>
          <w:rStyle w:val="88"/>
        </w:rPr>
        <w:t xml:space="preserve"> </w:t>
      </w:r>
      <w:r>
        <w:rPr>
          <w:rStyle w:val="88"/>
          <w:rFonts w:hint="eastAsia"/>
        </w:rPr>
        <w:t>工程</w:t>
      </w:r>
      <w:r>
        <w:rPr>
          <w:rStyle w:val="88"/>
        </w:rPr>
        <w:t>和技术研究和试验</w:t>
      </w:r>
      <w:r>
        <w:rPr>
          <w:rFonts w:ascii="宋体" w:hAnsi="宋体"/>
        </w:rPr>
        <w:t>发展”</w:t>
      </w:r>
      <w:r>
        <w:rPr>
          <w:rFonts w:hint="eastAsia" w:ascii="宋体" w:hAnsi="宋体"/>
        </w:rPr>
        <w:t>。</w:t>
      </w:r>
      <w:r>
        <w:t>根据国家发展和改革委员会</w:t>
      </w:r>
      <w:r>
        <w:rPr>
          <w:rFonts w:hint="eastAsia"/>
        </w:rPr>
        <w:t>令</w:t>
      </w:r>
      <w:r>
        <w:t>第29号令《产业结构调整指导目录（2019年本）》，本项目</w:t>
      </w:r>
      <w:r>
        <w:rPr>
          <w:rFonts w:hint="eastAsia"/>
        </w:rPr>
        <w:t>不</w:t>
      </w:r>
      <w:r>
        <w:t>属于</w:t>
      </w:r>
      <w:r>
        <w:rPr>
          <w:rFonts w:hint="eastAsia"/>
        </w:rPr>
        <w:t>鼓励</w:t>
      </w:r>
      <w:r>
        <w:t>类、限制类和淘汰类</w:t>
      </w:r>
      <w:r>
        <w:rPr>
          <w:rFonts w:hint="eastAsia"/>
        </w:rPr>
        <w:t>，</w:t>
      </w:r>
      <w:r>
        <w:t>视为允许类。</w:t>
      </w:r>
    </w:p>
    <w:p>
      <w:pPr>
        <w:pStyle w:val="87"/>
        <w:ind w:firstLine="480"/>
        <w:rPr>
          <w:rFonts w:cs="Times New Roman"/>
        </w:rPr>
      </w:pPr>
      <w:r>
        <w:rPr>
          <w:rFonts w:cs="Times New Roman"/>
        </w:rPr>
        <w:t>因此，项目的建设符合国家产业政策。</w:t>
      </w:r>
    </w:p>
    <w:p>
      <w:pPr>
        <w:ind w:firstLine="480"/>
      </w:pPr>
      <w:r>
        <w:t>根据国家发展改革委、商务部关于印发《市场准入负面清单（2020年版）》的通知（发改经体[2020]1880号），本项目为</w:t>
      </w:r>
      <w:r>
        <w:rPr>
          <w:rFonts w:hint="eastAsia"/>
        </w:rPr>
        <w:t>医药制造业</w:t>
      </w:r>
      <w:r>
        <w:t>，不属于其中的禁止</w:t>
      </w:r>
      <w:r>
        <w:rPr>
          <w:rFonts w:hint="eastAsia"/>
        </w:rPr>
        <w:t>准入</w:t>
      </w:r>
      <w:r>
        <w:t>类事项。</w:t>
      </w:r>
    </w:p>
    <w:p>
      <w:pPr>
        <w:ind w:firstLine="480"/>
      </w:pPr>
      <w:r>
        <w:t>根据《陕西省国家重点生态功能区产业准入负面清单（试行）》，项目位于</w:t>
      </w:r>
      <w:r>
        <w:rPr>
          <w:rFonts w:hint="eastAsia"/>
        </w:rPr>
        <w:t>旬阳高新区吕河工业园</w:t>
      </w:r>
      <w:r>
        <w:t>，</w:t>
      </w:r>
      <w:r>
        <w:rPr>
          <w:rFonts w:hint="eastAsia"/>
        </w:rPr>
        <w:t>不属于</w:t>
      </w:r>
      <w:r>
        <w:t>陕西省重点生态功能区。</w:t>
      </w:r>
    </w:p>
    <w:p>
      <w:pPr>
        <w:pStyle w:val="4"/>
      </w:pPr>
      <w:r>
        <w:rPr>
          <w:rFonts w:hint="eastAsia"/>
        </w:rPr>
        <w:t>规划</w:t>
      </w:r>
      <w:r>
        <w:t>符合性分析</w:t>
      </w:r>
    </w:p>
    <w:p>
      <w:pPr>
        <w:ind w:firstLine="480"/>
      </w:pPr>
      <w:r>
        <w:rPr>
          <w:rFonts w:hint="eastAsia"/>
        </w:rPr>
        <w:t>项目</w:t>
      </w:r>
      <w:r>
        <w:t>建设与相关规划</w:t>
      </w:r>
      <w:r>
        <w:rPr>
          <w:rFonts w:hint="eastAsia"/>
        </w:rPr>
        <w:t>符合</w:t>
      </w:r>
      <w:r>
        <w:t>性分析内容见表</w:t>
      </w:r>
      <w:r>
        <w:rPr>
          <w:rFonts w:hint="eastAsia"/>
        </w:rPr>
        <w:t>1.2-1。</w:t>
      </w:r>
    </w:p>
    <w:p>
      <w:pPr>
        <w:spacing w:line="240" w:lineRule="auto"/>
        <w:ind w:firstLine="0" w:firstLineChars="0"/>
        <w:jc w:val="center"/>
        <w:rPr>
          <w:b/>
          <w:bCs/>
          <w:szCs w:val="32"/>
        </w:rPr>
      </w:pPr>
      <w:r>
        <w:rPr>
          <w:rFonts w:ascii="宋体" w:hAnsi="宋体" w:cs="宋体"/>
          <w:b/>
        </w:rPr>
        <w:br w:type="column"/>
      </w:r>
      <w:r>
        <w:rPr>
          <w:rFonts w:hint="eastAsia" w:ascii="宋体" w:hAnsi="宋体" w:cs="宋体"/>
          <w:b/>
        </w:rPr>
        <w:t>表</w:t>
      </w:r>
      <w:r>
        <w:rPr>
          <w:rFonts w:hint="eastAsia"/>
          <w:b/>
        </w:rPr>
        <w:t xml:space="preserve"> </w:t>
      </w:r>
      <w:r>
        <w:rPr>
          <w:b/>
        </w:rPr>
        <w:fldChar w:fldCharType="begin"/>
      </w:r>
      <w:r>
        <w:rPr>
          <w:b/>
        </w:rPr>
        <w:instrText xml:space="preserve"> </w:instrText>
      </w:r>
      <w:r>
        <w:rPr>
          <w:rFonts w:hint="eastAsia"/>
          <w:b/>
        </w:rPr>
        <w:instrText xml:space="preserve">STYLEREF 2 \s</w:instrText>
      </w:r>
      <w:r>
        <w:rPr>
          <w:b/>
        </w:rPr>
        <w:instrText xml:space="preserve"> </w:instrText>
      </w:r>
      <w:r>
        <w:rPr>
          <w:b/>
        </w:rPr>
        <w:fldChar w:fldCharType="separate"/>
      </w:r>
      <w:r>
        <w:rPr>
          <w:b/>
        </w:rPr>
        <w:t>1.2</w:t>
      </w:r>
      <w:r>
        <w:rPr>
          <w:b/>
        </w:rPr>
        <w:fldChar w:fldCharType="end"/>
      </w:r>
      <w:r>
        <w:rPr>
          <w:b/>
        </w:rPr>
        <w:noBreakHyphen/>
      </w:r>
      <w:r>
        <w:rPr>
          <w:b/>
        </w:rPr>
        <w:fldChar w:fldCharType="begin"/>
      </w:r>
      <w:r>
        <w:rPr>
          <w:b/>
        </w:rPr>
        <w:instrText xml:space="preserve"> </w:instrText>
      </w:r>
      <w:r>
        <w:rPr>
          <w:rFonts w:hint="eastAsia"/>
          <w:b/>
        </w:rPr>
        <w:instrText xml:space="preserve">SEQ 表 \* ARABIC \s 2</w:instrText>
      </w:r>
      <w:r>
        <w:rPr>
          <w:b/>
        </w:rPr>
        <w:instrText xml:space="preserve"> </w:instrText>
      </w:r>
      <w:r>
        <w:rPr>
          <w:b/>
        </w:rPr>
        <w:fldChar w:fldCharType="separate"/>
      </w:r>
      <w:r>
        <w:rPr>
          <w:b/>
        </w:rPr>
        <w:t>1</w:t>
      </w:r>
      <w:r>
        <w:rPr>
          <w:b/>
        </w:rPr>
        <w:fldChar w:fldCharType="end"/>
      </w:r>
      <w:r>
        <w:rPr>
          <w:b/>
          <w:bCs/>
          <w:szCs w:val="32"/>
        </w:rPr>
        <w:t xml:space="preserve"> </w:t>
      </w:r>
      <w:r>
        <w:rPr>
          <w:rFonts w:hint="eastAsia"/>
          <w:b/>
          <w:bCs/>
          <w:szCs w:val="32"/>
        </w:rPr>
        <w:t xml:space="preserve"> 与相关</w:t>
      </w:r>
      <w:r>
        <w:rPr>
          <w:b/>
          <w:bCs/>
          <w:szCs w:val="32"/>
        </w:rPr>
        <w:t>规划及政策符合性分析内容</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048"/>
        <w:gridCol w:w="3652"/>
        <w:gridCol w:w="1929"/>
        <w:gridCol w:w="7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634"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序号</w:t>
            </w:r>
          </w:p>
        </w:tc>
        <w:tc>
          <w:tcPr>
            <w:tcW w:w="2048" w:type="dxa"/>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规划</w:t>
            </w:r>
            <w:r>
              <w:rPr>
                <w:kern w:val="0"/>
                <w:sz w:val="21"/>
                <w:szCs w:val="20"/>
              </w:rPr>
              <w:t>及</w:t>
            </w:r>
            <w:r>
              <w:rPr>
                <w:rFonts w:hint="eastAsia"/>
                <w:kern w:val="0"/>
                <w:sz w:val="21"/>
                <w:szCs w:val="20"/>
              </w:rPr>
              <w:t>政策</w:t>
            </w:r>
            <w:r>
              <w:rPr>
                <w:kern w:val="0"/>
                <w:sz w:val="21"/>
                <w:szCs w:val="20"/>
              </w:rPr>
              <w:t>名称</w:t>
            </w:r>
          </w:p>
        </w:tc>
        <w:tc>
          <w:tcPr>
            <w:tcW w:w="3652"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政策</w:t>
            </w:r>
            <w:r>
              <w:rPr>
                <w:kern w:val="0"/>
                <w:sz w:val="21"/>
                <w:szCs w:val="20"/>
              </w:rPr>
              <w:t>要求</w:t>
            </w:r>
          </w:p>
        </w:tc>
        <w:tc>
          <w:tcPr>
            <w:tcW w:w="1929"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本项目</w:t>
            </w:r>
            <w:r>
              <w:rPr>
                <w:kern w:val="0"/>
                <w:sz w:val="21"/>
                <w:szCs w:val="20"/>
              </w:rPr>
              <w:t>情况</w:t>
            </w:r>
          </w:p>
        </w:tc>
        <w:tc>
          <w:tcPr>
            <w:tcW w:w="777"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4"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1</w:t>
            </w:r>
          </w:p>
        </w:tc>
        <w:tc>
          <w:tcPr>
            <w:tcW w:w="2048" w:type="dxa"/>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《陕西省</w:t>
            </w:r>
            <w:r>
              <w:rPr>
                <w:kern w:val="0"/>
                <w:sz w:val="21"/>
                <w:szCs w:val="20"/>
              </w:rPr>
              <w:t>国民经济和社会发展第十</w:t>
            </w:r>
            <w:r>
              <w:rPr>
                <w:rFonts w:hint="eastAsia"/>
                <w:kern w:val="0"/>
                <w:sz w:val="21"/>
                <w:szCs w:val="20"/>
              </w:rPr>
              <w:t>四个</w:t>
            </w:r>
            <w:r>
              <w:rPr>
                <w:kern w:val="0"/>
                <w:sz w:val="21"/>
                <w:szCs w:val="20"/>
              </w:rPr>
              <w:t>五年规划</w:t>
            </w:r>
            <w:r>
              <w:rPr>
                <w:rFonts w:hint="eastAsia"/>
                <w:kern w:val="0"/>
                <w:sz w:val="21"/>
                <w:szCs w:val="20"/>
              </w:rPr>
              <w:t>和二零</w:t>
            </w:r>
            <w:r>
              <w:rPr>
                <w:kern w:val="0"/>
                <w:sz w:val="21"/>
                <w:szCs w:val="20"/>
              </w:rPr>
              <w:t>三五年远景目标纲要</w:t>
            </w:r>
            <w:r>
              <w:rPr>
                <w:rFonts w:hint="eastAsia"/>
                <w:kern w:val="0"/>
                <w:sz w:val="21"/>
                <w:szCs w:val="20"/>
              </w:rPr>
              <w:t>》</w:t>
            </w:r>
          </w:p>
        </w:tc>
        <w:tc>
          <w:tcPr>
            <w:tcW w:w="3652" w:type="dxa"/>
            <w:shd w:val="clear" w:color="auto" w:fill="auto"/>
            <w:vAlign w:val="center"/>
          </w:tcPr>
          <w:p>
            <w:pPr>
              <w:widowControl/>
              <w:autoSpaceDE w:val="0"/>
              <w:autoSpaceDN w:val="0"/>
              <w:spacing w:line="240" w:lineRule="auto"/>
              <w:ind w:firstLine="0" w:firstLineChars="0"/>
              <w:textAlignment w:val="bottom"/>
              <w:rPr>
                <w:kern w:val="0"/>
                <w:sz w:val="21"/>
                <w:szCs w:val="20"/>
              </w:rPr>
            </w:pPr>
            <w:r>
              <w:rPr>
                <w:rFonts w:hint="eastAsia"/>
                <w:kern w:val="0"/>
                <w:sz w:val="21"/>
                <w:szCs w:val="20"/>
              </w:rPr>
              <w:t>加强应用技术开发。围绕能源化工、装备制造、新材料、生物医药、现代农业等省内主导产业以及集成电路、新能源汽车、输变电、数控机床、煤化工等标志性产业链，编制“卡脖子”关键核心技术清单，组织实施重点产业链创新工程，统筹省内外高校、科研院所和企业研发资源，建立创新联盟和创新联合体，落实“军令状”制度，探索攻关任务“揭榜挂帅”等机制，试点领衔专家制、科研经费包干制，扩大后补助支持范围，促进基础研究、应用研究与产业化高效对接融通，建设一批新技术应用场景和中试基地示范项目，集中攻克一批关键核心技术，引领我省产业发展加速向中高端迈进。</w:t>
            </w:r>
          </w:p>
        </w:tc>
        <w:tc>
          <w:tcPr>
            <w:tcW w:w="1929"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本项目</w:t>
            </w:r>
            <w:r>
              <w:rPr>
                <w:kern w:val="0"/>
                <w:sz w:val="21"/>
                <w:szCs w:val="20"/>
              </w:rPr>
              <w:t>为</w:t>
            </w:r>
            <w:r>
              <w:rPr>
                <w:rFonts w:hint="eastAsia"/>
                <w:kern w:val="0"/>
                <w:sz w:val="21"/>
                <w:szCs w:val="20"/>
              </w:rPr>
              <w:t>黄姜提取</w:t>
            </w:r>
            <w:r>
              <w:rPr>
                <w:kern w:val="0"/>
                <w:sz w:val="21"/>
                <w:szCs w:val="20"/>
              </w:rPr>
              <w:t>物研究基地项目，</w:t>
            </w:r>
            <w:r>
              <w:rPr>
                <w:rFonts w:hint="eastAsia"/>
                <w:kern w:val="0"/>
                <w:sz w:val="21"/>
                <w:szCs w:val="20"/>
              </w:rPr>
              <w:t>主要进行</w:t>
            </w:r>
            <w:r>
              <w:rPr>
                <w:kern w:val="0"/>
                <w:sz w:val="21"/>
                <w:szCs w:val="20"/>
              </w:rPr>
              <w:t>黄姜皂素提取新技术研究和</w:t>
            </w:r>
            <w:r>
              <w:rPr>
                <w:rFonts w:hint="eastAsia"/>
                <w:kern w:val="0"/>
                <w:sz w:val="21"/>
                <w:szCs w:val="20"/>
              </w:rPr>
              <w:t>产业</w:t>
            </w:r>
            <w:r>
              <w:rPr>
                <w:kern w:val="0"/>
                <w:sz w:val="21"/>
                <w:szCs w:val="20"/>
              </w:rPr>
              <w:t>化应用</w:t>
            </w:r>
          </w:p>
        </w:tc>
        <w:tc>
          <w:tcPr>
            <w:tcW w:w="777"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4"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2</w:t>
            </w:r>
          </w:p>
        </w:tc>
        <w:tc>
          <w:tcPr>
            <w:tcW w:w="2048" w:type="dxa"/>
            <w:vAlign w:val="center"/>
          </w:tcPr>
          <w:p>
            <w:pPr>
              <w:adjustRightInd/>
              <w:snapToGrid/>
              <w:spacing w:line="240" w:lineRule="auto"/>
              <w:ind w:firstLine="0" w:firstLineChars="0"/>
              <w:jc w:val="center"/>
              <w:rPr>
                <w:rFonts w:hAnsi="Calibri"/>
                <w:bCs/>
                <w:sz w:val="21"/>
                <w:szCs w:val="21"/>
              </w:rPr>
            </w:pPr>
            <w:r>
              <w:rPr>
                <w:rFonts w:hint="eastAsia" w:hAnsi="Calibri"/>
                <w:bCs/>
                <w:sz w:val="21"/>
                <w:szCs w:val="21"/>
              </w:rPr>
              <w:t>《安康市国民经济与社会发展第十四个五年规划和</w:t>
            </w:r>
            <w:r>
              <w:rPr>
                <w:rFonts w:hAnsi="Calibri"/>
                <w:bCs/>
                <w:sz w:val="21"/>
                <w:szCs w:val="21"/>
              </w:rPr>
              <w:t>二零三五年远景目标</w:t>
            </w:r>
            <w:r>
              <w:rPr>
                <w:rFonts w:hint="eastAsia" w:hAnsi="Calibri"/>
                <w:bCs/>
                <w:sz w:val="21"/>
                <w:szCs w:val="21"/>
              </w:rPr>
              <w:t>纲要》</w:t>
            </w:r>
          </w:p>
        </w:tc>
        <w:tc>
          <w:tcPr>
            <w:tcW w:w="3652" w:type="dxa"/>
            <w:shd w:val="clear" w:color="auto" w:fill="auto"/>
            <w:vAlign w:val="center"/>
          </w:tcPr>
          <w:p>
            <w:pPr>
              <w:widowControl/>
              <w:autoSpaceDE w:val="0"/>
              <w:autoSpaceDN w:val="0"/>
              <w:spacing w:line="240" w:lineRule="auto"/>
              <w:ind w:firstLine="0" w:firstLineChars="0"/>
              <w:textAlignment w:val="bottom"/>
              <w:rPr>
                <w:kern w:val="0"/>
                <w:sz w:val="21"/>
                <w:szCs w:val="20"/>
              </w:rPr>
            </w:pPr>
            <w:r>
              <w:rPr>
                <w:rFonts w:hint="eastAsia"/>
                <w:kern w:val="0"/>
                <w:sz w:val="21"/>
                <w:szCs w:val="20"/>
              </w:rPr>
              <w:t>促进</w:t>
            </w:r>
            <w:r>
              <w:rPr>
                <w:kern w:val="0"/>
                <w:sz w:val="21"/>
                <w:szCs w:val="20"/>
              </w:rPr>
              <w:t>生物</w:t>
            </w:r>
            <w:r>
              <w:rPr>
                <w:rFonts w:hint="eastAsia"/>
                <w:kern w:val="0"/>
                <w:sz w:val="21"/>
                <w:szCs w:val="20"/>
              </w:rPr>
              <w:t>医药</w:t>
            </w:r>
            <w:r>
              <w:rPr>
                <w:kern w:val="0"/>
                <w:sz w:val="21"/>
                <w:szCs w:val="20"/>
              </w:rPr>
              <w:t>产业振兴大战。围绕</w:t>
            </w:r>
            <w:r>
              <w:rPr>
                <w:rFonts w:hint="eastAsia"/>
                <w:kern w:val="0"/>
                <w:sz w:val="21"/>
                <w:szCs w:val="20"/>
              </w:rPr>
              <w:t>打造</w:t>
            </w:r>
            <w:r>
              <w:rPr>
                <w:kern w:val="0"/>
                <w:sz w:val="21"/>
                <w:szCs w:val="20"/>
              </w:rPr>
              <w:t>“</w:t>
            </w:r>
            <w:r>
              <w:rPr>
                <w:rFonts w:hint="eastAsia"/>
                <w:kern w:val="0"/>
                <w:sz w:val="21"/>
                <w:szCs w:val="20"/>
              </w:rPr>
              <w:t>秦巴药谷</w:t>
            </w:r>
            <w:r>
              <w:rPr>
                <w:kern w:val="0"/>
                <w:sz w:val="21"/>
                <w:szCs w:val="20"/>
              </w:rPr>
              <w:t>”</w:t>
            </w:r>
            <w:r>
              <w:rPr>
                <w:rFonts w:hint="eastAsia"/>
                <w:kern w:val="0"/>
                <w:sz w:val="21"/>
                <w:szCs w:val="20"/>
              </w:rPr>
              <w:t>及国内</w:t>
            </w:r>
            <w:r>
              <w:rPr>
                <w:kern w:val="0"/>
                <w:sz w:val="21"/>
                <w:szCs w:val="20"/>
              </w:rPr>
              <w:t>有影响力的生物医药健康产业高地，加快中医药产业发展….</w:t>
            </w:r>
            <w:r>
              <w:rPr>
                <w:rFonts w:hint="eastAsia"/>
                <w:kern w:val="0"/>
                <w:sz w:val="21"/>
                <w:szCs w:val="20"/>
              </w:rPr>
              <w:t>建设</w:t>
            </w:r>
            <w:r>
              <w:rPr>
                <w:kern w:val="0"/>
                <w:sz w:val="21"/>
                <w:szCs w:val="20"/>
              </w:rPr>
              <w:t>生物</w:t>
            </w:r>
            <w:r>
              <w:rPr>
                <w:rFonts w:hint="eastAsia"/>
                <w:kern w:val="0"/>
                <w:sz w:val="21"/>
                <w:szCs w:val="20"/>
              </w:rPr>
              <w:t>医药</w:t>
            </w:r>
            <w:r>
              <w:rPr>
                <w:kern w:val="0"/>
                <w:sz w:val="21"/>
                <w:szCs w:val="20"/>
              </w:rPr>
              <w:t>产业园</w:t>
            </w:r>
            <w:r>
              <w:rPr>
                <w:rFonts w:hint="eastAsia"/>
                <w:kern w:val="0"/>
                <w:sz w:val="21"/>
                <w:szCs w:val="20"/>
              </w:rPr>
              <w:t>，深化</w:t>
            </w:r>
            <w:r>
              <w:rPr>
                <w:kern w:val="0"/>
                <w:sz w:val="21"/>
                <w:szCs w:val="20"/>
              </w:rPr>
              <w:t>“</w:t>
            </w:r>
            <w:r>
              <w:rPr>
                <w:rFonts w:hint="eastAsia"/>
                <w:kern w:val="0"/>
                <w:sz w:val="21"/>
                <w:szCs w:val="20"/>
              </w:rPr>
              <w:t>产</w:t>
            </w:r>
            <w:r>
              <w:rPr>
                <w:kern w:val="0"/>
                <w:sz w:val="21"/>
                <w:szCs w:val="20"/>
              </w:rPr>
              <w:t>、</w:t>
            </w:r>
            <w:r>
              <w:rPr>
                <w:rFonts w:hint="eastAsia"/>
                <w:kern w:val="0"/>
                <w:sz w:val="21"/>
                <w:szCs w:val="20"/>
              </w:rPr>
              <w:t>学</w:t>
            </w:r>
            <w:r>
              <w:rPr>
                <w:kern w:val="0"/>
                <w:sz w:val="21"/>
                <w:szCs w:val="20"/>
              </w:rPr>
              <w:t>、</w:t>
            </w:r>
            <w:r>
              <w:rPr>
                <w:rFonts w:hint="eastAsia"/>
                <w:kern w:val="0"/>
                <w:sz w:val="21"/>
                <w:szCs w:val="20"/>
              </w:rPr>
              <w:t>研</w:t>
            </w:r>
            <w:r>
              <w:rPr>
                <w:kern w:val="0"/>
                <w:sz w:val="21"/>
                <w:szCs w:val="20"/>
              </w:rPr>
              <w:t>”</w:t>
            </w:r>
            <w:r>
              <w:rPr>
                <w:rFonts w:hint="eastAsia"/>
                <w:kern w:val="0"/>
                <w:sz w:val="21"/>
                <w:szCs w:val="20"/>
              </w:rPr>
              <w:t>合作</w:t>
            </w:r>
            <w:r>
              <w:rPr>
                <w:kern w:val="0"/>
                <w:sz w:val="21"/>
                <w:szCs w:val="20"/>
              </w:rPr>
              <w:t>机制</w:t>
            </w:r>
            <w:r>
              <w:rPr>
                <w:rFonts w:hint="eastAsia"/>
                <w:kern w:val="0"/>
                <w:sz w:val="21"/>
                <w:szCs w:val="20"/>
              </w:rPr>
              <w:t>，培育中药</w:t>
            </w:r>
            <w:r>
              <w:rPr>
                <w:kern w:val="0"/>
                <w:sz w:val="21"/>
                <w:szCs w:val="20"/>
              </w:rPr>
              <w:t>制造</w:t>
            </w:r>
            <w:r>
              <w:rPr>
                <w:rFonts w:hint="eastAsia"/>
                <w:kern w:val="0"/>
                <w:sz w:val="21"/>
                <w:szCs w:val="20"/>
              </w:rPr>
              <w:t>龙头</w:t>
            </w:r>
            <w:r>
              <w:rPr>
                <w:kern w:val="0"/>
                <w:sz w:val="21"/>
                <w:szCs w:val="20"/>
              </w:rPr>
              <w:t>企业</w:t>
            </w:r>
            <w:r>
              <w:rPr>
                <w:rFonts w:hint="eastAsia"/>
                <w:kern w:val="0"/>
                <w:sz w:val="21"/>
                <w:szCs w:val="20"/>
              </w:rPr>
              <w:t>，</w:t>
            </w:r>
            <w:r>
              <w:rPr>
                <w:kern w:val="0"/>
                <w:sz w:val="21"/>
                <w:szCs w:val="20"/>
              </w:rPr>
              <w:t>加强</w:t>
            </w:r>
            <w:r>
              <w:rPr>
                <w:rFonts w:hint="eastAsia"/>
                <w:kern w:val="0"/>
                <w:sz w:val="21"/>
                <w:szCs w:val="20"/>
              </w:rPr>
              <w:t>中药</w:t>
            </w:r>
            <w:r>
              <w:rPr>
                <w:kern w:val="0"/>
                <w:sz w:val="21"/>
                <w:szCs w:val="20"/>
              </w:rPr>
              <w:t>新药</w:t>
            </w:r>
            <w:r>
              <w:rPr>
                <w:rFonts w:hint="eastAsia"/>
                <w:kern w:val="0"/>
                <w:sz w:val="21"/>
                <w:szCs w:val="20"/>
              </w:rPr>
              <w:t>、</w:t>
            </w:r>
            <w:r>
              <w:rPr>
                <w:kern w:val="0"/>
                <w:sz w:val="21"/>
                <w:szCs w:val="20"/>
              </w:rPr>
              <w:t>大健康</w:t>
            </w:r>
            <w:r>
              <w:rPr>
                <w:rFonts w:hint="eastAsia"/>
                <w:kern w:val="0"/>
                <w:sz w:val="21"/>
                <w:szCs w:val="20"/>
              </w:rPr>
              <w:t>产业</w:t>
            </w:r>
            <w:r>
              <w:rPr>
                <w:kern w:val="0"/>
                <w:sz w:val="21"/>
                <w:szCs w:val="20"/>
              </w:rPr>
              <w:t>研发</w:t>
            </w:r>
            <w:r>
              <w:rPr>
                <w:rFonts w:hint="eastAsia"/>
                <w:kern w:val="0"/>
                <w:sz w:val="21"/>
                <w:szCs w:val="20"/>
              </w:rPr>
              <w:t>和</w:t>
            </w:r>
            <w:r>
              <w:rPr>
                <w:kern w:val="0"/>
                <w:sz w:val="21"/>
                <w:szCs w:val="20"/>
              </w:rPr>
              <w:t>安康</w:t>
            </w:r>
            <w:r>
              <w:rPr>
                <w:rFonts w:hint="eastAsia"/>
                <w:kern w:val="0"/>
                <w:sz w:val="21"/>
                <w:szCs w:val="20"/>
              </w:rPr>
              <w:t>传统</w:t>
            </w:r>
            <w:r>
              <w:rPr>
                <w:kern w:val="0"/>
                <w:sz w:val="21"/>
                <w:szCs w:val="20"/>
              </w:rPr>
              <w:t>重要</w:t>
            </w:r>
            <w:r>
              <w:rPr>
                <w:rFonts w:hint="eastAsia"/>
                <w:kern w:val="0"/>
                <w:sz w:val="21"/>
                <w:szCs w:val="20"/>
              </w:rPr>
              <w:t>二次</w:t>
            </w:r>
            <w:r>
              <w:rPr>
                <w:kern w:val="0"/>
                <w:sz w:val="21"/>
                <w:szCs w:val="20"/>
              </w:rPr>
              <w:t>开发</w:t>
            </w:r>
            <w:r>
              <w:rPr>
                <w:rFonts w:hint="eastAsia"/>
                <w:kern w:val="0"/>
                <w:sz w:val="21"/>
                <w:szCs w:val="20"/>
              </w:rPr>
              <w:t>，扩大</w:t>
            </w:r>
            <w:r>
              <w:rPr>
                <w:kern w:val="0"/>
                <w:sz w:val="21"/>
                <w:szCs w:val="20"/>
              </w:rPr>
              <w:t>中药</w:t>
            </w:r>
            <w:r>
              <w:rPr>
                <w:rFonts w:hint="eastAsia"/>
                <w:kern w:val="0"/>
                <w:sz w:val="21"/>
                <w:szCs w:val="20"/>
              </w:rPr>
              <w:t>饮片</w:t>
            </w:r>
            <w:r>
              <w:rPr>
                <w:kern w:val="0"/>
                <w:sz w:val="21"/>
                <w:szCs w:val="20"/>
              </w:rPr>
              <w:t>、</w:t>
            </w:r>
            <w:r>
              <w:rPr>
                <w:rFonts w:hint="eastAsia"/>
                <w:kern w:val="0"/>
                <w:sz w:val="21"/>
                <w:szCs w:val="20"/>
              </w:rPr>
              <w:t>黄姜</w:t>
            </w:r>
            <w:r>
              <w:rPr>
                <w:kern w:val="0"/>
                <w:sz w:val="21"/>
                <w:szCs w:val="20"/>
              </w:rPr>
              <w:t>皂素</w:t>
            </w:r>
            <w:r>
              <w:rPr>
                <w:rFonts w:hint="eastAsia"/>
                <w:kern w:val="0"/>
                <w:sz w:val="21"/>
                <w:szCs w:val="20"/>
              </w:rPr>
              <w:t>、</w:t>
            </w:r>
            <w:r>
              <w:rPr>
                <w:kern w:val="0"/>
                <w:sz w:val="21"/>
                <w:szCs w:val="20"/>
              </w:rPr>
              <w:t>植物提取</w:t>
            </w:r>
            <w:r>
              <w:rPr>
                <w:rFonts w:hint="eastAsia"/>
                <w:kern w:val="0"/>
                <w:sz w:val="21"/>
                <w:szCs w:val="20"/>
              </w:rPr>
              <w:t>、</w:t>
            </w:r>
            <w:r>
              <w:rPr>
                <w:kern w:val="0"/>
                <w:sz w:val="21"/>
                <w:szCs w:val="20"/>
              </w:rPr>
              <w:t>排放</w:t>
            </w:r>
            <w:r>
              <w:rPr>
                <w:rFonts w:hint="eastAsia"/>
                <w:kern w:val="0"/>
                <w:sz w:val="21"/>
                <w:szCs w:val="20"/>
              </w:rPr>
              <w:t>颗粒</w:t>
            </w:r>
            <w:r>
              <w:rPr>
                <w:kern w:val="0"/>
                <w:sz w:val="21"/>
                <w:szCs w:val="20"/>
              </w:rPr>
              <w:t>和</w:t>
            </w:r>
            <w:r>
              <w:rPr>
                <w:rFonts w:hint="eastAsia"/>
                <w:kern w:val="0"/>
                <w:sz w:val="21"/>
                <w:szCs w:val="20"/>
              </w:rPr>
              <w:t>各种</w:t>
            </w:r>
            <w:r>
              <w:rPr>
                <w:kern w:val="0"/>
                <w:sz w:val="21"/>
                <w:szCs w:val="20"/>
              </w:rPr>
              <w:t>剂型</w:t>
            </w:r>
            <w:r>
              <w:rPr>
                <w:rFonts w:hint="eastAsia"/>
                <w:kern w:val="0"/>
                <w:sz w:val="21"/>
                <w:szCs w:val="20"/>
              </w:rPr>
              <w:t>成</w:t>
            </w:r>
            <w:r>
              <w:rPr>
                <w:kern w:val="0"/>
                <w:sz w:val="21"/>
                <w:szCs w:val="20"/>
              </w:rPr>
              <w:t>药</w:t>
            </w:r>
            <w:r>
              <w:rPr>
                <w:rFonts w:hint="eastAsia"/>
                <w:kern w:val="0"/>
                <w:sz w:val="21"/>
                <w:szCs w:val="20"/>
              </w:rPr>
              <w:t>研发</w:t>
            </w:r>
            <w:r>
              <w:rPr>
                <w:kern w:val="0"/>
                <w:sz w:val="21"/>
                <w:szCs w:val="20"/>
              </w:rPr>
              <w:t>生产</w:t>
            </w:r>
            <w:r>
              <w:rPr>
                <w:rFonts w:hint="eastAsia"/>
                <w:kern w:val="0"/>
                <w:sz w:val="21"/>
                <w:szCs w:val="20"/>
              </w:rPr>
              <w:t>能力</w:t>
            </w:r>
            <w:r>
              <w:rPr>
                <w:kern w:val="0"/>
                <w:sz w:val="21"/>
                <w:szCs w:val="20"/>
              </w:rPr>
              <w:t>，</w:t>
            </w:r>
            <w:r>
              <w:rPr>
                <w:rFonts w:hint="eastAsia"/>
                <w:kern w:val="0"/>
                <w:sz w:val="21"/>
                <w:szCs w:val="20"/>
              </w:rPr>
              <w:t>提升</w:t>
            </w:r>
            <w:r>
              <w:rPr>
                <w:kern w:val="0"/>
                <w:sz w:val="21"/>
                <w:szCs w:val="20"/>
              </w:rPr>
              <w:t>重要</w:t>
            </w:r>
            <w:r>
              <w:rPr>
                <w:rFonts w:hint="eastAsia"/>
                <w:kern w:val="0"/>
                <w:sz w:val="21"/>
                <w:szCs w:val="20"/>
              </w:rPr>
              <w:t>工业</w:t>
            </w:r>
            <w:r>
              <w:rPr>
                <w:kern w:val="0"/>
                <w:sz w:val="21"/>
                <w:szCs w:val="20"/>
              </w:rPr>
              <w:t>自动化</w:t>
            </w:r>
            <w:r>
              <w:rPr>
                <w:rFonts w:hint="eastAsia"/>
                <w:kern w:val="0"/>
                <w:sz w:val="21"/>
                <w:szCs w:val="20"/>
              </w:rPr>
              <w:t>、</w:t>
            </w:r>
            <w:r>
              <w:rPr>
                <w:kern w:val="0"/>
                <w:sz w:val="21"/>
                <w:szCs w:val="20"/>
              </w:rPr>
              <w:t>信息化</w:t>
            </w:r>
            <w:r>
              <w:rPr>
                <w:rFonts w:hint="eastAsia"/>
                <w:kern w:val="0"/>
                <w:sz w:val="21"/>
                <w:szCs w:val="20"/>
              </w:rPr>
              <w:t>、</w:t>
            </w:r>
            <w:r>
              <w:rPr>
                <w:kern w:val="0"/>
                <w:sz w:val="21"/>
                <w:szCs w:val="20"/>
              </w:rPr>
              <w:t>智能化</w:t>
            </w:r>
            <w:r>
              <w:rPr>
                <w:rFonts w:hint="eastAsia"/>
                <w:kern w:val="0"/>
                <w:sz w:val="21"/>
                <w:szCs w:val="20"/>
              </w:rPr>
              <w:t>水平。</w:t>
            </w:r>
            <w:r>
              <w:rPr>
                <w:kern w:val="0"/>
                <w:sz w:val="21"/>
                <w:szCs w:val="20"/>
              </w:rPr>
              <w:t>…</w:t>
            </w:r>
            <w:r>
              <w:rPr>
                <w:rFonts w:hint="eastAsia"/>
                <w:kern w:val="0"/>
                <w:sz w:val="21"/>
                <w:szCs w:val="20"/>
              </w:rPr>
              <w:t>加强</w:t>
            </w:r>
            <w:r>
              <w:rPr>
                <w:kern w:val="0"/>
                <w:sz w:val="21"/>
                <w:szCs w:val="20"/>
              </w:rPr>
              <w:t>黄姜皂素清洁生产工艺及综合利用生产技术研究，重点</w:t>
            </w:r>
            <w:r>
              <w:rPr>
                <w:rFonts w:hint="eastAsia"/>
                <w:kern w:val="0"/>
                <w:sz w:val="21"/>
                <w:szCs w:val="20"/>
              </w:rPr>
              <w:t>发展</w:t>
            </w:r>
            <w:r>
              <w:rPr>
                <w:kern w:val="0"/>
                <w:sz w:val="21"/>
                <w:szCs w:val="20"/>
              </w:rPr>
              <w:t>天然激素原料及含激素类生物制药产品</w:t>
            </w:r>
          </w:p>
        </w:tc>
        <w:tc>
          <w:tcPr>
            <w:tcW w:w="1929"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本项目</w:t>
            </w:r>
            <w:r>
              <w:rPr>
                <w:kern w:val="0"/>
                <w:sz w:val="21"/>
                <w:szCs w:val="20"/>
              </w:rPr>
              <w:t>为</w:t>
            </w:r>
            <w:r>
              <w:rPr>
                <w:rFonts w:hint="eastAsia"/>
                <w:kern w:val="0"/>
                <w:sz w:val="21"/>
                <w:szCs w:val="20"/>
              </w:rPr>
              <w:t>黄姜提取物研究</w:t>
            </w:r>
            <w:r>
              <w:rPr>
                <w:kern w:val="0"/>
                <w:sz w:val="21"/>
                <w:szCs w:val="20"/>
              </w:rPr>
              <w:t>基地项目，采用无</w:t>
            </w:r>
            <w:r>
              <w:rPr>
                <w:rFonts w:hint="eastAsia"/>
                <w:kern w:val="0"/>
                <w:sz w:val="21"/>
                <w:szCs w:val="20"/>
              </w:rPr>
              <w:t>废水排放</w:t>
            </w:r>
            <w:r>
              <w:rPr>
                <w:kern w:val="0"/>
                <w:sz w:val="21"/>
                <w:szCs w:val="20"/>
              </w:rPr>
              <w:t>的新技术</w:t>
            </w:r>
            <w:r>
              <w:rPr>
                <w:rFonts w:hint="eastAsia"/>
                <w:kern w:val="0"/>
                <w:sz w:val="21"/>
                <w:szCs w:val="20"/>
              </w:rPr>
              <w:t>研究</w:t>
            </w:r>
          </w:p>
        </w:tc>
        <w:tc>
          <w:tcPr>
            <w:tcW w:w="777"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4"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3</w:t>
            </w:r>
          </w:p>
        </w:tc>
        <w:tc>
          <w:tcPr>
            <w:tcW w:w="2048" w:type="dxa"/>
            <w:vAlign w:val="center"/>
          </w:tcPr>
          <w:p>
            <w:pPr>
              <w:adjustRightInd/>
              <w:snapToGrid/>
              <w:spacing w:line="240" w:lineRule="auto"/>
              <w:ind w:firstLine="0" w:firstLineChars="0"/>
              <w:jc w:val="center"/>
              <w:rPr>
                <w:rFonts w:hAnsi="Calibri"/>
                <w:bCs/>
                <w:sz w:val="21"/>
                <w:szCs w:val="21"/>
              </w:rPr>
            </w:pPr>
            <w:r>
              <w:rPr>
                <w:rFonts w:hint="eastAsia" w:hAnsi="Calibri"/>
                <w:bCs/>
                <w:sz w:val="21"/>
                <w:szCs w:val="21"/>
              </w:rPr>
              <w:t>旬阳</w:t>
            </w:r>
            <w:r>
              <w:rPr>
                <w:rFonts w:hAnsi="Calibri"/>
                <w:bCs/>
                <w:sz w:val="21"/>
                <w:szCs w:val="21"/>
              </w:rPr>
              <w:t>高新技术产业开发区</w:t>
            </w:r>
            <w:r>
              <w:rPr>
                <w:rFonts w:hint="eastAsia" w:hAnsi="Calibri"/>
                <w:bCs/>
                <w:sz w:val="21"/>
                <w:szCs w:val="21"/>
              </w:rPr>
              <w:t>“十四五”发展</w:t>
            </w:r>
            <w:r>
              <w:rPr>
                <w:rFonts w:hAnsi="Calibri"/>
                <w:bCs/>
                <w:sz w:val="21"/>
                <w:szCs w:val="21"/>
              </w:rPr>
              <w:t>规划</w:t>
            </w:r>
          </w:p>
        </w:tc>
        <w:tc>
          <w:tcPr>
            <w:tcW w:w="3652" w:type="dxa"/>
            <w:shd w:val="clear" w:color="auto" w:fill="auto"/>
            <w:vAlign w:val="center"/>
          </w:tcPr>
          <w:p>
            <w:pPr>
              <w:widowControl/>
              <w:autoSpaceDE w:val="0"/>
              <w:autoSpaceDN w:val="0"/>
              <w:spacing w:line="240" w:lineRule="auto"/>
              <w:ind w:firstLine="0" w:firstLineChars="0"/>
              <w:textAlignment w:val="bottom"/>
              <w:rPr>
                <w:kern w:val="0"/>
                <w:sz w:val="21"/>
                <w:szCs w:val="20"/>
              </w:rPr>
            </w:pPr>
            <w:r>
              <w:rPr>
                <w:rFonts w:hint="eastAsia"/>
                <w:kern w:val="0"/>
                <w:sz w:val="21"/>
                <w:szCs w:val="20"/>
              </w:rPr>
              <w:t>第二节 培育</w:t>
            </w:r>
            <w:r>
              <w:rPr>
                <w:kern w:val="0"/>
                <w:sz w:val="21"/>
                <w:szCs w:val="20"/>
              </w:rPr>
              <w:t>壮大主导产业</w:t>
            </w:r>
            <w:r>
              <w:rPr>
                <w:rFonts w:hint="eastAsia"/>
                <w:kern w:val="0"/>
                <w:sz w:val="21"/>
                <w:szCs w:val="20"/>
              </w:rPr>
              <w:t xml:space="preserve"> 三</w:t>
            </w:r>
            <w:r>
              <w:rPr>
                <w:kern w:val="0"/>
                <w:sz w:val="21"/>
                <w:szCs w:val="20"/>
              </w:rPr>
              <w:t>、生物医药</w:t>
            </w:r>
            <w:r>
              <w:rPr>
                <w:rFonts w:hint="eastAsia"/>
                <w:kern w:val="0"/>
                <w:sz w:val="21"/>
                <w:szCs w:val="20"/>
              </w:rPr>
              <w:t xml:space="preserve">  加强黄姜皂素细胞破壁新技术转化，发展甾体激素药物原料和中间体生产，建设国内最大的黄姜皂素加工基地。积极应用超临界萃取、超微粉碎、生物发酵等生物工程技术，提取营养因子、功能成份和活性物质，开发系列化生物医药原料、中间体和营养保健品，把秦巴植物花草变成农民增收的宝库。</w:t>
            </w:r>
          </w:p>
        </w:tc>
        <w:tc>
          <w:tcPr>
            <w:tcW w:w="1929"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本项目</w:t>
            </w:r>
            <w:r>
              <w:rPr>
                <w:kern w:val="0"/>
                <w:sz w:val="21"/>
                <w:szCs w:val="20"/>
              </w:rPr>
              <w:t>属于黄姜提取物研究基地项目，</w:t>
            </w:r>
            <w:r>
              <w:rPr>
                <w:rFonts w:hint="eastAsia"/>
                <w:kern w:val="0"/>
                <w:sz w:val="21"/>
                <w:szCs w:val="20"/>
              </w:rPr>
              <w:t>生产</w:t>
            </w:r>
            <w:r>
              <w:rPr>
                <w:kern w:val="0"/>
                <w:sz w:val="21"/>
                <w:szCs w:val="20"/>
              </w:rPr>
              <w:t>工艺采用微分破碎、萃取</w:t>
            </w:r>
            <w:r>
              <w:rPr>
                <w:rFonts w:hint="eastAsia"/>
                <w:kern w:val="0"/>
                <w:sz w:val="21"/>
                <w:szCs w:val="20"/>
              </w:rPr>
              <w:t>等</w:t>
            </w:r>
            <w:r>
              <w:rPr>
                <w:kern w:val="0"/>
                <w:sz w:val="21"/>
                <w:szCs w:val="20"/>
              </w:rPr>
              <w:t>技术生产皂素，属于</w:t>
            </w:r>
            <w:r>
              <w:rPr>
                <w:rFonts w:hint="eastAsia"/>
                <w:kern w:val="0"/>
                <w:sz w:val="21"/>
                <w:szCs w:val="20"/>
              </w:rPr>
              <w:t>旬黄姜皂素</w:t>
            </w:r>
            <w:r>
              <w:rPr>
                <w:kern w:val="0"/>
                <w:sz w:val="21"/>
                <w:szCs w:val="20"/>
              </w:rPr>
              <w:t>细胞破壁新技术</w:t>
            </w:r>
          </w:p>
        </w:tc>
        <w:tc>
          <w:tcPr>
            <w:tcW w:w="777"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highlight w:val="yellow"/>
              </w:rPr>
            </w:pPr>
            <w:r>
              <w:rPr>
                <w:rFonts w:hint="eastAsia"/>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4"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4</w:t>
            </w:r>
          </w:p>
        </w:tc>
        <w:tc>
          <w:tcPr>
            <w:tcW w:w="2048" w:type="dxa"/>
            <w:vAlign w:val="center"/>
          </w:tcPr>
          <w:p>
            <w:pPr>
              <w:adjustRightInd/>
              <w:snapToGrid/>
              <w:spacing w:line="240" w:lineRule="auto"/>
              <w:ind w:firstLine="0" w:firstLineChars="0"/>
              <w:jc w:val="center"/>
              <w:rPr>
                <w:rFonts w:hAnsi="Calibri"/>
                <w:bCs/>
                <w:sz w:val="21"/>
                <w:szCs w:val="21"/>
              </w:rPr>
            </w:pPr>
            <w:r>
              <w:rPr>
                <w:rFonts w:hint="eastAsia" w:hAnsi="Calibri"/>
                <w:bCs/>
                <w:sz w:val="21"/>
                <w:szCs w:val="21"/>
              </w:rPr>
              <w:t>《旬阳高新技术产业开发区规划》</w:t>
            </w:r>
          </w:p>
        </w:tc>
        <w:tc>
          <w:tcPr>
            <w:tcW w:w="3652" w:type="dxa"/>
            <w:shd w:val="clear" w:color="auto" w:fill="auto"/>
            <w:vAlign w:val="center"/>
          </w:tcPr>
          <w:p>
            <w:pPr>
              <w:adjustRightInd/>
              <w:snapToGrid/>
              <w:spacing w:line="240" w:lineRule="auto"/>
              <w:ind w:firstLine="0" w:firstLineChars="0"/>
              <w:rPr>
                <w:b/>
                <w:bCs/>
                <w:sz w:val="21"/>
                <w:szCs w:val="21"/>
              </w:rPr>
            </w:pPr>
            <w:r>
              <w:rPr>
                <w:rFonts w:hint="eastAsia"/>
                <w:bCs/>
                <w:sz w:val="21"/>
                <w:szCs w:val="21"/>
              </w:rPr>
              <w:t>旬阳依托县生态工业集中区和吕河工业集中区“一区两园”建设省级高新区，规划产业</w:t>
            </w:r>
            <w:r>
              <w:rPr>
                <w:bCs/>
                <w:sz w:val="21"/>
                <w:szCs w:val="21"/>
              </w:rPr>
              <w:t>类型为重点发展“新型材料、</w:t>
            </w:r>
            <w:r>
              <w:rPr>
                <w:rFonts w:hint="eastAsia"/>
                <w:bCs/>
                <w:sz w:val="21"/>
                <w:szCs w:val="21"/>
              </w:rPr>
              <w:t>装备</w:t>
            </w:r>
            <w:r>
              <w:rPr>
                <w:bCs/>
                <w:sz w:val="21"/>
                <w:szCs w:val="21"/>
              </w:rPr>
              <w:t>制造</w:t>
            </w:r>
            <w:r>
              <w:rPr>
                <w:rFonts w:hint="eastAsia"/>
                <w:bCs/>
                <w:sz w:val="21"/>
                <w:szCs w:val="21"/>
              </w:rPr>
              <w:t>、</w:t>
            </w:r>
            <w:r>
              <w:rPr>
                <w:bCs/>
                <w:sz w:val="21"/>
                <w:szCs w:val="21"/>
              </w:rPr>
              <w:t>富硒食品、生物医药”</w:t>
            </w:r>
            <w:r>
              <w:rPr>
                <w:rFonts w:hint="eastAsia"/>
                <w:bCs/>
                <w:sz w:val="21"/>
                <w:szCs w:val="21"/>
              </w:rPr>
              <w:t>四</w:t>
            </w:r>
            <w:r>
              <w:rPr>
                <w:bCs/>
                <w:sz w:val="21"/>
                <w:szCs w:val="21"/>
              </w:rPr>
              <w:t>大主导产业</w:t>
            </w:r>
          </w:p>
        </w:tc>
        <w:tc>
          <w:tcPr>
            <w:tcW w:w="1929" w:type="dxa"/>
            <w:shd w:val="clear" w:color="auto" w:fill="auto"/>
            <w:vAlign w:val="center"/>
          </w:tcPr>
          <w:p>
            <w:pPr>
              <w:autoSpaceDE w:val="0"/>
              <w:autoSpaceDN w:val="0"/>
              <w:spacing w:line="240" w:lineRule="auto"/>
              <w:ind w:firstLine="0" w:firstLineChars="0"/>
              <w:textAlignment w:val="bottom"/>
              <w:rPr>
                <w:kern w:val="0"/>
                <w:sz w:val="21"/>
                <w:szCs w:val="20"/>
              </w:rPr>
            </w:pPr>
            <w:r>
              <w:rPr>
                <w:rFonts w:hint="eastAsia"/>
                <w:kern w:val="0"/>
                <w:sz w:val="21"/>
                <w:szCs w:val="20"/>
              </w:rPr>
              <w:t>本项目位于旬阳</w:t>
            </w:r>
            <w:r>
              <w:rPr>
                <w:kern w:val="0"/>
                <w:sz w:val="21"/>
                <w:szCs w:val="20"/>
              </w:rPr>
              <w:t>高新区吕河工业园，为</w:t>
            </w:r>
            <w:r>
              <w:rPr>
                <w:rFonts w:hint="eastAsia"/>
                <w:kern w:val="0"/>
                <w:sz w:val="21"/>
                <w:szCs w:val="20"/>
              </w:rPr>
              <w:t>黄姜</w:t>
            </w:r>
            <w:r>
              <w:rPr>
                <w:kern w:val="0"/>
                <w:sz w:val="21"/>
                <w:szCs w:val="20"/>
              </w:rPr>
              <w:t>提取</w:t>
            </w:r>
            <w:r>
              <w:rPr>
                <w:rFonts w:hint="eastAsia"/>
                <w:kern w:val="0"/>
                <w:sz w:val="21"/>
                <w:szCs w:val="20"/>
              </w:rPr>
              <w:t>物</w:t>
            </w:r>
            <w:r>
              <w:rPr>
                <w:kern w:val="0"/>
                <w:sz w:val="21"/>
                <w:szCs w:val="20"/>
              </w:rPr>
              <w:t>研究基地项目，属于</w:t>
            </w:r>
            <w:r>
              <w:rPr>
                <w:rFonts w:hint="eastAsia"/>
                <w:kern w:val="0"/>
                <w:sz w:val="21"/>
                <w:szCs w:val="20"/>
              </w:rPr>
              <w:t>生物药品</w:t>
            </w:r>
            <w:r>
              <w:rPr>
                <w:kern w:val="0"/>
                <w:sz w:val="21"/>
                <w:szCs w:val="20"/>
              </w:rPr>
              <w:t>产业</w:t>
            </w:r>
            <w:r>
              <w:rPr>
                <w:rFonts w:hint="eastAsia"/>
                <w:kern w:val="0"/>
                <w:sz w:val="21"/>
                <w:szCs w:val="20"/>
              </w:rPr>
              <w:t>的研发</w:t>
            </w:r>
            <w:r>
              <w:rPr>
                <w:kern w:val="0"/>
                <w:sz w:val="21"/>
                <w:szCs w:val="20"/>
              </w:rPr>
              <w:t>中试</w:t>
            </w:r>
          </w:p>
        </w:tc>
        <w:tc>
          <w:tcPr>
            <w:tcW w:w="777"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4"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kern w:val="0"/>
                <w:sz w:val="21"/>
                <w:szCs w:val="20"/>
              </w:rPr>
              <w:t>5</w:t>
            </w:r>
          </w:p>
        </w:tc>
        <w:tc>
          <w:tcPr>
            <w:tcW w:w="2048" w:type="dxa"/>
            <w:vAlign w:val="center"/>
          </w:tcPr>
          <w:p>
            <w:pPr>
              <w:adjustRightInd/>
              <w:snapToGrid/>
              <w:spacing w:line="240" w:lineRule="auto"/>
              <w:ind w:firstLine="0" w:firstLineChars="0"/>
              <w:jc w:val="center"/>
              <w:rPr>
                <w:rFonts w:hAnsi="Calibri"/>
                <w:bCs/>
                <w:sz w:val="21"/>
                <w:szCs w:val="21"/>
              </w:rPr>
            </w:pPr>
            <w:r>
              <w:rPr>
                <w:rFonts w:hint="eastAsia" w:hAnsi="Calibri"/>
                <w:bCs/>
                <w:sz w:val="21"/>
                <w:szCs w:val="21"/>
              </w:rPr>
              <w:t>《陕西省环境保护厅关于旬阳高新技术产业开发区规划环境影响报告书审查意见的函（陕环函〔2017〕820号）》</w:t>
            </w:r>
          </w:p>
        </w:tc>
        <w:tc>
          <w:tcPr>
            <w:tcW w:w="3652" w:type="dxa"/>
            <w:shd w:val="clear" w:color="auto" w:fill="auto"/>
            <w:vAlign w:val="center"/>
          </w:tcPr>
          <w:p>
            <w:pPr>
              <w:adjustRightInd/>
              <w:snapToGrid/>
              <w:spacing w:line="240" w:lineRule="auto"/>
              <w:ind w:firstLine="0" w:firstLineChars="0"/>
              <w:rPr>
                <w:bCs/>
                <w:sz w:val="21"/>
                <w:szCs w:val="21"/>
              </w:rPr>
            </w:pPr>
            <w:r>
              <w:rPr>
                <w:rFonts w:hint="eastAsia"/>
                <w:bCs/>
                <w:sz w:val="21"/>
                <w:szCs w:val="21"/>
              </w:rPr>
              <w:t>（三）严守生态保护红线，加强空间管控....根据环境功能区划和环境保护的要求，做好《规划》与南水北调水源涵养区、丹江口库区水质影响控制区、旬河湿地等生态敏感区的缓冲隔离，确保区域生态安全和生态系统稳定。根据《报告书》结论，在工业片区与居住区之间、主要交通廊道两侧等区域设置足够宽度的绿化隔离带，加强规划控制。...（四）严守环境底线，落实污染物总量控制要求，...采取有效措施减少主要污染物和挥发性有机物，重金属等特征污染物的排放总量...（五）落实“三线一单”要求，严格入园项目的环境准入管理。引进项目的生产工艺、设备、污染治理技术，以及单位产品能耗、物耗、污染物排放和资源利用率等均需达到同行业国际先进水平。</w:t>
            </w:r>
          </w:p>
          <w:p>
            <w:pPr>
              <w:adjustRightInd/>
              <w:snapToGrid/>
              <w:spacing w:line="240" w:lineRule="auto"/>
              <w:ind w:firstLine="0" w:firstLineChars="0"/>
              <w:rPr>
                <w:bCs/>
                <w:sz w:val="21"/>
                <w:szCs w:val="21"/>
              </w:rPr>
            </w:pPr>
            <w:r>
              <w:rPr>
                <w:rFonts w:hint="eastAsia"/>
                <w:bCs/>
                <w:sz w:val="21"/>
                <w:szCs w:val="21"/>
              </w:rPr>
              <w:t>（八）加强固体废物的集中处理处置，危险废物交由有资质单位统一收集。</w:t>
            </w:r>
          </w:p>
        </w:tc>
        <w:tc>
          <w:tcPr>
            <w:tcW w:w="1929" w:type="dxa"/>
            <w:shd w:val="clear" w:color="auto" w:fill="auto"/>
            <w:vAlign w:val="center"/>
          </w:tcPr>
          <w:p>
            <w:pPr>
              <w:tabs>
                <w:tab w:val="left" w:pos="1044"/>
              </w:tabs>
              <w:snapToGrid/>
              <w:spacing w:line="240" w:lineRule="auto"/>
              <w:ind w:firstLine="0" w:firstLineChars="0"/>
              <w:jc w:val="center"/>
              <w:outlineLvl w:val="3"/>
              <w:rPr>
                <w:sz w:val="21"/>
                <w:szCs w:val="21"/>
              </w:rPr>
            </w:pPr>
            <w:r>
              <w:rPr>
                <w:sz w:val="21"/>
                <w:szCs w:val="21"/>
              </w:rPr>
              <w:t>本项目采用</w:t>
            </w:r>
            <w:r>
              <w:rPr>
                <w:rFonts w:hint="eastAsia"/>
                <w:sz w:val="21"/>
                <w:szCs w:val="21"/>
              </w:rPr>
              <w:t>旋风收尘+</w:t>
            </w:r>
            <w:r>
              <w:rPr>
                <w:sz w:val="21"/>
                <w:szCs w:val="21"/>
              </w:rPr>
              <w:t>布袋除尘等处理工艺对生产废气进行处理，</w:t>
            </w:r>
            <w:r>
              <w:rPr>
                <w:rFonts w:hint="eastAsia"/>
                <w:sz w:val="21"/>
                <w:szCs w:val="21"/>
              </w:rPr>
              <w:t>生产</w:t>
            </w:r>
            <w:r>
              <w:rPr>
                <w:sz w:val="21"/>
                <w:szCs w:val="21"/>
              </w:rPr>
              <w:t>过程中无废水产生，</w:t>
            </w:r>
            <w:r>
              <w:rPr>
                <w:rFonts w:hint="eastAsia"/>
                <w:sz w:val="21"/>
                <w:szCs w:val="21"/>
              </w:rPr>
              <w:t>生活污水</w:t>
            </w:r>
            <w:r>
              <w:rPr>
                <w:sz w:val="21"/>
                <w:szCs w:val="21"/>
              </w:rPr>
              <w:t>经市政管网排入污水处理厂。</w:t>
            </w:r>
          </w:p>
          <w:p>
            <w:pPr>
              <w:widowControl/>
              <w:autoSpaceDE w:val="0"/>
              <w:autoSpaceDN w:val="0"/>
              <w:spacing w:line="240" w:lineRule="auto"/>
              <w:ind w:firstLine="0" w:firstLineChars="0"/>
              <w:jc w:val="center"/>
              <w:textAlignment w:val="bottom"/>
              <w:rPr>
                <w:kern w:val="0"/>
                <w:sz w:val="21"/>
                <w:szCs w:val="20"/>
              </w:rPr>
            </w:pPr>
            <w:r>
              <w:rPr>
                <w:sz w:val="21"/>
                <w:szCs w:val="21"/>
              </w:rPr>
              <w:t>本项目产生的危险废物交有资质单位统一收集，生活垃圾交市政统一处理。</w:t>
            </w:r>
          </w:p>
        </w:tc>
        <w:tc>
          <w:tcPr>
            <w:tcW w:w="777" w:type="dxa"/>
            <w:shd w:val="clear" w:color="auto" w:fill="auto"/>
            <w:vAlign w:val="center"/>
          </w:tcPr>
          <w:p>
            <w:pPr>
              <w:widowControl/>
              <w:autoSpaceDE w:val="0"/>
              <w:autoSpaceDN w:val="0"/>
              <w:spacing w:line="240" w:lineRule="auto"/>
              <w:ind w:firstLine="0" w:firstLineChars="0"/>
              <w:jc w:val="center"/>
              <w:textAlignment w:val="bottom"/>
              <w:rPr>
                <w:kern w:val="0"/>
                <w:sz w:val="21"/>
                <w:szCs w:val="20"/>
              </w:rPr>
            </w:pPr>
            <w:r>
              <w:rPr>
                <w:rFonts w:hint="eastAsia"/>
                <w:kern w:val="0"/>
                <w:sz w:val="21"/>
                <w:szCs w:val="20"/>
              </w:rPr>
              <w:t>符合</w:t>
            </w:r>
          </w:p>
        </w:tc>
      </w:tr>
    </w:tbl>
    <w:p>
      <w:pPr>
        <w:pStyle w:val="4"/>
      </w:pPr>
      <w:r>
        <w:rPr>
          <w:rFonts w:hint="eastAsia"/>
        </w:rPr>
        <w:t>与</w:t>
      </w:r>
      <w:r>
        <w:t>环保政策符合性分析</w:t>
      </w:r>
    </w:p>
    <w:p>
      <w:pPr>
        <w:pStyle w:val="87"/>
        <w:ind w:firstLine="480"/>
        <w:rPr>
          <w:rFonts w:cs="Times New Roman"/>
        </w:rPr>
      </w:pPr>
      <w:r>
        <w:rPr>
          <w:rFonts w:cs="Times New Roman"/>
        </w:rPr>
        <w:t>依据相关法律法规，本项目与各环境管理要求相符性分析见</w:t>
      </w:r>
      <w:r>
        <w:rPr>
          <w:rFonts w:hint="eastAsia" w:cs="Times New Roman"/>
        </w:rPr>
        <w:t>表1.2-4。</w:t>
      </w:r>
    </w:p>
    <w:p>
      <w:pPr>
        <w:pStyle w:val="93"/>
        <w:rPr>
          <w:rFonts w:eastAsiaTheme="minorEastAsia"/>
          <w:highlight w:val="yellow"/>
        </w:rPr>
      </w:pPr>
      <w:bookmarkStart w:id="6" w:name="_Ref36116021"/>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1.2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6"/>
      <w:r>
        <w:t xml:space="preserve">  </w:t>
      </w:r>
      <w:r>
        <w:rPr>
          <w:rFonts w:hint="eastAsia" w:eastAsiaTheme="minorEastAsia"/>
        </w:rPr>
        <w:t>本项目</w:t>
      </w:r>
      <w:r>
        <w:rPr>
          <w:rFonts w:eastAsiaTheme="minorEastAsia"/>
        </w:rPr>
        <w:t>与相关环保政策要求符合性分析</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938"/>
        <w:gridCol w:w="3612"/>
        <w:gridCol w:w="1756"/>
        <w:gridCol w:w="9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center"/>
          </w:tcPr>
          <w:p>
            <w:pPr>
              <w:pStyle w:val="48"/>
              <w:ind w:left="115" w:right="170"/>
            </w:pPr>
            <w:r>
              <w:rPr>
                <w:rFonts w:hint="eastAsia"/>
              </w:rPr>
              <w:t>序号</w:t>
            </w:r>
          </w:p>
        </w:tc>
        <w:tc>
          <w:tcPr>
            <w:tcW w:w="1938" w:type="dxa"/>
            <w:vAlign w:val="center"/>
          </w:tcPr>
          <w:p>
            <w:pPr>
              <w:pStyle w:val="48"/>
              <w:ind w:left="115" w:right="170"/>
            </w:pPr>
            <w:r>
              <w:rPr>
                <w:rFonts w:hint="eastAsia"/>
              </w:rPr>
              <w:t>相关</w:t>
            </w:r>
            <w:r>
              <w:t>政策</w:t>
            </w:r>
          </w:p>
        </w:tc>
        <w:tc>
          <w:tcPr>
            <w:tcW w:w="3612" w:type="dxa"/>
            <w:vAlign w:val="center"/>
          </w:tcPr>
          <w:p>
            <w:pPr>
              <w:pStyle w:val="48"/>
              <w:ind w:left="115" w:right="170"/>
            </w:pPr>
            <w:r>
              <w:rPr>
                <w:rFonts w:hint="eastAsia"/>
              </w:rPr>
              <w:t>政策</w:t>
            </w:r>
            <w:r>
              <w:t>要求</w:t>
            </w:r>
          </w:p>
        </w:tc>
        <w:tc>
          <w:tcPr>
            <w:tcW w:w="1756" w:type="dxa"/>
            <w:vAlign w:val="center"/>
          </w:tcPr>
          <w:p>
            <w:pPr>
              <w:pStyle w:val="48"/>
              <w:ind w:left="115" w:right="170"/>
            </w:pPr>
            <w:r>
              <w:rPr>
                <w:rFonts w:hint="eastAsia"/>
              </w:rPr>
              <w:t>本项目情况</w:t>
            </w:r>
          </w:p>
        </w:tc>
        <w:tc>
          <w:tcPr>
            <w:tcW w:w="956" w:type="dxa"/>
            <w:vAlign w:val="center"/>
          </w:tcPr>
          <w:p>
            <w:pPr>
              <w:pStyle w:val="48"/>
              <w:ind w:left="115" w:right="17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center"/>
          </w:tcPr>
          <w:p>
            <w:pPr>
              <w:pStyle w:val="48"/>
              <w:numPr>
                <w:ilvl w:val="0"/>
                <w:numId w:val="2"/>
              </w:numPr>
              <w:ind w:left="115" w:right="170"/>
            </w:pPr>
          </w:p>
        </w:tc>
        <w:tc>
          <w:tcPr>
            <w:tcW w:w="1938" w:type="dxa"/>
            <w:vAlign w:val="center"/>
          </w:tcPr>
          <w:p>
            <w:pPr>
              <w:pStyle w:val="48"/>
              <w:jc w:val="both"/>
              <w:rPr>
                <w:szCs w:val="21"/>
              </w:rPr>
            </w:pPr>
            <w:r>
              <w:rPr>
                <w:bCs/>
                <w:szCs w:val="21"/>
              </w:rPr>
              <w:t>《陕西省铁腕治霾打赢蓝天保卫战三年行动方案（2018-2020年）》（修订版）</w:t>
            </w:r>
          </w:p>
        </w:tc>
        <w:tc>
          <w:tcPr>
            <w:tcW w:w="3612" w:type="dxa"/>
            <w:vAlign w:val="center"/>
          </w:tcPr>
          <w:p>
            <w:pPr>
              <w:pStyle w:val="92"/>
            </w:pPr>
            <w:r>
              <w:rPr>
                <w:rFonts w:hint="eastAsia"/>
              </w:rPr>
              <w:t>开展燃煤锅炉综合整治。全省不再新建每小时35蒸吨以下的燃煤锅炉，每小时65蒸吨及以上燃煤锅炉全部完成节能和超低排放改造。加大燃煤小锅炉及茶水炉、经营性炉灶、储粮烘干设备等燃煤设施淘汰力度，陕南、陕北淘汰每小时10蒸吨及以下燃煤锅炉。</w:t>
            </w:r>
          </w:p>
        </w:tc>
        <w:tc>
          <w:tcPr>
            <w:tcW w:w="1756" w:type="dxa"/>
            <w:vAlign w:val="center"/>
          </w:tcPr>
          <w:p>
            <w:pPr>
              <w:pStyle w:val="48"/>
              <w:ind w:left="115" w:right="170"/>
              <w:jc w:val="both"/>
            </w:pPr>
            <w:r>
              <w:t>项目自建1台4t/h燃气锅炉</w:t>
            </w:r>
          </w:p>
        </w:tc>
        <w:tc>
          <w:tcPr>
            <w:tcW w:w="956" w:type="dxa"/>
            <w:vAlign w:val="center"/>
          </w:tcPr>
          <w:p>
            <w:pPr>
              <w:pStyle w:val="48"/>
              <w:ind w:left="115" w:right="17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center"/>
          </w:tcPr>
          <w:p>
            <w:pPr>
              <w:pStyle w:val="48"/>
              <w:numPr>
                <w:ilvl w:val="0"/>
                <w:numId w:val="2"/>
              </w:numPr>
              <w:ind w:left="115" w:right="170"/>
            </w:pPr>
          </w:p>
        </w:tc>
        <w:tc>
          <w:tcPr>
            <w:tcW w:w="1938" w:type="dxa"/>
            <w:vAlign w:val="center"/>
          </w:tcPr>
          <w:p>
            <w:pPr>
              <w:pStyle w:val="92"/>
              <w:rPr>
                <w:b/>
                <w:bCs/>
              </w:rPr>
            </w:pPr>
            <w:bookmarkStart w:id="7" w:name="_Toc27054"/>
            <w:r>
              <w:t>《陕西省汉江丹江流域水污染防治条例（2020年修正）》</w:t>
            </w:r>
            <w:bookmarkEnd w:id="7"/>
          </w:p>
        </w:tc>
        <w:tc>
          <w:tcPr>
            <w:tcW w:w="3612" w:type="dxa"/>
            <w:vAlign w:val="center"/>
          </w:tcPr>
          <w:p>
            <w:pPr>
              <w:pStyle w:val="92"/>
              <w:jc w:val="both"/>
            </w:pPr>
            <w:r>
              <w:t>在汉江、丹江流域新建、改建、扩建的工业、工程项目，应当依法进行环境影响评价，符合环境影响评价要求，并经规定程序批准后，方可开工建设。</w:t>
            </w:r>
          </w:p>
          <w:p>
            <w:pPr>
              <w:pStyle w:val="92"/>
              <w:jc w:val="both"/>
            </w:pPr>
            <w:r>
              <w:t>第十一条建设项目中的水污染处理设施，进行集群综合处理的，必须与建设项目同时配套建设；建设项目单体处理的，必须与建设项目同时设计、同时施工、同时投入使用。</w:t>
            </w:r>
          </w:p>
          <w:p>
            <w:pPr>
              <w:pStyle w:val="92"/>
              <w:jc w:val="both"/>
            </w:pPr>
            <w:r>
              <w:t>水污染物处理设施应当保持正常运行，不得擅自拆除或者停运、闲置。</w:t>
            </w:r>
          </w:p>
        </w:tc>
        <w:tc>
          <w:tcPr>
            <w:tcW w:w="1756" w:type="dxa"/>
            <w:vAlign w:val="center"/>
          </w:tcPr>
          <w:p>
            <w:pPr>
              <w:pStyle w:val="48"/>
              <w:ind w:left="115" w:right="170"/>
              <w:jc w:val="both"/>
            </w:pPr>
            <w:r>
              <w:rPr>
                <w:rFonts w:hint="eastAsia"/>
              </w:rPr>
              <w:t>本项目</w:t>
            </w:r>
            <w:r>
              <w:t>为黄姜提取物研究基地生产项目，</w:t>
            </w:r>
            <w:r>
              <w:rPr>
                <w:rFonts w:hint="eastAsia"/>
              </w:rPr>
              <w:t>生产</w:t>
            </w:r>
            <w:r>
              <w:t>过程</w:t>
            </w:r>
            <w:r>
              <w:rPr>
                <w:rFonts w:hint="eastAsia"/>
              </w:rPr>
              <w:t>无</w:t>
            </w:r>
            <w:r>
              <w:t>废水产生，生活污水经市政</w:t>
            </w:r>
            <w:r>
              <w:rPr>
                <w:rFonts w:hint="eastAsia"/>
              </w:rPr>
              <w:t>管网</w:t>
            </w:r>
            <w:r>
              <w:t>排入污水处理厂处理</w:t>
            </w:r>
          </w:p>
        </w:tc>
        <w:tc>
          <w:tcPr>
            <w:tcW w:w="956" w:type="dxa"/>
            <w:vAlign w:val="center"/>
          </w:tcPr>
          <w:p>
            <w:pPr>
              <w:pStyle w:val="48"/>
              <w:ind w:left="115" w:right="17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center"/>
          </w:tcPr>
          <w:p>
            <w:pPr>
              <w:pStyle w:val="48"/>
              <w:numPr>
                <w:ilvl w:val="0"/>
                <w:numId w:val="2"/>
              </w:numPr>
              <w:ind w:left="115" w:right="170"/>
            </w:pPr>
          </w:p>
        </w:tc>
        <w:tc>
          <w:tcPr>
            <w:tcW w:w="1938" w:type="dxa"/>
            <w:vAlign w:val="center"/>
          </w:tcPr>
          <w:p>
            <w:pPr>
              <w:pStyle w:val="92"/>
            </w:pPr>
            <w:r>
              <w:rPr>
                <w:rFonts w:hint="eastAsia"/>
              </w:rPr>
              <w:t>《陕西省水</w:t>
            </w:r>
            <w:r>
              <w:t>污染防治工作方案</w:t>
            </w:r>
            <w:r>
              <w:rPr>
                <w:rFonts w:hint="eastAsia"/>
              </w:rPr>
              <w:t>》（陕</w:t>
            </w:r>
            <w:r>
              <w:t>政</w:t>
            </w:r>
            <w:r>
              <w:rPr>
                <w:rFonts w:hint="eastAsia"/>
              </w:rPr>
              <w:t>发[</w:t>
            </w:r>
            <w:r>
              <w:t>2015</w:t>
            </w:r>
            <w:r>
              <w:rPr>
                <w:rFonts w:hint="eastAsia"/>
              </w:rPr>
              <w:t>]</w:t>
            </w:r>
            <w:r>
              <w:t>60</w:t>
            </w:r>
            <w:r>
              <w:rPr>
                <w:rFonts w:hint="eastAsia"/>
              </w:rPr>
              <w:t>号）</w:t>
            </w:r>
          </w:p>
        </w:tc>
        <w:tc>
          <w:tcPr>
            <w:tcW w:w="3612" w:type="dxa"/>
            <w:vAlign w:val="center"/>
          </w:tcPr>
          <w:p>
            <w:pPr>
              <w:pStyle w:val="92"/>
              <w:jc w:val="both"/>
            </w:pPr>
            <w:r>
              <w:rPr>
                <w:rFonts w:hint="eastAsia"/>
              </w:rPr>
              <w:t>（二）狠抓工业污染防治。取缔重污染“10+3”小企业，全面排查装备水平低、环保设施差的小型工业企业。</w:t>
            </w:r>
            <w:r>
              <w:t>…</w:t>
            </w:r>
            <w:r>
              <w:rPr>
                <w:rFonts w:hint="eastAsia"/>
              </w:rPr>
              <w:t>专项整治重点行业。制订造纸、焦化（含兰炭）、氮肥、有色金属（铅、锌、汞、钒等）、印染、农副食品加工、原料药制造（含皂素）、制革、农药、电镀、石油开采及加工、煤化工（煤制甲醇、烯烃等）、果汁等行业专项治理方案，实施清洁化改造。</w:t>
            </w:r>
            <w:r>
              <w:t>...</w:t>
            </w:r>
            <w:r>
              <w:rPr>
                <w:rFonts w:hint="eastAsia"/>
              </w:rPr>
              <w:t xml:space="preserve"> 皂素行业实施资源回收和节水清洗技术改造... 陕南地区严格控制新建、扩建黄姜皂素生产、化学制浆造纸、果汁加工、电镀、印染等高耗水、高污染行业；</w:t>
            </w:r>
          </w:p>
        </w:tc>
        <w:tc>
          <w:tcPr>
            <w:tcW w:w="1756" w:type="dxa"/>
            <w:vMerge w:val="restart"/>
            <w:vAlign w:val="center"/>
          </w:tcPr>
          <w:p>
            <w:pPr>
              <w:pStyle w:val="48"/>
              <w:ind w:left="115" w:right="170"/>
              <w:jc w:val="both"/>
            </w:pPr>
            <w:r>
              <w:rPr>
                <w:rFonts w:hint="eastAsia"/>
              </w:rPr>
              <w:t>本项目</w:t>
            </w:r>
            <w:r>
              <w:t>为黄姜提取物研究基地项目，</w:t>
            </w:r>
            <w:r>
              <w:rPr>
                <w:rFonts w:hint="eastAsia"/>
              </w:rPr>
              <w:t>生产</w:t>
            </w:r>
            <w:r>
              <w:t>过程中</w:t>
            </w:r>
            <w:r>
              <w:rPr>
                <w:rFonts w:hint="eastAsia"/>
              </w:rPr>
              <w:t>无</w:t>
            </w:r>
            <w:r>
              <w:t>废水产生，属于皂素行业的节水技术研发，</w:t>
            </w:r>
            <w:r>
              <w:rPr>
                <w:rFonts w:hint="eastAsia"/>
              </w:rPr>
              <w:t>与</w:t>
            </w:r>
            <w:r>
              <w:t>传统工艺相比，</w:t>
            </w:r>
            <w:r>
              <w:rPr>
                <w:rFonts w:hint="eastAsia"/>
              </w:rPr>
              <w:t>本次</w:t>
            </w:r>
            <w:r>
              <w:t>中试研发</w:t>
            </w:r>
            <w:r>
              <w:rPr>
                <w:rFonts w:hint="eastAsia"/>
              </w:rPr>
              <w:t>生产</w:t>
            </w:r>
            <w:r>
              <w:t>过程中无用水环节，不属于高耗水行业</w:t>
            </w:r>
          </w:p>
        </w:tc>
        <w:tc>
          <w:tcPr>
            <w:tcW w:w="956" w:type="dxa"/>
            <w:vAlign w:val="center"/>
          </w:tcPr>
          <w:p>
            <w:pPr>
              <w:pStyle w:val="48"/>
              <w:ind w:left="115" w:right="17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center"/>
          </w:tcPr>
          <w:p>
            <w:pPr>
              <w:pStyle w:val="48"/>
              <w:numPr>
                <w:ilvl w:val="0"/>
                <w:numId w:val="2"/>
              </w:numPr>
              <w:ind w:left="115" w:right="170"/>
            </w:pPr>
          </w:p>
        </w:tc>
        <w:tc>
          <w:tcPr>
            <w:tcW w:w="1938" w:type="dxa"/>
            <w:vAlign w:val="center"/>
          </w:tcPr>
          <w:p>
            <w:pPr>
              <w:pStyle w:val="92"/>
            </w:pPr>
            <w:r>
              <w:rPr>
                <w:rFonts w:hint="eastAsia"/>
              </w:rPr>
              <w:t>《安康市</w:t>
            </w:r>
            <w:r>
              <w:t>水污染防治工作方案</w:t>
            </w:r>
            <w:r>
              <w:rPr>
                <w:rFonts w:hint="eastAsia"/>
              </w:rPr>
              <w:t>》安政发 [2016]7 号</w:t>
            </w:r>
          </w:p>
        </w:tc>
        <w:tc>
          <w:tcPr>
            <w:tcW w:w="3612" w:type="dxa"/>
            <w:vAlign w:val="center"/>
          </w:tcPr>
          <w:p>
            <w:pPr>
              <w:pStyle w:val="92"/>
              <w:jc w:val="both"/>
            </w:pPr>
            <w:r>
              <w:rPr>
                <w:rFonts w:hint="eastAsia"/>
              </w:rPr>
              <w:t>狠抓工业污染防治。取缔重污染小企业，全面排查装备水平低、环保设施差的小型工业企业。2016 年底前，全部取缔不符合国家产业政策的小型造纸、化工、制药、皂素、煤矿、金属矿选冶等严重污染水环境的生产项目。</w:t>
            </w:r>
          </w:p>
          <w:p>
            <w:pPr>
              <w:pStyle w:val="92"/>
              <w:jc w:val="both"/>
            </w:pPr>
            <w:r>
              <w:rPr>
                <w:rFonts w:hint="eastAsia"/>
              </w:rPr>
              <w:t>专项整治重点行业。制定造纸、涉重金属（铅、镉、铬、汞、锌、钒、锰等）、化工、食品加工、原料药制造（含皂素）、缫丝、果汁等行业专项治理方案，实施清洁化改造。.. 2017 年底前，皂素行业实施资源回收和节水清洗技术改造... 严格控制新建、扩建黄姜皂素生产、化学制浆造纸、果汁加工、电镀、印染等高耗水、高污染行业。</w:t>
            </w:r>
          </w:p>
        </w:tc>
        <w:tc>
          <w:tcPr>
            <w:tcW w:w="1756" w:type="dxa"/>
            <w:vMerge w:val="continue"/>
            <w:vAlign w:val="center"/>
          </w:tcPr>
          <w:p>
            <w:pPr>
              <w:pStyle w:val="48"/>
              <w:ind w:left="115" w:right="170"/>
              <w:jc w:val="both"/>
            </w:pPr>
          </w:p>
        </w:tc>
        <w:tc>
          <w:tcPr>
            <w:tcW w:w="956" w:type="dxa"/>
            <w:vAlign w:val="center"/>
          </w:tcPr>
          <w:p>
            <w:pPr>
              <w:pStyle w:val="48"/>
              <w:ind w:left="115" w:right="17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8" w:type="dxa"/>
            <w:vAlign w:val="center"/>
          </w:tcPr>
          <w:p>
            <w:pPr>
              <w:pStyle w:val="48"/>
              <w:numPr>
                <w:ilvl w:val="0"/>
                <w:numId w:val="2"/>
              </w:numPr>
              <w:ind w:left="115" w:right="170"/>
            </w:pPr>
          </w:p>
        </w:tc>
        <w:tc>
          <w:tcPr>
            <w:tcW w:w="1938" w:type="dxa"/>
            <w:vAlign w:val="center"/>
          </w:tcPr>
          <w:p>
            <w:pPr>
              <w:pStyle w:val="48"/>
              <w:ind w:left="115" w:right="170"/>
            </w:pPr>
            <w:r>
              <w:rPr>
                <w:rFonts w:hint="eastAsia"/>
              </w:rPr>
              <w:t>安康市铁腕治霾打赢蓝天保卫战三年行动方案（2018-2020年）</w:t>
            </w:r>
          </w:p>
        </w:tc>
        <w:tc>
          <w:tcPr>
            <w:tcW w:w="3612" w:type="dxa"/>
            <w:vAlign w:val="center"/>
          </w:tcPr>
          <w:p>
            <w:pPr>
              <w:pStyle w:val="48"/>
              <w:jc w:val="both"/>
            </w:pPr>
            <w:r>
              <w:rPr>
                <w:b/>
              </w:rPr>
              <w:t>加大燃煤锅炉拆改力度。</w:t>
            </w:r>
            <w:r>
              <w:t>淘汰每小时10蒸吨及以下燃煤锅炉及茶水炉、经营性炉灶、储粮烘干设备等燃煤设施，全市不再新建每小时35蒸吨以下燃煤锅炉，每小时65蒸吨及以上燃煤锅炉全部完成节能和超低排放改造，燃气锅炉基本完成低氮改造。城市建成区生物质锅炉实施超低排放改造，禁止新建燃煤锅炉。逐步扩大燃煤锅炉拆改范围，2018年底前，完成17台燃煤小锅炉的拆改任务，禁止已淘汰锅炉重新进入市场</w:t>
            </w:r>
          </w:p>
        </w:tc>
        <w:tc>
          <w:tcPr>
            <w:tcW w:w="1756" w:type="dxa"/>
            <w:vAlign w:val="center"/>
          </w:tcPr>
          <w:p>
            <w:pPr>
              <w:pStyle w:val="48"/>
              <w:ind w:left="115" w:right="170"/>
            </w:pPr>
            <w:r>
              <w:t>项目自建1台4t/h燃气锅炉</w:t>
            </w:r>
          </w:p>
        </w:tc>
        <w:tc>
          <w:tcPr>
            <w:tcW w:w="956" w:type="dxa"/>
            <w:vAlign w:val="center"/>
          </w:tcPr>
          <w:p>
            <w:pPr>
              <w:pStyle w:val="48"/>
              <w:ind w:left="115" w:right="170"/>
            </w:pPr>
            <w:r>
              <w:rPr>
                <w:rFonts w:hint="eastAsia"/>
              </w:rPr>
              <w:t>符合</w:t>
            </w:r>
          </w:p>
        </w:tc>
      </w:tr>
    </w:tbl>
    <w:p>
      <w:pPr>
        <w:pStyle w:val="4"/>
      </w:pPr>
      <w:r>
        <w:rPr>
          <w:rFonts w:hint="eastAsia"/>
        </w:rPr>
        <w:t>选址可行性分析</w:t>
      </w:r>
    </w:p>
    <w:p>
      <w:pPr>
        <w:ind w:firstLine="480"/>
      </w:pPr>
      <w:r>
        <w:t>本项目位于旬阳高新区吕河工业园，</w:t>
      </w:r>
      <w:r>
        <w:rPr>
          <w:rFonts w:hint="eastAsia"/>
        </w:rPr>
        <w:t>租赁</w:t>
      </w:r>
      <w:r>
        <w:t>富源工贸有限公司已建成厂房进行建设，</w:t>
      </w:r>
      <w:r>
        <w:rPr>
          <w:rFonts w:hint="eastAsia"/>
        </w:rPr>
        <w:t>根据</w:t>
      </w:r>
      <w:r>
        <w:t>吕河</w:t>
      </w:r>
      <w:r>
        <w:rPr>
          <w:rFonts w:hint="eastAsia"/>
        </w:rPr>
        <w:t>工业</w:t>
      </w:r>
      <w:r>
        <w:t>园</w:t>
      </w:r>
      <w:r>
        <w:rPr>
          <w:rFonts w:hint="eastAsia"/>
        </w:rPr>
        <w:t>土地</w:t>
      </w:r>
      <w:r>
        <w:t>利用规划</w:t>
      </w:r>
      <w:r>
        <w:rPr>
          <w:rFonts w:hint="eastAsia"/>
        </w:rPr>
        <w:t>，项目</w:t>
      </w:r>
      <w:r>
        <w:t>所在地土地</w:t>
      </w:r>
      <w:r>
        <w:rPr>
          <w:rFonts w:hint="eastAsia"/>
        </w:rPr>
        <w:t>用地</w:t>
      </w:r>
      <w:r>
        <w:t>性质为</w:t>
      </w:r>
      <w:r>
        <w:rPr>
          <w:rFonts w:hint="eastAsia"/>
        </w:rPr>
        <w:t>一类工业</w:t>
      </w:r>
      <w:r>
        <w:t>用地</w:t>
      </w:r>
      <w:r>
        <w:rPr>
          <w:rFonts w:hint="eastAsia"/>
        </w:rPr>
        <w:t>（见图1.2-1）</w:t>
      </w:r>
      <w:r>
        <w:t>，</w:t>
      </w:r>
      <w:r>
        <w:rPr>
          <w:rFonts w:hint="eastAsia"/>
        </w:rPr>
        <w:t>项目选址不在饮用水水源保护区、国家和省级风景名胜区、自然保护区、文物历史自然遗迹保护区及永久基本农田保护区范围内，距离</w:t>
      </w:r>
      <w:r>
        <w:t>项目厂区最近的敏感点为东侧</w:t>
      </w:r>
      <w:r>
        <w:rPr>
          <w:rFonts w:hint="eastAsia"/>
        </w:rPr>
        <w:t>50</w:t>
      </w:r>
      <w:r>
        <w:t>m</w:t>
      </w:r>
      <w:r>
        <w:rPr>
          <w:rFonts w:hint="eastAsia"/>
        </w:rPr>
        <w:t>的</w:t>
      </w:r>
      <w:r>
        <w:t>江家店村。</w:t>
      </w:r>
      <w:r>
        <w:rPr>
          <w:rFonts w:hint="eastAsia"/>
        </w:rPr>
        <w:t>项目选址符合区域产业规划，周边无重污染企业，对本项目不存在制约因素。项目所在地交通便利、市政基础设施较好，有利于项目生产。正常</w:t>
      </w:r>
      <w:r>
        <w:t>情况下，</w:t>
      </w:r>
      <w:r>
        <w:rPr>
          <w:rFonts w:hint="eastAsia"/>
        </w:rPr>
        <w:t>在采取相应的污染物防治措施后，项目运行期间各类污染物均能达标排放，对环境的影响可以接受。因此，在严格落实本报告提出的环保措施前提下，项目的建设和运行不会对外环境产生较大影响，从环境影响角度分析考虑，选址可行。</w:t>
      </w:r>
    </w:p>
    <w:p>
      <w:pPr>
        <w:pStyle w:val="3"/>
      </w:pPr>
      <w:bookmarkStart w:id="8" w:name="_Toc82502934"/>
      <w:r>
        <w:rPr>
          <w:rFonts w:hint="eastAsia"/>
        </w:rPr>
        <w:t>建设</w:t>
      </w:r>
      <w:r>
        <w:t>项目特点</w:t>
      </w:r>
      <w:bookmarkEnd w:id="8"/>
    </w:p>
    <w:p>
      <w:pPr>
        <w:pStyle w:val="87"/>
        <w:ind w:firstLine="480"/>
      </w:pPr>
      <w:r>
        <w:rPr>
          <w:rFonts w:hint="eastAsia"/>
        </w:rPr>
        <w:t>（1）本项目为黄姜</w:t>
      </w:r>
      <w:r>
        <w:t>提取</w:t>
      </w:r>
      <w:r>
        <w:rPr>
          <w:rFonts w:hint="eastAsia"/>
        </w:rPr>
        <w:t>物研究</w:t>
      </w:r>
      <w:r>
        <w:t>基地项目</w:t>
      </w:r>
      <w:r>
        <w:rPr>
          <w:rFonts w:hint="eastAsia"/>
        </w:rPr>
        <w:t>，属新建项目。该项目采用的新工艺通过多次实验室和小试生产，破解了传统工艺中酸解、发酵产生</w:t>
      </w:r>
      <w:r>
        <w:t>大量废水且</w:t>
      </w:r>
      <w:r>
        <w:rPr>
          <w:rFonts w:hint="eastAsia"/>
        </w:rPr>
        <w:t>有机成分</w:t>
      </w:r>
      <w:r>
        <w:t>和硫酸、强碱</w:t>
      </w:r>
      <w:r>
        <w:rPr>
          <w:rFonts w:hint="eastAsia"/>
        </w:rPr>
        <w:t>等</w:t>
      </w:r>
      <w:r>
        <w:t>污染物</w:t>
      </w:r>
      <w:r>
        <w:rPr>
          <w:rFonts w:hint="eastAsia"/>
        </w:rPr>
        <w:t>很</w:t>
      </w:r>
      <w:r>
        <w:t>难处理、处理费用很</w:t>
      </w:r>
      <w:r>
        <w:rPr>
          <w:rFonts w:hint="eastAsia"/>
        </w:rPr>
        <w:t>高等</w:t>
      </w:r>
      <w:r>
        <w:t>问题，</w:t>
      </w:r>
      <w:r>
        <w:rPr>
          <w:rFonts w:hint="eastAsia"/>
        </w:rPr>
        <w:t>实现</w:t>
      </w:r>
      <w:r>
        <w:t>了</w:t>
      </w:r>
      <w:r>
        <w:rPr>
          <w:rFonts w:hint="eastAsia"/>
        </w:rPr>
        <w:t>整套工艺无废水排放</w:t>
      </w:r>
      <w:r>
        <w:t>。</w:t>
      </w:r>
      <w:r>
        <w:rPr>
          <w:rFonts w:hint="eastAsia"/>
        </w:rPr>
        <w:t>新工艺以干黄姜切片替代传统工艺使用的新鲜黄姜，在全封闭状态下，微粉至300目以上进行破壁，破壁后经两次2000目以上滤芯精滤，保证了浸膏中仅有少量水分，基本不含可分解物质。后续使用4-5%的稀硫酸酸解，酸解废液中COD含量仅为150-200mg/L左右，新工艺废酸水使用活性炭或硅胶吸附处理后，再添加浓酸调节浓度保持4-5%，可以循环使用。经小试试验，新工艺废酸水循环利用不影响最终产品的质量和出品率，实现了工艺无废水排放。</w:t>
      </w:r>
    </w:p>
    <w:p>
      <w:pPr>
        <w:pStyle w:val="87"/>
        <w:ind w:firstLine="480"/>
      </w:pPr>
      <w:r>
        <w:rPr>
          <w:rFonts w:hint="eastAsia"/>
        </w:rPr>
        <w:t>（2）传统工艺中未分解的纤维、蛋白等形成生产废渣，本新工艺则通过加工形成非常有营养价值的粕粉，粕粉中含有蛋白、淀粉、纤维等主要成分（占整个黄姜的85-90%）可作直接为饲料的原材料，减少</w:t>
      </w:r>
      <w:r>
        <w:t>了固体</w:t>
      </w:r>
      <w:r>
        <w:rPr>
          <w:rFonts w:hint="eastAsia"/>
        </w:rPr>
        <w:t>废物</w:t>
      </w:r>
      <w:r>
        <w:t>的产生。</w:t>
      </w:r>
    </w:p>
    <w:p>
      <w:pPr>
        <w:pStyle w:val="87"/>
        <w:ind w:firstLine="480"/>
      </w:pPr>
      <w:r>
        <w:rPr>
          <w:rFonts w:hint="eastAsia"/>
        </w:rPr>
        <w:t>（3）本项目采用的新工艺采用定向萃取的技术、生产的皂素纯度达到99.5</w:t>
      </w:r>
      <w:r>
        <w:t>%</w:t>
      </w:r>
      <w:r>
        <w:rPr>
          <w:rFonts w:hint="eastAsia"/>
        </w:rPr>
        <w:t>以上；传统工艺的正常的纯度为95%左右，可大幅度提高产品的品质。</w:t>
      </w:r>
    </w:p>
    <w:p>
      <w:pPr>
        <w:pStyle w:val="3"/>
      </w:pPr>
      <w:bookmarkStart w:id="9" w:name="_Toc82502935"/>
      <w:r>
        <w:rPr>
          <w:rFonts w:hint="eastAsia"/>
        </w:rPr>
        <w:t>环境影响评价过程</w:t>
      </w:r>
      <w:bookmarkEnd w:id="5"/>
      <w:bookmarkEnd w:id="9"/>
    </w:p>
    <w:p>
      <w:pPr>
        <w:pStyle w:val="87"/>
        <w:ind w:firstLine="480"/>
        <w:rPr>
          <w:rFonts w:cs="Times New Roman" w:asciiTheme="minorEastAsia" w:hAnsiTheme="minorEastAsia" w:eastAsiaTheme="minorEastAsia"/>
        </w:rPr>
      </w:pPr>
      <w:r>
        <w:t>根据《中华人民共和国环境保护法》、《中华人民共和国环境影响评价法》、《建设项目环境保护管理条例》</w:t>
      </w:r>
      <w:r>
        <w:rPr>
          <w:rFonts w:cs="Times New Roman"/>
        </w:rPr>
        <w:t>（国务院令第682号）等有关法律、法规规定，</w:t>
      </w:r>
      <w:r>
        <w:t>陕西宏达坤生物科技有限公司黄姜提取物研究基地项目</w:t>
      </w:r>
      <w:r>
        <w:rPr>
          <w:rFonts w:hint="eastAsia"/>
        </w:rPr>
        <w:t>（以下</w:t>
      </w:r>
      <w:r>
        <w:t>简称</w:t>
      </w:r>
      <w:r>
        <w:rPr>
          <w:rFonts w:asciiTheme="minorEastAsia" w:hAnsiTheme="minorEastAsia" w:eastAsiaTheme="minorEastAsia"/>
        </w:rPr>
        <w:t>“</w:t>
      </w:r>
      <w:r>
        <w:rPr>
          <w:rFonts w:hint="eastAsia" w:asciiTheme="minorEastAsia" w:hAnsiTheme="minorEastAsia" w:eastAsiaTheme="minorEastAsia"/>
        </w:rPr>
        <w:t>本项目</w:t>
      </w:r>
      <w:r>
        <w:rPr>
          <w:rFonts w:asciiTheme="minorEastAsia" w:hAnsiTheme="minorEastAsia" w:eastAsiaTheme="minorEastAsia"/>
        </w:rPr>
        <w:t>”</w:t>
      </w:r>
      <w:r>
        <w:rPr>
          <w:rFonts w:hint="eastAsia"/>
        </w:rPr>
        <w:t>）</w:t>
      </w:r>
      <w:r>
        <w:rPr>
          <w:bCs/>
        </w:rPr>
        <w:t>需进行环境影响评价，</w:t>
      </w:r>
      <w:r>
        <w:rPr>
          <w:rFonts w:hint="eastAsia"/>
        </w:rPr>
        <w:t>根据</w:t>
      </w:r>
      <w:r>
        <w:t>《建设项目环境影响评价分类管理名录》</w:t>
      </w:r>
      <w:r>
        <w:rPr>
          <w:rFonts w:hint="eastAsia"/>
        </w:rPr>
        <w:t>（2021版）（部</w:t>
      </w:r>
      <w:r>
        <w:t>令第</w:t>
      </w:r>
      <w:r>
        <w:rPr>
          <w:rFonts w:hint="eastAsia"/>
        </w:rPr>
        <w:t>16号）</w:t>
      </w:r>
      <w:r>
        <w:t>的有关规</w:t>
      </w:r>
      <w:r>
        <w:rPr>
          <w:bCs/>
        </w:rPr>
        <w:t>定</w:t>
      </w:r>
      <w:r>
        <w:rPr>
          <w:rFonts w:cs="Times New Roman"/>
        </w:rPr>
        <w:t>，</w:t>
      </w:r>
      <w:r>
        <w:rPr>
          <w:rFonts w:hint="eastAsia" w:cs="Times New Roman"/>
        </w:rPr>
        <w:t>本项目属于</w:t>
      </w:r>
      <w:r>
        <w:rPr>
          <w:rFonts w:cs="Times New Roman" w:asciiTheme="minorEastAsia" w:hAnsiTheme="minorEastAsia" w:eastAsiaTheme="minorEastAsia"/>
        </w:rPr>
        <w:t>“</w:t>
      </w:r>
      <w:r>
        <w:rPr>
          <w:rFonts w:hint="eastAsia" w:cs="Times New Roman" w:asciiTheme="minorEastAsia" w:hAnsiTheme="minorEastAsia" w:eastAsiaTheme="minorEastAsia"/>
        </w:rPr>
        <w:t>二十四</w:t>
      </w:r>
      <w:r>
        <w:rPr>
          <w:rFonts w:cs="Times New Roman" w:asciiTheme="minorEastAsia" w:hAnsiTheme="minorEastAsia" w:eastAsiaTheme="minorEastAsia"/>
        </w:rPr>
        <w:t>、</w:t>
      </w:r>
      <w:r>
        <w:rPr>
          <w:rFonts w:hint="eastAsia" w:cs="Times New Roman" w:asciiTheme="minorEastAsia" w:hAnsiTheme="minorEastAsia" w:eastAsiaTheme="minorEastAsia"/>
        </w:rPr>
        <w:t>医药制造业</w:t>
      </w:r>
      <w:r>
        <w:rPr>
          <w:rFonts w:cs="Times New Roman" w:asciiTheme="minorEastAsia" w:hAnsiTheme="minorEastAsia" w:eastAsiaTheme="minorEastAsia"/>
        </w:rPr>
        <w:t>”：“</w:t>
      </w:r>
      <w:r>
        <w:t>47、</w:t>
      </w:r>
      <w:r>
        <w:rPr>
          <w:rFonts w:hint="eastAsia"/>
        </w:rPr>
        <w:t>化学</w:t>
      </w:r>
      <w:r>
        <w:t>药品原料药制造</w:t>
      </w:r>
      <w:r>
        <w:rPr>
          <w:rFonts w:hint="eastAsia"/>
        </w:rPr>
        <w:t>271；</w:t>
      </w:r>
      <w:r>
        <w:t>化学</w:t>
      </w:r>
      <w:r>
        <w:rPr>
          <w:rFonts w:hint="eastAsia"/>
        </w:rPr>
        <w:t>药品</w:t>
      </w:r>
      <w:r>
        <w:t>制剂制造</w:t>
      </w:r>
      <w:r>
        <w:rPr>
          <w:rFonts w:hint="eastAsia"/>
        </w:rPr>
        <w:t>272；</w:t>
      </w:r>
      <w:r>
        <w:t>兽用药品制造</w:t>
      </w:r>
      <w:r>
        <w:rPr>
          <w:rFonts w:hint="eastAsia"/>
        </w:rPr>
        <w:t>275；</w:t>
      </w:r>
      <w:r>
        <w:t>生物药品制</w:t>
      </w:r>
      <w:r>
        <w:rPr>
          <w:rFonts w:hint="eastAsia"/>
        </w:rPr>
        <w:t>品</w:t>
      </w:r>
      <w:r>
        <w:t>制造</w:t>
      </w:r>
      <w:r>
        <w:rPr>
          <w:rFonts w:hint="eastAsia"/>
        </w:rPr>
        <w:t>276</w:t>
      </w:r>
      <w:r>
        <w:rPr>
          <w:rFonts w:cs="Times New Roman" w:asciiTheme="minorEastAsia" w:hAnsiTheme="minorEastAsia" w:eastAsiaTheme="minorEastAsia"/>
        </w:rPr>
        <w:t>”中的“</w:t>
      </w:r>
      <w:r>
        <w:rPr>
          <w:rFonts w:hint="eastAsia" w:cs="Times New Roman" w:asciiTheme="minorEastAsia" w:hAnsiTheme="minorEastAsia" w:eastAsiaTheme="minorEastAsia"/>
        </w:rPr>
        <w:t>全部</w:t>
      </w:r>
      <w:r>
        <w:rPr>
          <w:rFonts w:cs="Times New Roman" w:asciiTheme="minorEastAsia" w:hAnsiTheme="minorEastAsia" w:eastAsiaTheme="minorEastAsia"/>
        </w:rPr>
        <w:t>（</w:t>
      </w:r>
      <w:r>
        <w:rPr>
          <w:rFonts w:hint="eastAsia" w:cs="Times New Roman" w:asciiTheme="minorEastAsia" w:hAnsiTheme="minorEastAsia" w:eastAsiaTheme="minorEastAsia"/>
        </w:rPr>
        <w:t>含</w:t>
      </w:r>
      <w:r>
        <w:rPr>
          <w:rFonts w:cs="Times New Roman" w:asciiTheme="minorEastAsia" w:hAnsiTheme="minorEastAsia" w:eastAsiaTheme="minorEastAsia"/>
        </w:rPr>
        <w:t>研发中试；不含单独药品复配、分装；不含化学药品制剂制造的）”，</w:t>
      </w:r>
      <w:r>
        <w:rPr>
          <w:rFonts w:hint="eastAsia" w:cs="Times New Roman" w:asciiTheme="minorEastAsia" w:hAnsiTheme="minorEastAsia" w:eastAsiaTheme="minorEastAsia"/>
        </w:rPr>
        <w:t>“四十五</w:t>
      </w:r>
      <w:r>
        <w:rPr>
          <w:rFonts w:cs="Times New Roman" w:asciiTheme="minorEastAsia" w:hAnsiTheme="minorEastAsia" w:eastAsiaTheme="minorEastAsia"/>
        </w:rPr>
        <w:t>、研究和试验发展</w:t>
      </w:r>
      <w:r>
        <w:rPr>
          <w:rFonts w:hint="eastAsia" w:cs="Times New Roman" w:asciiTheme="minorEastAsia" w:hAnsiTheme="minorEastAsia" w:eastAsiaTheme="minorEastAsia"/>
        </w:rPr>
        <w:t>”：</w:t>
      </w:r>
      <w:r>
        <w:rPr>
          <w:rFonts w:hint="eastAsia"/>
        </w:rPr>
        <w:t>“98专业</w:t>
      </w:r>
      <w:r>
        <w:t>实验室、研发（</w:t>
      </w:r>
      <w:r>
        <w:rPr>
          <w:rFonts w:hint="eastAsia"/>
        </w:rPr>
        <w:t>试验</w:t>
      </w:r>
      <w:r>
        <w:t>）</w:t>
      </w:r>
      <w:r>
        <w:rPr>
          <w:rFonts w:hint="eastAsia"/>
        </w:rPr>
        <w:t>基地”中</w:t>
      </w:r>
      <w:r>
        <w:t>的</w:t>
      </w:r>
      <w:r>
        <w:rPr>
          <w:rFonts w:hint="eastAsia"/>
        </w:rPr>
        <w:t>“其他</w:t>
      </w:r>
      <w:r>
        <w:t>（</w:t>
      </w:r>
      <w:r>
        <w:rPr>
          <w:rFonts w:hint="eastAsia"/>
        </w:rPr>
        <w:t>不产生</w:t>
      </w:r>
      <w:r>
        <w:t>实验废气、废水、危险废物的除外）</w:t>
      </w:r>
      <w:r>
        <w:rPr>
          <w:rFonts w:hint="eastAsia"/>
        </w:rPr>
        <w:t>”，</w:t>
      </w:r>
      <w:r>
        <w:t>根据</w:t>
      </w:r>
      <w:r>
        <w:rPr>
          <w:rFonts w:hint="eastAsia"/>
        </w:rPr>
        <w:t>名录</w:t>
      </w:r>
      <w:r>
        <w:t>规定</w:t>
      </w:r>
      <w:r>
        <w:rPr>
          <w:rFonts w:hint="eastAsia"/>
        </w:rPr>
        <w:t>，</w:t>
      </w:r>
      <w:r>
        <w:t>建设项目</w:t>
      </w:r>
      <w:r>
        <w:rPr>
          <w:rFonts w:hint="eastAsia"/>
        </w:rPr>
        <w:t>涉及</w:t>
      </w:r>
      <w:r>
        <w:t>本名录中两个及以上</w:t>
      </w:r>
      <w:r>
        <w:rPr>
          <w:rFonts w:hint="eastAsia"/>
        </w:rPr>
        <w:t>项目</w:t>
      </w:r>
      <w:r>
        <w:t>类别的建设项目，其环境影响评价类别</w:t>
      </w:r>
      <w:r>
        <w:rPr>
          <w:rFonts w:hint="eastAsia"/>
        </w:rPr>
        <w:t>按</w:t>
      </w:r>
      <w:r>
        <w:t>其中单项等级最高的确定。</w:t>
      </w:r>
    </w:p>
    <w:p>
      <w:pPr>
        <w:pStyle w:val="87"/>
        <w:ind w:firstLine="480"/>
        <w:rPr>
          <w:rFonts w:cs="Times New Roman" w:asciiTheme="minorEastAsia" w:hAnsiTheme="minorEastAsia" w:eastAsiaTheme="minorEastAsia"/>
        </w:rPr>
      </w:pPr>
      <w:r>
        <w:rPr>
          <w:rFonts w:cs="Times New Roman"/>
        </w:rPr>
        <w:t>因此，本项目应编制环境影响报告书。</w:t>
      </w:r>
      <w:r>
        <w:rPr>
          <w:rFonts w:hint="eastAsia" w:cs="Times New Roman"/>
        </w:rPr>
        <w:t>为此，</w:t>
      </w:r>
      <w:r>
        <w:t>陕西宏达坤生物科技有限公司于2021年5月12</w:t>
      </w:r>
      <w:r>
        <w:rPr>
          <w:rFonts w:hint="eastAsia"/>
        </w:rPr>
        <w:t>日</w:t>
      </w:r>
      <w:r>
        <w:t>委托</w:t>
      </w:r>
      <w:r>
        <w:rPr>
          <w:rFonts w:hint="eastAsia"/>
        </w:rPr>
        <w:t>西安君润环保科技工程有限公司</w:t>
      </w:r>
      <w:r>
        <w:t>（以下简称评价单位）承担本项目的环境影响评价工作（见附件）。</w:t>
      </w:r>
    </w:p>
    <w:p>
      <w:pPr>
        <w:ind w:firstLine="480"/>
      </w:pPr>
      <w:r>
        <w:t>接受委托后，</w:t>
      </w:r>
      <w:r>
        <w:rPr>
          <w:rFonts w:hint="eastAsia"/>
        </w:rPr>
        <w:t>我单位</w:t>
      </w:r>
      <w:r>
        <w:t>专门成立了评价小组</w:t>
      </w:r>
      <w:r>
        <w:rPr>
          <w:rFonts w:hint="eastAsia"/>
        </w:rPr>
        <w:t>并</w:t>
      </w:r>
      <w:r>
        <w:t>组织相关技术人员对评价区域进行了详细的现场勘察，收集整理了与本项目有关的环境现状资料，研究了建设单位提供的工程资料。根据现场调查、收集到的有关文件、资料，开展了初步的工程分析，确定了各环境要素的评价工作等级，在此基础上进行了环境质量现状监测，获得了区域环境质量现状数据。</w:t>
      </w:r>
    </w:p>
    <w:p>
      <w:pPr>
        <w:pStyle w:val="87"/>
        <w:ind w:firstLine="480"/>
        <w:rPr>
          <w:bCs/>
        </w:rPr>
      </w:pPr>
      <w:r>
        <w:t>评价小组依据现状数据和有关资料，结合项目特点，经过深入的调查、分析和预测，并在充分的公众参与调查基础上，根据环境影响评价有关技术导则、规范的要求，编制完成了</w:t>
      </w:r>
      <w:r>
        <w:rPr>
          <w:bCs/>
        </w:rPr>
        <w:t>《</w:t>
      </w:r>
      <w:r>
        <w:t>陕西宏达坤生物科技有限公司黄姜提取物研究基地项目</w:t>
      </w:r>
      <w:r>
        <w:rPr>
          <w:bCs/>
        </w:rPr>
        <w:t>环境影响报告书》，由建设单位报请</w:t>
      </w:r>
      <w:r>
        <w:rPr>
          <w:rFonts w:hint="eastAsia"/>
          <w:bCs/>
        </w:rPr>
        <w:t>安康市生态环境</w:t>
      </w:r>
      <w:r>
        <w:rPr>
          <w:bCs/>
        </w:rPr>
        <w:t>保护</w:t>
      </w:r>
      <w:r>
        <w:rPr>
          <w:rFonts w:hint="eastAsia"/>
          <w:bCs/>
        </w:rPr>
        <w:t>局</w:t>
      </w:r>
      <w:r>
        <w:rPr>
          <w:bCs/>
        </w:rPr>
        <w:t>组织审查。</w:t>
      </w:r>
    </w:p>
    <w:p>
      <w:pPr>
        <w:pStyle w:val="3"/>
      </w:pPr>
      <w:bookmarkStart w:id="10" w:name="_Toc488102145"/>
      <w:bookmarkStart w:id="11" w:name="_Toc82502936"/>
      <w:r>
        <w:rPr>
          <w:rFonts w:hint="eastAsia"/>
        </w:rPr>
        <w:t>关注的主要环境问题</w:t>
      </w:r>
      <w:bookmarkEnd w:id="10"/>
      <w:bookmarkEnd w:id="11"/>
    </w:p>
    <w:p>
      <w:pPr>
        <w:ind w:firstLine="480"/>
      </w:pPr>
      <w:r>
        <w:t>（1）废气方面：主要关注运营期</w:t>
      </w:r>
      <w:r>
        <w:rPr>
          <w:rFonts w:hint="eastAsia"/>
        </w:rPr>
        <w:t>大气</w:t>
      </w:r>
      <w:r>
        <w:t>环境影响及废气污染防治措施；</w:t>
      </w:r>
    </w:p>
    <w:p>
      <w:pPr>
        <w:ind w:firstLine="480"/>
      </w:pPr>
      <w:r>
        <w:rPr>
          <w:rFonts w:hint="eastAsia"/>
        </w:rPr>
        <w:t>重点</w:t>
      </w:r>
      <w:r>
        <w:t>分析粉尘处理措施及其</w:t>
      </w:r>
      <w:r>
        <w:rPr>
          <w:rFonts w:hint="eastAsia"/>
        </w:rPr>
        <w:t>产生</w:t>
      </w:r>
      <w:r>
        <w:t>和排放</w:t>
      </w:r>
      <w:r>
        <w:rPr>
          <w:rFonts w:hint="eastAsia"/>
        </w:rPr>
        <w:t>情况</w:t>
      </w:r>
      <w:r>
        <w:t>，储罐无组织废气排放情况。</w:t>
      </w:r>
    </w:p>
    <w:p>
      <w:pPr>
        <w:ind w:firstLine="480"/>
      </w:pPr>
      <w:r>
        <w:t>（2）废水方面：主要关注运营过程中</w:t>
      </w:r>
      <w:r>
        <w:rPr>
          <w:rFonts w:hint="eastAsia"/>
        </w:rPr>
        <w:t>生产用水</w:t>
      </w:r>
      <w:r>
        <w:t>和生活污水。</w:t>
      </w:r>
    </w:p>
    <w:p>
      <w:pPr>
        <w:ind w:firstLine="480"/>
      </w:pPr>
      <w:r>
        <w:t>重点分析</w:t>
      </w:r>
      <w:r>
        <w:rPr>
          <w:rFonts w:hint="eastAsia"/>
        </w:rPr>
        <w:t>生产过程</w:t>
      </w:r>
      <w:r>
        <w:t xml:space="preserve">不产生废水的可行性，生活污水排入污水处理厂的依托可行性。 </w:t>
      </w:r>
    </w:p>
    <w:p>
      <w:pPr>
        <w:ind w:firstLine="480"/>
      </w:pPr>
      <w:r>
        <w:t>（3）噪声方面：关注运营期场界噪声是否可以达到相应的标准要求。</w:t>
      </w:r>
    </w:p>
    <w:p>
      <w:pPr>
        <w:ind w:firstLine="480"/>
      </w:pPr>
      <w:r>
        <w:t>重点分析噪声控制措施的可行性及场界的达标可行性。</w:t>
      </w:r>
    </w:p>
    <w:p>
      <w:pPr>
        <w:ind w:firstLine="480"/>
      </w:pPr>
      <w:r>
        <w:t>（4）固废方面：关注</w:t>
      </w:r>
      <w:r>
        <w:rPr>
          <w:rFonts w:hint="eastAsia"/>
        </w:rPr>
        <w:t>固体废物种类</w:t>
      </w:r>
      <w:r>
        <w:t>。</w:t>
      </w:r>
    </w:p>
    <w:p>
      <w:pPr>
        <w:ind w:firstLine="480"/>
      </w:pPr>
      <w:r>
        <w:t>重点分析固废的产生情况、暂存设施设置的规范要求及处置是否符合环保要求。</w:t>
      </w:r>
    </w:p>
    <w:p>
      <w:pPr>
        <w:pStyle w:val="3"/>
      </w:pPr>
      <w:bookmarkStart w:id="12" w:name="_Toc82502937"/>
      <w:bookmarkStart w:id="13" w:name="_Toc488102146"/>
      <w:r>
        <w:rPr>
          <w:rFonts w:hint="eastAsia"/>
        </w:rPr>
        <w:t>环境影响评价的主要结论</w:t>
      </w:r>
      <w:bookmarkEnd w:id="12"/>
      <w:bookmarkEnd w:id="13"/>
    </w:p>
    <w:p>
      <w:pPr>
        <w:ind w:firstLine="480"/>
        <w:sectPr>
          <w:headerReference r:id="rId14" w:type="default"/>
          <w:footerReference r:id="rId16" w:type="default"/>
          <w:headerReference r:id="rId15" w:type="even"/>
          <w:footerReference r:id="rId17" w:type="even"/>
          <w:pgSz w:w="11906" w:h="16838"/>
          <w:pgMar w:top="1418" w:right="1418" w:bottom="1418" w:left="1418" w:header="992" w:footer="992" w:gutter="0"/>
          <w:pgNumType w:fmt="numberInDash" w:start="1"/>
          <w:cols w:space="425" w:num="1"/>
          <w:docGrid w:type="lines" w:linePitch="326" w:charSpace="0"/>
        </w:sectPr>
      </w:pPr>
      <w:r>
        <w:t>陕西宏达坤生物科技有限公司黄姜提取物研究基地项目</w:t>
      </w:r>
      <w:r>
        <w:rPr>
          <w:rFonts w:hint="eastAsia"/>
        </w:rPr>
        <w:t>符合国家产业政策和地方相关规划的要求；各项污染物能够达标排放；项目运行后对周围环境影响较轻；项目建成后对当地经济起到促进作用。项目建设过程中要认真落实环境保护“三同时”，严格落实设计和环评报告提出的污染防治措施和环境保护措施，并加强环保设施的运行维护和管理，保证各种环保设施的正常运行和污染物长期稳定达标排放。从</w:t>
      </w:r>
      <w:r>
        <w:t>环境保护角度分析，</w:t>
      </w:r>
      <w:r>
        <w:rPr>
          <w:rFonts w:hint="eastAsia"/>
        </w:rPr>
        <w:t>该项目建设具有环境可行性。</w:t>
      </w:r>
    </w:p>
    <w:p>
      <w:pPr>
        <w:pStyle w:val="2"/>
      </w:pPr>
      <w:bookmarkStart w:id="14" w:name="_Toc82502938"/>
      <w:bookmarkStart w:id="15" w:name="_Toc488102147"/>
      <w:r>
        <w:rPr>
          <w:rFonts w:hint="eastAsia"/>
        </w:rPr>
        <w:t>总则</w:t>
      </w:r>
      <w:bookmarkEnd w:id="14"/>
      <w:bookmarkEnd w:id="15"/>
    </w:p>
    <w:p>
      <w:pPr>
        <w:pStyle w:val="3"/>
      </w:pPr>
      <w:bookmarkStart w:id="16" w:name="_Toc82502939"/>
      <w:bookmarkStart w:id="17" w:name="_Toc488102148"/>
      <w:r>
        <w:rPr>
          <w:rFonts w:hint="eastAsia"/>
        </w:rPr>
        <w:t>编制依据</w:t>
      </w:r>
      <w:bookmarkEnd w:id="16"/>
      <w:bookmarkEnd w:id="17"/>
    </w:p>
    <w:p>
      <w:pPr>
        <w:pStyle w:val="4"/>
      </w:pPr>
      <w:r>
        <w:rPr>
          <w:rFonts w:hint="eastAsia"/>
        </w:rPr>
        <w:t>国家法律法规</w:t>
      </w:r>
    </w:p>
    <w:p>
      <w:pPr>
        <w:numPr>
          <w:ilvl w:val="0"/>
          <w:numId w:val="3"/>
        </w:numPr>
      </w:pPr>
      <w:r>
        <w:t>《中华人民共和国环境保护法》，2015</w:t>
      </w:r>
      <w:r>
        <w:rPr>
          <w:rFonts w:hint="eastAsia"/>
        </w:rPr>
        <w:t>.</w:t>
      </w:r>
      <w:r>
        <w:t>1</w:t>
      </w:r>
      <w:r>
        <w:rPr>
          <w:rFonts w:hint="eastAsia"/>
        </w:rPr>
        <w:t>.</w:t>
      </w:r>
      <w:r>
        <w:t>1实施；</w:t>
      </w:r>
    </w:p>
    <w:p>
      <w:pPr>
        <w:numPr>
          <w:ilvl w:val="0"/>
          <w:numId w:val="3"/>
        </w:numPr>
      </w:pPr>
      <w:r>
        <w:t>《中华人民共和国环境影响评价法》</w:t>
      </w:r>
      <w:r>
        <w:rPr>
          <w:rFonts w:hint="eastAsia"/>
        </w:rPr>
        <w:t>（</w:t>
      </w:r>
      <w:r>
        <w:t>修订</w:t>
      </w:r>
      <w:r>
        <w:rPr>
          <w:rFonts w:hint="eastAsia"/>
        </w:rPr>
        <w:t>版）</w:t>
      </w:r>
      <w:r>
        <w:t>，2018</w:t>
      </w:r>
      <w:r>
        <w:rPr>
          <w:rFonts w:hint="eastAsia"/>
        </w:rPr>
        <w:t>.</w:t>
      </w:r>
      <w:r>
        <w:t>12</w:t>
      </w:r>
      <w:r>
        <w:rPr>
          <w:rFonts w:hint="eastAsia"/>
        </w:rPr>
        <w:t>.</w:t>
      </w:r>
      <w:r>
        <w:t>29；</w:t>
      </w:r>
    </w:p>
    <w:p>
      <w:pPr>
        <w:numPr>
          <w:ilvl w:val="0"/>
          <w:numId w:val="3"/>
        </w:numPr>
      </w:pPr>
      <w:r>
        <w:t>《中华人民共和国大气污染防治法》</w:t>
      </w:r>
      <w:r>
        <w:rPr>
          <w:rFonts w:hint="eastAsia"/>
        </w:rPr>
        <w:t>（修订版）</w:t>
      </w:r>
      <w:r>
        <w:t>，2018</w:t>
      </w:r>
      <w:r>
        <w:rPr>
          <w:rFonts w:hint="eastAsia"/>
        </w:rPr>
        <w:t>.</w:t>
      </w:r>
      <w:r>
        <w:t>10</w:t>
      </w:r>
      <w:r>
        <w:rPr>
          <w:rFonts w:hint="eastAsia"/>
        </w:rPr>
        <w:t>.</w:t>
      </w:r>
      <w:r>
        <w:t>26；</w:t>
      </w:r>
    </w:p>
    <w:p>
      <w:pPr>
        <w:numPr>
          <w:ilvl w:val="0"/>
          <w:numId w:val="3"/>
        </w:numPr>
      </w:pPr>
      <w:r>
        <w:t>《中华人民共和国水污染防治法》</w:t>
      </w:r>
      <w:r>
        <w:rPr>
          <w:rFonts w:hint="eastAsia"/>
        </w:rPr>
        <w:t>（修订版）</w:t>
      </w:r>
      <w:r>
        <w:t>，2018</w:t>
      </w:r>
      <w:r>
        <w:rPr>
          <w:rFonts w:hint="eastAsia"/>
        </w:rPr>
        <w:t>.1</w:t>
      </w:r>
      <w:r>
        <w:t>6</w:t>
      </w:r>
      <w:r>
        <w:rPr>
          <w:rFonts w:hint="eastAsia"/>
        </w:rPr>
        <w:t>.</w:t>
      </w:r>
      <w:r>
        <w:t>1；</w:t>
      </w:r>
    </w:p>
    <w:p>
      <w:pPr>
        <w:numPr>
          <w:ilvl w:val="0"/>
          <w:numId w:val="3"/>
        </w:numPr>
      </w:pPr>
      <w:r>
        <w:t>《中华人民共和国环境噪声污染防治法》</w:t>
      </w:r>
      <w:r>
        <w:rPr>
          <w:rFonts w:hint="eastAsia"/>
        </w:rPr>
        <w:t>（修订版）</w:t>
      </w:r>
      <w:r>
        <w:t>，2018</w:t>
      </w:r>
      <w:r>
        <w:rPr>
          <w:rFonts w:hint="eastAsia"/>
        </w:rPr>
        <w:t>.</w:t>
      </w:r>
      <w:r>
        <w:t>12</w:t>
      </w:r>
      <w:r>
        <w:rPr>
          <w:rFonts w:hint="eastAsia"/>
        </w:rPr>
        <w:t>.</w:t>
      </w:r>
      <w:r>
        <w:t>29；</w:t>
      </w:r>
    </w:p>
    <w:p>
      <w:pPr>
        <w:numPr>
          <w:ilvl w:val="0"/>
          <w:numId w:val="3"/>
        </w:numPr>
      </w:pPr>
      <w:r>
        <w:t>《中华人民共和国固体废物污染环境防治法》</w:t>
      </w:r>
      <w:r>
        <w:rPr>
          <w:rFonts w:hint="eastAsia"/>
        </w:rPr>
        <w:t>（修订版）</w:t>
      </w:r>
      <w:r>
        <w:t>，2020</w:t>
      </w:r>
      <w:r>
        <w:rPr>
          <w:rFonts w:hint="eastAsia"/>
        </w:rPr>
        <w:t>.</w:t>
      </w:r>
      <w:r>
        <w:t>4</w:t>
      </w:r>
      <w:r>
        <w:rPr>
          <w:rFonts w:hint="eastAsia"/>
        </w:rPr>
        <w:t>.</w:t>
      </w:r>
      <w:r>
        <w:t>29；</w:t>
      </w:r>
    </w:p>
    <w:p>
      <w:pPr>
        <w:numPr>
          <w:ilvl w:val="0"/>
          <w:numId w:val="3"/>
        </w:numPr>
      </w:pPr>
      <w:r>
        <w:t>《中华人民共和国清洁生产促进法》，2012</w:t>
      </w:r>
      <w:r>
        <w:rPr>
          <w:rFonts w:hint="eastAsia"/>
        </w:rPr>
        <w:t>.</w:t>
      </w:r>
      <w:r>
        <w:t>7</w:t>
      </w:r>
      <w:r>
        <w:rPr>
          <w:rFonts w:hint="eastAsia"/>
        </w:rPr>
        <w:t>.</w:t>
      </w:r>
      <w:r>
        <w:t>3；</w:t>
      </w:r>
    </w:p>
    <w:p>
      <w:pPr>
        <w:numPr>
          <w:ilvl w:val="0"/>
          <w:numId w:val="3"/>
        </w:numPr>
      </w:pPr>
      <w:r>
        <w:t>《中华人民共和国循环经济促进法》，2009</w:t>
      </w:r>
      <w:r>
        <w:rPr>
          <w:rFonts w:hint="eastAsia"/>
        </w:rPr>
        <w:t>.</w:t>
      </w:r>
      <w:r>
        <w:t>1</w:t>
      </w:r>
      <w:r>
        <w:rPr>
          <w:rFonts w:hint="eastAsia"/>
        </w:rPr>
        <w:t>.</w:t>
      </w:r>
      <w:r>
        <w:t>1</w:t>
      </w:r>
      <w:r>
        <w:rPr>
          <w:rFonts w:hint="eastAsia"/>
        </w:rPr>
        <w:t>。</w:t>
      </w:r>
    </w:p>
    <w:p>
      <w:pPr>
        <w:pStyle w:val="4"/>
      </w:pPr>
      <w:r>
        <w:rPr>
          <w:rFonts w:hint="eastAsia"/>
        </w:rPr>
        <w:t>国务院</w:t>
      </w:r>
      <w:r>
        <w:t>行政法规及规范性文件</w:t>
      </w:r>
    </w:p>
    <w:p>
      <w:pPr>
        <w:numPr>
          <w:ilvl w:val="0"/>
          <w:numId w:val="4"/>
        </w:numPr>
        <w:ind w:firstLineChars="0"/>
      </w:pPr>
      <w:r>
        <w:t>《建设项目环境保护管理条例》</w:t>
      </w:r>
      <w:r>
        <w:rPr>
          <w:rFonts w:hint="eastAsia"/>
        </w:rPr>
        <w:t>）</w:t>
      </w:r>
      <w:r>
        <w:t>（</w:t>
      </w:r>
      <w:r>
        <w:rPr>
          <w:rFonts w:hint="eastAsia"/>
        </w:rPr>
        <w:t>国务院</w:t>
      </w:r>
      <w:r>
        <w:t>令第</w:t>
      </w:r>
      <w:r>
        <w:rPr>
          <w:rFonts w:hint="eastAsia"/>
        </w:rPr>
        <w:t>682号</w:t>
      </w:r>
      <w:r>
        <w:t>）</w:t>
      </w:r>
      <w:r>
        <w:rPr>
          <w:rFonts w:hint="eastAsia"/>
        </w:rPr>
        <w:t>，</w:t>
      </w:r>
      <w:r>
        <w:t>（2017</w:t>
      </w:r>
      <w:r>
        <w:rPr>
          <w:rFonts w:hint="eastAsia"/>
        </w:rPr>
        <w:t>.</w:t>
      </w:r>
      <w:r>
        <w:t>10</w:t>
      </w:r>
      <w:r>
        <w:rPr>
          <w:rFonts w:hint="eastAsia"/>
        </w:rPr>
        <w:t>.</w:t>
      </w:r>
      <w:r>
        <w:t>1）；</w:t>
      </w:r>
    </w:p>
    <w:p>
      <w:pPr>
        <w:numPr>
          <w:ilvl w:val="0"/>
          <w:numId w:val="4"/>
        </w:numPr>
        <w:ind w:firstLineChars="0"/>
      </w:pPr>
      <w:r>
        <w:t>《关于划定并严守生态保护红线的若干意见》（国务院办公厅，2017年2月7日）；</w:t>
      </w:r>
    </w:p>
    <w:p>
      <w:pPr>
        <w:numPr>
          <w:ilvl w:val="0"/>
          <w:numId w:val="4"/>
        </w:numPr>
        <w:ind w:firstLineChars="0"/>
      </w:pPr>
      <w:r>
        <w:t>《关于加强环境保护重点工作的意见》（国发[2011]35号）；</w:t>
      </w:r>
    </w:p>
    <w:p>
      <w:pPr>
        <w:numPr>
          <w:ilvl w:val="0"/>
          <w:numId w:val="4"/>
        </w:numPr>
        <w:ind w:firstLineChars="0"/>
      </w:pPr>
      <w:r>
        <w:t>《土壤污染防治行动计划》，国发[2016]31号，2016</w:t>
      </w:r>
      <w:r>
        <w:rPr>
          <w:rFonts w:hint="eastAsia"/>
        </w:rPr>
        <w:t>.</w:t>
      </w:r>
      <w:r>
        <w:t>5</w:t>
      </w:r>
      <w:r>
        <w:rPr>
          <w:rFonts w:hint="eastAsia"/>
        </w:rPr>
        <w:t>.</w:t>
      </w:r>
      <w:r>
        <w:t>28；</w:t>
      </w:r>
    </w:p>
    <w:p>
      <w:pPr>
        <w:numPr>
          <w:ilvl w:val="0"/>
          <w:numId w:val="4"/>
        </w:numPr>
        <w:ind w:firstLineChars="0"/>
      </w:pPr>
      <w:r>
        <w:t>《水污染防治行动计划》，国发[2015]17号，2015</w:t>
      </w:r>
      <w:r>
        <w:rPr>
          <w:rFonts w:hint="eastAsia"/>
        </w:rPr>
        <w:t>.</w:t>
      </w:r>
      <w:r>
        <w:t>4</w:t>
      </w:r>
      <w:r>
        <w:rPr>
          <w:rFonts w:hint="eastAsia"/>
        </w:rPr>
        <w:t>.</w:t>
      </w:r>
      <w:r>
        <w:t>2；</w:t>
      </w:r>
    </w:p>
    <w:p>
      <w:pPr>
        <w:numPr>
          <w:ilvl w:val="0"/>
          <w:numId w:val="4"/>
        </w:numPr>
        <w:ind w:firstLineChars="0"/>
      </w:pPr>
      <w:r>
        <w:t>《大气污染防治行动计划》，国发[2013]37号，2013</w:t>
      </w:r>
      <w:r>
        <w:rPr>
          <w:rFonts w:hint="eastAsia"/>
        </w:rPr>
        <w:t>.</w:t>
      </w:r>
      <w:r>
        <w:t>9</w:t>
      </w:r>
      <w:r>
        <w:rPr>
          <w:rFonts w:hint="eastAsia"/>
        </w:rPr>
        <w:t>.</w:t>
      </w:r>
      <w:r>
        <w:t>10；</w:t>
      </w:r>
    </w:p>
    <w:p>
      <w:pPr>
        <w:numPr>
          <w:ilvl w:val="0"/>
          <w:numId w:val="4"/>
        </w:numPr>
        <w:ind w:firstLineChars="0"/>
      </w:pPr>
      <w:r>
        <w:rPr>
          <w:rFonts w:hint="eastAsia"/>
        </w:rPr>
        <w:t>《全国主体功能区规划》，</w:t>
      </w:r>
      <w:r>
        <w:t>2010.10.21</w:t>
      </w:r>
      <w:r>
        <w:rPr>
          <w:rFonts w:hint="eastAsia"/>
        </w:rPr>
        <w:t>；</w:t>
      </w:r>
    </w:p>
    <w:p>
      <w:pPr>
        <w:numPr>
          <w:ilvl w:val="0"/>
          <w:numId w:val="4"/>
        </w:numPr>
        <w:ind w:firstLineChars="0"/>
      </w:pPr>
      <w:r>
        <w:rPr>
          <w:rFonts w:hint="eastAsia"/>
        </w:rPr>
        <w:t>《全国生态功能区划（修编版）》，</w:t>
      </w:r>
      <w:r>
        <w:t>2015.11.13</w:t>
      </w:r>
      <w:r>
        <w:rPr>
          <w:rFonts w:hint="eastAsia"/>
        </w:rPr>
        <w:t>。</w:t>
      </w:r>
      <w:r>
        <w:t xml:space="preserve"> </w:t>
      </w:r>
    </w:p>
    <w:p>
      <w:pPr>
        <w:pStyle w:val="4"/>
      </w:pPr>
      <w:r>
        <w:rPr>
          <w:rFonts w:hint="eastAsia"/>
        </w:rPr>
        <w:t>部门</w:t>
      </w:r>
      <w:r>
        <w:t>规章</w:t>
      </w:r>
      <w:r>
        <w:rPr>
          <w:rFonts w:hint="eastAsia"/>
        </w:rPr>
        <w:t>及规范性</w:t>
      </w:r>
      <w:r>
        <w:t>文件</w:t>
      </w:r>
    </w:p>
    <w:p>
      <w:pPr>
        <w:numPr>
          <w:ilvl w:val="0"/>
          <w:numId w:val="5"/>
        </w:numPr>
      </w:pPr>
      <w:r>
        <w:t>《国家发展和改革委员会产业结构调整指导目录（2019年本）》（2020年1月1日）；</w:t>
      </w:r>
    </w:p>
    <w:p>
      <w:pPr>
        <w:numPr>
          <w:ilvl w:val="0"/>
          <w:numId w:val="5"/>
        </w:numPr>
      </w:pPr>
      <w:r>
        <w:t>《关于防范环境风险加强环境影响评价管理的通知》（环发[2005]152号）；</w:t>
      </w:r>
    </w:p>
    <w:p>
      <w:pPr>
        <w:numPr>
          <w:ilvl w:val="0"/>
          <w:numId w:val="5"/>
        </w:numPr>
      </w:pPr>
      <w:r>
        <w:t>《关于印发“十三五”环境影响评价改革实施方案的通知》（环环评[2016]95号）；</w:t>
      </w:r>
    </w:p>
    <w:p>
      <w:pPr>
        <w:numPr>
          <w:ilvl w:val="0"/>
          <w:numId w:val="5"/>
        </w:numPr>
      </w:pPr>
      <w:r>
        <w:t>《关于加强西部地区环境影响评价工作的通知》（环发[2011]150号）；</w:t>
      </w:r>
    </w:p>
    <w:p>
      <w:pPr>
        <w:numPr>
          <w:ilvl w:val="0"/>
          <w:numId w:val="5"/>
        </w:numPr>
      </w:pPr>
      <w:r>
        <w:t>《关于进一步加强环境影响评价管理防范环境风险的通知》（环发[2012]77号）；</w:t>
      </w:r>
    </w:p>
    <w:p>
      <w:pPr>
        <w:numPr>
          <w:ilvl w:val="0"/>
          <w:numId w:val="5"/>
        </w:numPr>
      </w:pPr>
      <w:r>
        <w:t>环境保护部《建设项目环境影响评价分类管理名录》</w:t>
      </w:r>
      <w:r>
        <w:rPr>
          <w:rFonts w:hint="eastAsia"/>
        </w:rPr>
        <w:t>（2021版）（部令第16号），2021.1.1；</w:t>
      </w:r>
    </w:p>
    <w:p>
      <w:pPr>
        <w:numPr>
          <w:ilvl w:val="0"/>
          <w:numId w:val="5"/>
        </w:numPr>
      </w:pPr>
      <w:r>
        <w:t>《关于强化建设项目环境影响评价事中事后监管的实施意见》，环境保护部，环环评[2018]11号；</w:t>
      </w:r>
    </w:p>
    <w:p>
      <w:pPr>
        <w:numPr>
          <w:ilvl w:val="0"/>
          <w:numId w:val="5"/>
        </w:numPr>
      </w:pPr>
      <w:r>
        <w:rPr>
          <w:rFonts w:hint="eastAsia"/>
        </w:rPr>
        <w:t>《国家危险废物名录》（</w:t>
      </w:r>
      <w:r>
        <w:t>2021</w:t>
      </w:r>
      <w:r>
        <w:rPr>
          <w:rFonts w:hint="eastAsia"/>
        </w:rPr>
        <w:t>年版），</w:t>
      </w:r>
      <w:r>
        <w:t>2021.1.1</w:t>
      </w:r>
      <w:r>
        <w:rPr>
          <w:rFonts w:hint="eastAsia"/>
        </w:rPr>
        <w:t>；</w:t>
      </w:r>
    </w:p>
    <w:p>
      <w:pPr>
        <w:numPr>
          <w:ilvl w:val="0"/>
          <w:numId w:val="5"/>
        </w:numPr>
      </w:pPr>
      <w:r>
        <w:rPr>
          <w:rFonts w:hint="eastAsia"/>
        </w:rPr>
        <w:t>《关于落实</w:t>
      </w:r>
      <w:r>
        <w:t>&lt;</w:t>
      </w:r>
      <w:r>
        <w:rPr>
          <w:rFonts w:hint="eastAsia"/>
        </w:rPr>
        <w:t>水污染防治行动计划</w:t>
      </w:r>
      <w:r>
        <w:t>&gt;</w:t>
      </w:r>
      <w:r>
        <w:rPr>
          <w:rFonts w:hint="eastAsia"/>
        </w:rPr>
        <w:t>实施区域差别化环境准入的指导意见》（环环评</w:t>
      </w:r>
      <w:r>
        <w:t>[2016]190</w:t>
      </w:r>
      <w:r>
        <w:rPr>
          <w:rFonts w:hint="eastAsia"/>
        </w:rPr>
        <w:t>号，</w:t>
      </w:r>
      <w:r>
        <w:t>2016.12.27</w:t>
      </w:r>
      <w:r>
        <w:rPr>
          <w:rFonts w:hint="eastAsia"/>
        </w:rPr>
        <w:t>）；</w:t>
      </w:r>
    </w:p>
    <w:p>
      <w:pPr>
        <w:numPr>
          <w:ilvl w:val="0"/>
          <w:numId w:val="5"/>
        </w:numPr>
      </w:pPr>
      <w:r>
        <w:rPr>
          <w:rFonts w:hint="eastAsia"/>
        </w:rPr>
        <w:t>《环境空气细颗粒物污染综合防治技术政策》（公告</w:t>
      </w:r>
      <w:r>
        <w:t>2013</w:t>
      </w:r>
      <w:r>
        <w:rPr>
          <w:rFonts w:hint="eastAsia"/>
        </w:rPr>
        <w:t>年第</w:t>
      </w:r>
      <w:r>
        <w:t>59</w:t>
      </w:r>
      <w:r>
        <w:rPr>
          <w:rFonts w:hint="eastAsia"/>
        </w:rPr>
        <w:t>号，</w:t>
      </w:r>
      <w:r>
        <w:t>2013.9.13</w:t>
      </w:r>
      <w:r>
        <w:rPr>
          <w:rFonts w:hint="eastAsia"/>
        </w:rPr>
        <w:t>）；</w:t>
      </w:r>
      <w:r>
        <w:t xml:space="preserve"> </w:t>
      </w:r>
    </w:p>
    <w:p>
      <w:pPr>
        <w:numPr>
          <w:ilvl w:val="0"/>
          <w:numId w:val="5"/>
        </w:numPr>
        <w:ind w:firstLineChars="0"/>
      </w:pPr>
      <w:r>
        <w:rPr>
          <w:rFonts w:hint="eastAsia"/>
        </w:rPr>
        <w:t>《关于做好环境影响评价制度与排污许可制衔接相关工作的通知》（环办环评[2017]84号，2017.11.14）；</w:t>
      </w:r>
    </w:p>
    <w:p>
      <w:pPr>
        <w:numPr>
          <w:ilvl w:val="0"/>
          <w:numId w:val="5"/>
        </w:numPr>
        <w:ind w:firstLineChars="0"/>
      </w:pPr>
      <w:r>
        <w:rPr>
          <w:rFonts w:hint="eastAsia"/>
        </w:rPr>
        <w:t>《关于印发地下水污染防治实施方案的通知》，环土壤[2019]25号，2019.3.28。</w:t>
      </w:r>
    </w:p>
    <w:p>
      <w:pPr>
        <w:numPr>
          <w:ilvl w:val="0"/>
          <w:numId w:val="5"/>
        </w:numPr>
        <w:ind w:firstLineChars="0"/>
      </w:pPr>
      <w:r>
        <w:rPr>
          <w:rFonts w:hint="eastAsia"/>
        </w:rPr>
        <w:t>《医药制造业污染防治技术政策》（环发[2010]151号，2010.12）。</w:t>
      </w:r>
    </w:p>
    <w:p>
      <w:pPr>
        <w:pStyle w:val="4"/>
      </w:pPr>
      <w:r>
        <w:rPr>
          <w:rFonts w:hint="eastAsia"/>
        </w:rPr>
        <w:t>地方</w:t>
      </w:r>
      <w:r>
        <w:t>政府及其</w:t>
      </w:r>
      <w:r>
        <w:rPr>
          <w:rFonts w:hint="eastAsia"/>
        </w:rPr>
        <w:t>相关</w:t>
      </w:r>
      <w:r>
        <w:t>部门的法规、政策、</w:t>
      </w:r>
      <w:r>
        <w:rPr>
          <w:rFonts w:hint="eastAsia"/>
        </w:rPr>
        <w:t>规划</w:t>
      </w:r>
      <w:r>
        <w:t>及规范性</w:t>
      </w:r>
      <w:r>
        <w:rPr>
          <w:rFonts w:hint="eastAsia"/>
        </w:rPr>
        <w:t>文件</w:t>
      </w:r>
    </w:p>
    <w:p>
      <w:pPr>
        <w:numPr>
          <w:ilvl w:val="0"/>
          <w:numId w:val="6"/>
        </w:numPr>
        <w:ind w:firstLineChars="0"/>
      </w:pPr>
      <w:r>
        <w:t>《陕西省循环经济促进条例》（2011</w:t>
      </w:r>
      <w:r>
        <w:rPr>
          <w:rFonts w:hint="eastAsia"/>
        </w:rPr>
        <w:t>.</w:t>
      </w:r>
      <w:r>
        <w:t>12</w:t>
      </w:r>
      <w:r>
        <w:rPr>
          <w:rFonts w:hint="eastAsia"/>
        </w:rPr>
        <w:t>.</w:t>
      </w:r>
      <w:r>
        <w:t>1）；</w:t>
      </w:r>
    </w:p>
    <w:p>
      <w:pPr>
        <w:numPr>
          <w:ilvl w:val="0"/>
          <w:numId w:val="6"/>
        </w:numPr>
      </w:pPr>
      <w:r>
        <w:t>《陕西省地下水条例》（2016</w:t>
      </w:r>
      <w:r>
        <w:rPr>
          <w:rFonts w:hint="eastAsia"/>
        </w:rPr>
        <w:t>.</w:t>
      </w:r>
      <w:r>
        <w:t>4</w:t>
      </w:r>
      <w:r>
        <w:rPr>
          <w:rFonts w:hint="eastAsia"/>
        </w:rPr>
        <w:t>.</w:t>
      </w:r>
      <w:r>
        <w:t>1）；</w:t>
      </w:r>
    </w:p>
    <w:p>
      <w:pPr>
        <w:numPr>
          <w:ilvl w:val="0"/>
          <w:numId w:val="6"/>
        </w:numPr>
      </w:pPr>
      <w:r>
        <w:t>《陕西省固体废物污染环境防治条例</w:t>
      </w:r>
      <w:r>
        <w:rPr>
          <w:rFonts w:hint="eastAsia"/>
        </w:rPr>
        <w:t>（2019年</w:t>
      </w:r>
      <w:r>
        <w:t>修正</w:t>
      </w:r>
      <w:r>
        <w:rPr>
          <w:rFonts w:hint="eastAsia"/>
        </w:rPr>
        <w:t>）</w:t>
      </w:r>
      <w:r>
        <w:t>》（2019</w:t>
      </w:r>
      <w:r>
        <w:rPr>
          <w:rFonts w:hint="eastAsia"/>
        </w:rPr>
        <w:t>.</w:t>
      </w:r>
      <w:r>
        <w:t>7</w:t>
      </w:r>
      <w:r>
        <w:rPr>
          <w:rFonts w:hint="eastAsia"/>
        </w:rPr>
        <w:t>.</w:t>
      </w:r>
      <w:r>
        <w:t>31）；</w:t>
      </w:r>
    </w:p>
    <w:p>
      <w:pPr>
        <w:numPr>
          <w:ilvl w:val="0"/>
          <w:numId w:val="6"/>
        </w:numPr>
      </w:pPr>
      <w:r>
        <w:t>《陕西省大气污染防治条例（2019修正版）》，2019</w:t>
      </w:r>
      <w:r>
        <w:rPr>
          <w:rFonts w:hint="eastAsia"/>
        </w:rPr>
        <w:t>.</w:t>
      </w:r>
      <w:r>
        <w:t>7</w:t>
      </w:r>
      <w:r>
        <w:rPr>
          <w:rFonts w:hint="eastAsia"/>
        </w:rPr>
        <w:t>.</w:t>
      </w:r>
      <w:r>
        <w:t>31；</w:t>
      </w:r>
    </w:p>
    <w:p>
      <w:pPr>
        <w:numPr>
          <w:ilvl w:val="0"/>
          <w:numId w:val="6"/>
        </w:numPr>
      </w:pPr>
      <w:r>
        <w:t>《陕西省水污染防治工作方案》，2015</w:t>
      </w:r>
      <w:r>
        <w:rPr>
          <w:rFonts w:hint="eastAsia"/>
        </w:rPr>
        <w:t>.</w:t>
      </w:r>
      <w:r>
        <w:t>12</w:t>
      </w:r>
      <w:r>
        <w:rPr>
          <w:rFonts w:hint="eastAsia"/>
        </w:rPr>
        <w:t>.</w:t>
      </w:r>
      <w:r>
        <w:t>30；</w:t>
      </w:r>
    </w:p>
    <w:p>
      <w:pPr>
        <w:numPr>
          <w:ilvl w:val="0"/>
          <w:numId w:val="6"/>
        </w:numPr>
      </w:pPr>
      <w:r>
        <w:t>《陕西省汉江丹江流域水污染防治条例（2020年修正）》</w:t>
      </w:r>
      <w:r>
        <w:rPr>
          <w:rFonts w:hint="eastAsia"/>
        </w:rPr>
        <w:t>，2020.6.11；</w:t>
      </w:r>
    </w:p>
    <w:p>
      <w:pPr>
        <w:numPr>
          <w:ilvl w:val="0"/>
          <w:numId w:val="6"/>
        </w:numPr>
        <w:ind w:firstLineChars="0"/>
      </w:pPr>
      <w:r>
        <w:rPr>
          <w:rFonts w:hint="eastAsia"/>
        </w:rPr>
        <w:t>《陕西省国民经济和社会发展第十四个五年规划和二零三五年远景目标纲要》（2021.1.29）；</w:t>
      </w:r>
    </w:p>
    <w:p>
      <w:pPr>
        <w:numPr>
          <w:ilvl w:val="0"/>
          <w:numId w:val="6"/>
        </w:numPr>
      </w:pPr>
      <w:r>
        <w:t>《陕西省铁腕治霾打赢蓝天保卫战三年行动方案》（2018-2020）（修订版）；</w:t>
      </w:r>
    </w:p>
    <w:p>
      <w:pPr>
        <w:numPr>
          <w:ilvl w:val="0"/>
          <w:numId w:val="6"/>
        </w:numPr>
      </w:pPr>
      <w:r>
        <w:t>《陕西省主体功能区规划》（陕西省人民政府，2013.3月）；</w:t>
      </w:r>
    </w:p>
    <w:p>
      <w:pPr>
        <w:numPr>
          <w:ilvl w:val="0"/>
          <w:numId w:val="6"/>
        </w:numPr>
      </w:pPr>
      <w:r>
        <w:t>《陕西省生态功能区划》（陕政办发[2004] 115号）；</w:t>
      </w:r>
    </w:p>
    <w:p>
      <w:pPr>
        <w:numPr>
          <w:ilvl w:val="0"/>
          <w:numId w:val="6"/>
        </w:numPr>
      </w:pPr>
      <w:r>
        <w:t>《行业用水定额》（DB 61/T 943-2020）；</w:t>
      </w:r>
    </w:p>
    <w:p>
      <w:pPr>
        <w:numPr>
          <w:ilvl w:val="0"/>
          <w:numId w:val="6"/>
        </w:numPr>
      </w:pPr>
      <w:r>
        <w:t>《陕西省水功能区划》（陕政发[2004]100号）；</w:t>
      </w:r>
    </w:p>
    <w:p>
      <w:pPr>
        <w:numPr>
          <w:ilvl w:val="0"/>
          <w:numId w:val="6"/>
        </w:numPr>
        <w:ind w:firstLineChars="0"/>
      </w:pPr>
      <w:r>
        <w:rPr>
          <w:rFonts w:hint="eastAsia"/>
        </w:rPr>
        <w:t>《陕西省“十三五”环境保护规划》；</w:t>
      </w:r>
    </w:p>
    <w:p>
      <w:pPr>
        <w:numPr>
          <w:ilvl w:val="0"/>
          <w:numId w:val="6"/>
        </w:numPr>
        <w:ind w:firstLineChars="0"/>
      </w:pPr>
      <w:r>
        <w:rPr>
          <w:rFonts w:hint="eastAsia"/>
        </w:rPr>
        <w:t>《安康市水污染物</w:t>
      </w:r>
      <w:r>
        <w:t>防治工作方案</w:t>
      </w:r>
      <w:r>
        <w:rPr>
          <w:rFonts w:hint="eastAsia"/>
        </w:rPr>
        <w:t>》安政发[2016]7 号;</w:t>
      </w:r>
    </w:p>
    <w:p>
      <w:pPr>
        <w:numPr>
          <w:ilvl w:val="0"/>
          <w:numId w:val="6"/>
        </w:numPr>
        <w:ind w:firstLineChars="0"/>
      </w:pPr>
      <w:r>
        <w:rPr>
          <w:rFonts w:hint="eastAsia"/>
        </w:rPr>
        <w:t>《安康市铁腕治霾打赢蓝天保卫战三年行动方案（2018-2020年）》；</w:t>
      </w:r>
    </w:p>
    <w:p>
      <w:pPr>
        <w:numPr>
          <w:ilvl w:val="0"/>
          <w:numId w:val="6"/>
        </w:numPr>
        <w:ind w:firstLineChars="0"/>
      </w:pPr>
      <w:r>
        <w:rPr>
          <w:rFonts w:hint="eastAsia"/>
        </w:rPr>
        <w:t>《旬阳高新技术产业开发区“十四五”发展规划》，2020.</w:t>
      </w:r>
      <w:r>
        <w:t>12</w:t>
      </w:r>
      <w:r>
        <w:rPr>
          <w:rFonts w:hint="eastAsia"/>
        </w:rPr>
        <w:t>；</w:t>
      </w:r>
    </w:p>
    <w:p>
      <w:pPr>
        <w:numPr>
          <w:ilvl w:val="0"/>
          <w:numId w:val="6"/>
        </w:numPr>
        <w:ind w:firstLineChars="0"/>
      </w:pPr>
      <w:r>
        <w:rPr>
          <w:rFonts w:hint="eastAsia"/>
        </w:rPr>
        <w:t>《旬阳高新技术产业开发区规划》2017.11。</w:t>
      </w:r>
    </w:p>
    <w:p>
      <w:pPr>
        <w:pStyle w:val="4"/>
      </w:pPr>
      <w:r>
        <w:rPr>
          <w:rFonts w:hint="eastAsia"/>
        </w:rPr>
        <w:t>技术依据</w:t>
      </w:r>
    </w:p>
    <w:p>
      <w:pPr>
        <w:numPr>
          <w:ilvl w:val="0"/>
          <w:numId w:val="7"/>
        </w:numPr>
        <w:ind w:firstLineChars="0"/>
      </w:pPr>
      <w:r>
        <w:t>《环境影响评价技术导则  总纲》（HJ 2.1-2016）；</w:t>
      </w:r>
    </w:p>
    <w:p>
      <w:pPr>
        <w:numPr>
          <w:ilvl w:val="0"/>
          <w:numId w:val="7"/>
        </w:numPr>
      </w:pPr>
      <w:r>
        <w:t>《环境影响评价技术导则  大气环境》（HJ2.2-2018）；</w:t>
      </w:r>
    </w:p>
    <w:p>
      <w:pPr>
        <w:numPr>
          <w:ilvl w:val="0"/>
          <w:numId w:val="7"/>
        </w:numPr>
      </w:pPr>
      <w:r>
        <w:t>《环境影响评价技术导则  声环境》（HJ2.4-2009）；</w:t>
      </w:r>
    </w:p>
    <w:p>
      <w:pPr>
        <w:numPr>
          <w:ilvl w:val="0"/>
          <w:numId w:val="7"/>
        </w:numPr>
      </w:pPr>
      <w:r>
        <w:rPr>
          <w:rFonts w:hint="eastAsia"/>
        </w:rPr>
        <w:t>《环境</w:t>
      </w:r>
      <w:r>
        <w:t>影响评价技术导则</w:t>
      </w:r>
      <w:r>
        <w:rPr>
          <w:rFonts w:hint="eastAsia"/>
        </w:rPr>
        <w:t xml:space="preserve">  土壤</w:t>
      </w:r>
      <w:r>
        <w:t>环境（</w:t>
      </w:r>
      <w:r>
        <w:rPr>
          <w:rFonts w:hint="eastAsia"/>
        </w:rPr>
        <w:t>试行</w:t>
      </w:r>
      <w:r>
        <w:t>）</w:t>
      </w:r>
      <w:r>
        <w:rPr>
          <w:rFonts w:hint="eastAsia"/>
        </w:rPr>
        <w:t>》（HJ</w:t>
      </w:r>
      <w:r>
        <w:t>964-2018</w:t>
      </w:r>
      <w:r>
        <w:rPr>
          <w:rFonts w:hint="eastAsia"/>
        </w:rPr>
        <w:t>）；</w:t>
      </w:r>
    </w:p>
    <w:p>
      <w:pPr>
        <w:numPr>
          <w:ilvl w:val="0"/>
          <w:numId w:val="7"/>
        </w:numPr>
      </w:pPr>
      <w:r>
        <w:t xml:space="preserve">《环境影响评价技术导则 </w:t>
      </w:r>
      <w:r>
        <w:rPr>
          <w:rFonts w:hint="eastAsia"/>
        </w:rPr>
        <w:t>地表</w:t>
      </w:r>
      <w:r>
        <w:t>水环境》（HJ2.3-2018）；</w:t>
      </w:r>
    </w:p>
    <w:p>
      <w:pPr>
        <w:numPr>
          <w:ilvl w:val="0"/>
          <w:numId w:val="7"/>
        </w:numPr>
      </w:pPr>
      <w:r>
        <w:t>《环境影响评价技术导则 地下水环境》（HJ610-2016）；</w:t>
      </w:r>
    </w:p>
    <w:p>
      <w:pPr>
        <w:numPr>
          <w:ilvl w:val="0"/>
          <w:numId w:val="7"/>
        </w:numPr>
      </w:pPr>
      <w:r>
        <w:t>《环境影响评价技术导则 生态影响》（HJ 19-2011）；</w:t>
      </w:r>
    </w:p>
    <w:p>
      <w:pPr>
        <w:numPr>
          <w:ilvl w:val="0"/>
          <w:numId w:val="7"/>
        </w:numPr>
      </w:pPr>
      <w:r>
        <w:rPr>
          <w:szCs w:val="21"/>
        </w:rPr>
        <w:t>《建设项目环境风险评价技术导则》（HJ169-2018）；</w:t>
      </w:r>
    </w:p>
    <w:p>
      <w:pPr>
        <w:numPr>
          <w:ilvl w:val="0"/>
          <w:numId w:val="7"/>
        </w:numPr>
      </w:pPr>
      <w:r>
        <w:rPr>
          <w:rFonts w:hint="eastAsia"/>
        </w:rPr>
        <w:t>《环境</w:t>
      </w:r>
      <w:r>
        <w:t>影响评价技术导则</w:t>
      </w:r>
      <w:r>
        <w:rPr>
          <w:rFonts w:hint="eastAsia"/>
        </w:rPr>
        <w:t xml:space="preserve"> 制药</w:t>
      </w:r>
      <w:r>
        <w:t>建设项目</w:t>
      </w:r>
      <w:r>
        <w:rPr>
          <w:rFonts w:hint="eastAsia"/>
        </w:rPr>
        <w:t>》（HJ611-2011）；</w:t>
      </w:r>
    </w:p>
    <w:p>
      <w:pPr>
        <w:numPr>
          <w:ilvl w:val="0"/>
          <w:numId w:val="7"/>
        </w:numPr>
      </w:pPr>
      <w:r>
        <w:rPr>
          <w:rFonts w:hint="eastAsia"/>
        </w:rPr>
        <w:t>《污染物</w:t>
      </w:r>
      <w:r>
        <w:t>源强核算技术指南</w:t>
      </w:r>
      <w:r>
        <w:rPr>
          <w:rFonts w:hint="eastAsia"/>
        </w:rPr>
        <w:t xml:space="preserve"> 准则》（HJ884-2018）；</w:t>
      </w:r>
    </w:p>
    <w:p>
      <w:pPr>
        <w:numPr>
          <w:ilvl w:val="0"/>
          <w:numId w:val="7"/>
        </w:numPr>
      </w:pPr>
      <w:r>
        <w:rPr>
          <w:rFonts w:hint="eastAsia"/>
        </w:rPr>
        <w:t>《污染物</w:t>
      </w:r>
      <w:r>
        <w:t>源强核算技术指南</w:t>
      </w:r>
      <w:r>
        <w:rPr>
          <w:rFonts w:hint="eastAsia"/>
        </w:rPr>
        <w:t xml:space="preserve"> 制药</w:t>
      </w:r>
      <w:r>
        <w:t>工业</w:t>
      </w:r>
      <w:r>
        <w:rPr>
          <w:rFonts w:hint="eastAsia"/>
        </w:rPr>
        <w:t>》（HJ</w:t>
      </w:r>
      <w:r>
        <w:t>992</w:t>
      </w:r>
      <w:r>
        <w:rPr>
          <w:rFonts w:hint="eastAsia"/>
        </w:rPr>
        <w:t>-2018）；</w:t>
      </w:r>
    </w:p>
    <w:p>
      <w:pPr>
        <w:numPr>
          <w:ilvl w:val="0"/>
          <w:numId w:val="7"/>
        </w:numPr>
      </w:pPr>
      <w:r>
        <w:rPr>
          <w:rFonts w:hint="eastAsia"/>
        </w:rPr>
        <w:t>《排污许可证申请与核发技术规范 总则》（HJ 942-2018）；</w:t>
      </w:r>
    </w:p>
    <w:p>
      <w:pPr>
        <w:numPr>
          <w:ilvl w:val="0"/>
          <w:numId w:val="7"/>
        </w:numPr>
        <w:ind w:firstLineChars="0"/>
      </w:pPr>
      <w:r>
        <w:rPr>
          <w:rFonts w:hint="eastAsia"/>
        </w:rPr>
        <w:t>《</w:t>
      </w:r>
      <w:r>
        <w:t xml:space="preserve">排污许可证申请与核发技术规范 </w:t>
      </w:r>
      <w:r>
        <w:rPr>
          <w:rFonts w:hint="eastAsia"/>
        </w:rPr>
        <w:t>制药</w:t>
      </w:r>
      <w:r>
        <w:t>工业</w:t>
      </w:r>
      <w:r>
        <w:rPr>
          <w:rFonts w:hint="eastAsia"/>
        </w:rPr>
        <w:t xml:space="preserve"> 原料</w:t>
      </w:r>
      <w:r>
        <w:t>药制造</w:t>
      </w:r>
      <w:r>
        <w:rPr>
          <w:rFonts w:hint="eastAsia"/>
        </w:rPr>
        <w:t>》（HJ</w:t>
      </w:r>
      <w:r>
        <w:t>858.1-2017</w:t>
      </w:r>
      <w:r>
        <w:rPr>
          <w:rFonts w:hint="eastAsia"/>
        </w:rPr>
        <w:t>）；</w:t>
      </w:r>
    </w:p>
    <w:p>
      <w:pPr>
        <w:numPr>
          <w:ilvl w:val="0"/>
          <w:numId w:val="7"/>
        </w:numPr>
      </w:pPr>
      <w:r>
        <w:t>《排污单位自行监测技术指南 总则》（HJ 819-2017）</w:t>
      </w:r>
      <w:r>
        <w:rPr>
          <w:rFonts w:hint="eastAsia"/>
        </w:rPr>
        <w:t>。</w:t>
      </w:r>
    </w:p>
    <w:p>
      <w:pPr>
        <w:pStyle w:val="4"/>
      </w:pPr>
      <w:r>
        <w:rPr>
          <w:rFonts w:hint="eastAsia"/>
        </w:rPr>
        <w:t>任务依据</w:t>
      </w:r>
    </w:p>
    <w:p>
      <w:pPr>
        <w:numPr>
          <w:ilvl w:val="0"/>
          <w:numId w:val="8"/>
        </w:numPr>
        <w:ind w:firstLineChars="0"/>
        <w:rPr>
          <w:kern w:val="0"/>
        </w:rPr>
      </w:pPr>
      <w:r>
        <w:rPr>
          <w:rFonts w:hint="eastAsia"/>
          <w:kern w:val="0"/>
        </w:rPr>
        <w:t>陕西宏达坤</w:t>
      </w:r>
      <w:r>
        <w:rPr>
          <w:kern w:val="0"/>
        </w:rPr>
        <w:t>生物科技有限公司黄姜提取物研究基地项目环境影响评价委托书；</w:t>
      </w:r>
    </w:p>
    <w:p>
      <w:pPr>
        <w:numPr>
          <w:ilvl w:val="0"/>
          <w:numId w:val="8"/>
        </w:numPr>
        <w:ind w:firstLineChars="0"/>
        <w:jc w:val="left"/>
        <w:rPr>
          <w:kern w:val="0"/>
        </w:rPr>
      </w:pPr>
      <w:r>
        <w:rPr>
          <w:rFonts w:hint="eastAsia"/>
          <w:kern w:val="0"/>
        </w:rPr>
        <w:t>陕西省企业投资项目备案确任书（项目代码：2102-610963-04-01-142083）；</w:t>
      </w:r>
    </w:p>
    <w:p>
      <w:pPr>
        <w:numPr>
          <w:ilvl w:val="0"/>
          <w:numId w:val="8"/>
        </w:numPr>
        <w:ind w:firstLineChars="0"/>
        <w:jc w:val="left"/>
        <w:rPr>
          <w:kern w:val="0"/>
        </w:rPr>
      </w:pPr>
      <w:r>
        <w:rPr>
          <w:rFonts w:hint="eastAsia"/>
          <w:kern w:val="0"/>
        </w:rPr>
        <w:t>建设</w:t>
      </w:r>
      <w:r>
        <w:rPr>
          <w:kern w:val="0"/>
        </w:rPr>
        <w:t>单位提供的其他资料</w:t>
      </w:r>
      <w:r>
        <w:rPr>
          <w:rFonts w:hint="eastAsia"/>
          <w:kern w:val="0"/>
        </w:rPr>
        <w:t>。</w:t>
      </w:r>
    </w:p>
    <w:p>
      <w:pPr>
        <w:pStyle w:val="3"/>
      </w:pPr>
      <w:bookmarkStart w:id="18" w:name="_Toc35439722"/>
      <w:bookmarkStart w:id="19" w:name="_Toc82502940"/>
      <w:r>
        <w:t>评价目的和原则</w:t>
      </w:r>
      <w:bookmarkEnd w:id="18"/>
      <w:bookmarkEnd w:id="19"/>
    </w:p>
    <w:p>
      <w:pPr>
        <w:pStyle w:val="4"/>
      </w:pPr>
      <w:r>
        <w:t>评价目的</w:t>
      </w:r>
    </w:p>
    <w:p>
      <w:pPr>
        <w:ind w:firstLine="480"/>
      </w:pPr>
      <w:r>
        <w:t>（1）通过对项目拟建地和周围环境现状的调查，掌握项目区环境特征、功能区划和自然环境概况。</w:t>
      </w:r>
    </w:p>
    <w:p>
      <w:pPr>
        <w:ind w:firstLine="480"/>
      </w:pPr>
      <w:r>
        <w:t>（2）通过工程分析，确定生产工艺中污染物排放特征。</w:t>
      </w:r>
    </w:p>
    <w:p>
      <w:pPr>
        <w:ind w:firstLine="480"/>
      </w:pPr>
      <w:r>
        <w:t>（3）根据环境特征和建设项目污染物排放特征，预测建设项目对区域自然、生态环境的影响程度、范围和环境质量可能发生的变化。</w:t>
      </w:r>
    </w:p>
    <w:p>
      <w:pPr>
        <w:ind w:firstLine="480"/>
      </w:pPr>
      <w:r>
        <w:t>（4）提出消除或减少不利影响的对策；同时根据达标排放、总量控制的要求，论述项目环保措施的合理性、可靠性和经济性。</w:t>
      </w:r>
    </w:p>
    <w:p>
      <w:pPr>
        <w:pStyle w:val="4"/>
      </w:pPr>
      <w:r>
        <w:t>评价原则</w:t>
      </w:r>
    </w:p>
    <w:p>
      <w:pPr>
        <w:ind w:firstLine="480"/>
      </w:pPr>
      <w:r>
        <w:t>突出环境影响评价的源头预防作用，坚持保护和改善环境质量。</w:t>
      </w:r>
    </w:p>
    <w:p>
      <w:pPr>
        <w:ind w:firstLine="480"/>
      </w:pPr>
      <w:r>
        <w:t>（1）依法评价</w:t>
      </w:r>
    </w:p>
    <w:p>
      <w:pPr>
        <w:ind w:firstLine="480"/>
      </w:pPr>
      <w:r>
        <w:t>贯彻执行我国环境保护相关法律法规、标准、政策和规划等，优化项目建设，服务环境管理。</w:t>
      </w:r>
    </w:p>
    <w:p>
      <w:pPr>
        <w:ind w:firstLine="480"/>
      </w:pPr>
      <w:r>
        <w:t>（2）科学评价</w:t>
      </w:r>
    </w:p>
    <w:p>
      <w:pPr>
        <w:ind w:firstLine="480"/>
      </w:pPr>
      <w:r>
        <w:t>规范环境影响评价方法，科学分析项目建设对环境质量的影响。</w:t>
      </w:r>
    </w:p>
    <w:p>
      <w:pPr>
        <w:ind w:firstLine="480"/>
      </w:pPr>
      <w:r>
        <w:t>（3）突出重点</w:t>
      </w:r>
    </w:p>
    <w:p>
      <w:pPr>
        <w:ind w:firstLine="480"/>
      </w:pPr>
      <w:r>
        <w:t>根据建设项目的工程内容及其特点，明确与环境要素间的作用效应关系，对建设项目主要环境影响予以重点分析和评价。</w:t>
      </w:r>
    </w:p>
    <w:p>
      <w:pPr>
        <w:pStyle w:val="3"/>
      </w:pPr>
      <w:bookmarkStart w:id="20" w:name="_Toc82502941"/>
      <w:r>
        <w:rPr>
          <w:rFonts w:hint="eastAsia"/>
        </w:rPr>
        <w:t>环境影响</w:t>
      </w:r>
      <w:r>
        <w:t>识别</w:t>
      </w:r>
      <w:r>
        <w:rPr>
          <w:rFonts w:hint="eastAsia"/>
        </w:rPr>
        <w:t>与评价</w:t>
      </w:r>
      <w:r>
        <w:t>因子筛选</w:t>
      </w:r>
      <w:bookmarkEnd w:id="20"/>
    </w:p>
    <w:p>
      <w:pPr>
        <w:pStyle w:val="4"/>
      </w:pPr>
      <w:r>
        <w:rPr>
          <w:rFonts w:hint="eastAsia"/>
        </w:rPr>
        <w:t>环境</w:t>
      </w:r>
      <w:r>
        <w:t>影响识别</w:t>
      </w:r>
    </w:p>
    <w:p>
      <w:pPr>
        <w:pStyle w:val="87"/>
        <w:ind w:firstLine="480"/>
        <w:rPr>
          <w:rFonts w:cs="Times New Roman"/>
        </w:rPr>
      </w:pPr>
      <w:r>
        <w:rPr>
          <w:rFonts w:cs="Times New Roman"/>
        </w:rPr>
        <w:t>根据项目特点和区域环境特征，进行环境影响因子识别，以确定项目对自然环境及生态环境等的影响情况，项目建设对周围环境影响因素与影响程度主要从运营期对当地自然环境和生态环境进行识别分析，项目运营期产生的废气、废水、固废、设备噪声会对周围环境产生一定的影响，主要表现为工艺废气</w:t>
      </w:r>
      <w:r>
        <w:rPr>
          <w:rFonts w:hint="eastAsia" w:cs="Times New Roman"/>
        </w:rPr>
        <w:t>、</w:t>
      </w:r>
      <w:r>
        <w:rPr>
          <w:rFonts w:cs="Times New Roman"/>
        </w:rPr>
        <w:t>设备噪声、固废等对环境的影响。根据现场调查，项目环境影响因素识别内容见</w:t>
      </w:r>
      <w:r>
        <w:rPr>
          <w:rFonts w:hint="eastAsia" w:cs="Times New Roman"/>
        </w:rPr>
        <w:t>表2.3-1。</w:t>
      </w:r>
    </w:p>
    <w:p>
      <w:pPr>
        <w:pStyle w:val="93"/>
        <w:rPr>
          <w:rFonts w:hAnsi="Times New Roman"/>
          <w:szCs w:val="21"/>
        </w:rPr>
      </w:pPr>
      <w:bookmarkStart w:id="21" w:name="_Ref27042096"/>
      <w:r>
        <w:rPr>
          <w:rFonts w:hAnsi="Times New Roman"/>
          <w:highlight w:val="yellow"/>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2.3</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21"/>
      <w:r>
        <w:rPr>
          <w:rFonts w:hAnsi="Times New Roman"/>
        </w:rPr>
        <w:t xml:space="preserve">  </w:t>
      </w:r>
      <w:r>
        <w:rPr>
          <w:rFonts w:hAnsi="Times New Roman"/>
          <w:szCs w:val="21"/>
        </w:rPr>
        <w:t>环境影响因素识别表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79"/>
        <w:gridCol w:w="545"/>
        <w:gridCol w:w="411"/>
        <w:gridCol w:w="411"/>
        <w:gridCol w:w="411"/>
        <w:gridCol w:w="411"/>
        <w:gridCol w:w="419"/>
        <w:gridCol w:w="410"/>
        <w:gridCol w:w="410"/>
        <w:gridCol w:w="410"/>
        <w:gridCol w:w="410"/>
        <w:gridCol w:w="412"/>
        <w:gridCol w:w="410"/>
        <w:gridCol w:w="410"/>
        <w:gridCol w:w="410"/>
        <w:gridCol w:w="410"/>
        <w:gridCol w:w="410"/>
        <w:gridCol w:w="414"/>
        <w:gridCol w:w="410"/>
        <w:gridCol w:w="410"/>
        <w:gridCol w:w="410"/>
        <w:gridCol w:w="4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tblHeader/>
          <w:jc w:val="center"/>
        </w:trPr>
        <w:tc>
          <w:tcPr>
            <w:tcW w:w="279" w:type="dxa"/>
            <w:vMerge w:val="restart"/>
            <w:shd w:val="clear" w:color="auto" w:fill="auto"/>
            <w:vAlign w:val="center"/>
          </w:tcPr>
          <w:p>
            <w:pPr>
              <w:pStyle w:val="92"/>
              <w:adjustRightInd w:val="0"/>
            </w:pPr>
            <w:r>
              <w:t>评价</w:t>
            </w:r>
          </w:p>
          <w:p>
            <w:pPr>
              <w:pStyle w:val="92"/>
              <w:adjustRightInd w:val="0"/>
            </w:pPr>
            <w:r>
              <w:t>时段</w:t>
            </w:r>
          </w:p>
        </w:tc>
        <w:tc>
          <w:tcPr>
            <w:tcW w:w="545" w:type="dxa"/>
            <w:vMerge w:val="restart"/>
            <w:shd w:val="clear" w:color="auto" w:fill="auto"/>
            <w:vAlign w:val="center"/>
          </w:tcPr>
          <w:p>
            <w:pPr>
              <w:pStyle w:val="92"/>
              <w:adjustRightInd w:val="0"/>
            </w:pPr>
            <w:r>
              <w:t>建设</w:t>
            </w:r>
          </w:p>
          <w:p>
            <w:pPr>
              <w:pStyle w:val="92"/>
              <w:adjustRightInd w:val="0"/>
            </w:pPr>
            <w:r>
              <w:t>生产</w:t>
            </w:r>
          </w:p>
          <w:p>
            <w:pPr>
              <w:pStyle w:val="92"/>
              <w:adjustRightInd w:val="0"/>
            </w:pPr>
            <w:r>
              <w:t>活动</w:t>
            </w:r>
          </w:p>
        </w:tc>
        <w:tc>
          <w:tcPr>
            <w:tcW w:w="8216" w:type="dxa"/>
            <w:gridSpan w:val="20"/>
            <w:shd w:val="clear" w:color="auto" w:fill="auto"/>
            <w:vAlign w:val="center"/>
          </w:tcPr>
          <w:p>
            <w:pPr>
              <w:pStyle w:val="92"/>
              <w:adjustRightInd w:val="0"/>
            </w:pPr>
            <w:r>
              <w:t>可能受到环境影响的领域（环境受体）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tblHeader/>
          <w:jc w:val="center"/>
        </w:trPr>
        <w:tc>
          <w:tcPr>
            <w:tcW w:w="279" w:type="dxa"/>
            <w:vMerge w:val="continue"/>
            <w:shd w:val="clear" w:color="auto" w:fill="auto"/>
            <w:vAlign w:val="center"/>
          </w:tcPr>
          <w:p>
            <w:pPr>
              <w:pStyle w:val="92"/>
              <w:adjustRightInd w:val="0"/>
            </w:pPr>
          </w:p>
        </w:tc>
        <w:tc>
          <w:tcPr>
            <w:tcW w:w="545" w:type="dxa"/>
            <w:vMerge w:val="continue"/>
            <w:shd w:val="clear" w:color="auto" w:fill="auto"/>
            <w:vAlign w:val="center"/>
          </w:tcPr>
          <w:p>
            <w:pPr>
              <w:pStyle w:val="92"/>
              <w:adjustRightInd w:val="0"/>
            </w:pPr>
          </w:p>
        </w:tc>
        <w:tc>
          <w:tcPr>
            <w:tcW w:w="2063" w:type="dxa"/>
            <w:gridSpan w:val="5"/>
            <w:shd w:val="clear" w:color="auto" w:fill="auto"/>
            <w:vAlign w:val="center"/>
          </w:tcPr>
          <w:p>
            <w:pPr>
              <w:pStyle w:val="92"/>
              <w:adjustRightInd w:val="0"/>
            </w:pPr>
            <w:r>
              <w:t>自然环境</w:t>
            </w:r>
          </w:p>
        </w:tc>
        <w:tc>
          <w:tcPr>
            <w:tcW w:w="2052" w:type="dxa"/>
            <w:gridSpan w:val="5"/>
            <w:shd w:val="clear" w:color="auto" w:fill="auto"/>
            <w:vAlign w:val="center"/>
          </w:tcPr>
          <w:p>
            <w:pPr>
              <w:pStyle w:val="92"/>
              <w:adjustRightInd w:val="0"/>
            </w:pPr>
            <w:r>
              <w:t>环境质量</w:t>
            </w:r>
          </w:p>
        </w:tc>
        <w:tc>
          <w:tcPr>
            <w:tcW w:w="2464" w:type="dxa"/>
            <w:gridSpan w:val="6"/>
            <w:shd w:val="clear" w:color="auto" w:fill="auto"/>
            <w:vAlign w:val="center"/>
          </w:tcPr>
          <w:p>
            <w:pPr>
              <w:pStyle w:val="92"/>
              <w:adjustRightInd w:val="0"/>
            </w:pPr>
            <w:r>
              <w:t>生态环境</w:t>
            </w:r>
          </w:p>
        </w:tc>
        <w:tc>
          <w:tcPr>
            <w:tcW w:w="1637" w:type="dxa"/>
            <w:gridSpan w:val="4"/>
            <w:shd w:val="clear" w:color="auto" w:fill="auto"/>
            <w:vAlign w:val="center"/>
          </w:tcPr>
          <w:p>
            <w:pPr>
              <w:pStyle w:val="92"/>
              <w:adjustRightInd w:val="0"/>
            </w:pPr>
            <w:r>
              <w:t>其它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tblHeader/>
          <w:jc w:val="center"/>
        </w:trPr>
        <w:tc>
          <w:tcPr>
            <w:tcW w:w="279" w:type="dxa"/>
            <w:vMerge w:val="continue"/>
            <w:shd w:val="clear" w:color="auto" w:fill="auto"/>
            <w:vAlign w:val="center"/>
          </w:tcPr>
          <w:p>
            <w:pPr>
              <w:pStyle w:val="92"/>
              <w:adjustRightInd w:val="0"/>
            </w:pPr>
          </w:p>
        </w:tc>
        <w:tc>
          <w:tcPr>
            <w:tcW w:w="545" w:type="dxa"/>
            <w:vMerge w:val="continue"/>
            <w:shd w:val="clear" w:color="auto" w:fill="auto"/>
            <w:vAlign w:val="center"/>
          </w:tcPr>
          <w:p>
            <w:pPr>
              <w:pStyle w:val="92"/>
              <w:adjustRightInd w:val="0"/>
            </w:pPr>
          </w:p>
        </w:tc>
        <w:tc>
          <w:tcPr>
            <w:tcW w:w="411" w:type="dxa"/>
            <w:shd w:val="clear" w:color="auto" w:fill="auto"/>
            <w:vAlign w:val="center"/>
          </w:tcPr>
          <w:p>
            <w:pPr>
              <w:pStyle w:val="92"/>
              <w:adjustRightInd w:val="0"/>
            </w:pPr>
            <w:r>
              <w:t>地形地貌</w:t>
            </w:r>
          </w:p>
        </w:tc>
        <w:tc>
          <w:tcPr>
            <w:tcW w:w="411" w:type="dxa"/>
            <w:shd w:val="clear" w:color="auto" w:fill="auto"/>
            <w:vAlign w:val="center"/>
          </w:tcPr>
          <w:p>
            <w:pPr>
              <w:pStyle w:val="92"/>
              <w:adjustRightInd w:val="0"/>
            </w:pPr>
            <w:r>
              <w:t>气候气象</w:t>
            </w:r>
          </w:p>
        </w:tc>
        <w:tc>
          <w:tcPr>
            <w:tcW w:w="411" w:type="dxa"/>
            <w:shd w:val="clear" w:color="auto" w:fill="auto"/>
            <w:vAlign w:val="center"/>
          </w:tcPr>
          <w:p>
            <w:pPr>
              <w:pStyle w:val="92"/>
              <w:adjustRightInd w:val="0"/>
            </w:pPr>
            <w:r>
              <w:t>河流水系</w:t>
            </w:r>
          </w:p>
        </w:tc>
        <w:tc>
          <w:tcPr>
            <w:tcW w:w="411" w:type="dxa"/>
            <w:shd w:val="clear" w:color="auto" w:fill="auto"/>
            <w:vAlign w:val="center"/>
          </w:tcPr>
          <w:p>
            <w:pPr>
              <w:pStyle w:val="92"/>
              <w:adjustRightInd w:val="0"/>
            </w:pPr>
            <w:r>
              <w:t>水文地质</w:t>
            </w:r>
          </w:p>
        </w:tc>
        <w:tc>
          <w:tcPr>
            <w:tcW w:w="419" w:type="dxa"/>
            <w:shd w:val="clear" w:color="auto" w:fill="auto"/>
            <w:vAlign w:val="center"/>
          </w:tcPr>
          <w:p>
            <w:pPr>
              <w:pStyle w:val="92"/>
              <w:adjustRightInd w:val="0"/>
            </w:pPr>
            <w:r>
              <w:t>土壤类型</w:t>
            </w:r>
          </w:p>
        </w:tc>
        <w:tc>
          <w:tcPr>
            <w:tcW w:w="410" w:type="dxa"/>
            <w:shd w:val="clear" w:color="auto" w:fill="auto"/>
            <w:vAlign w:val="center"/>
          </w:tcPr>
          <w:p>
            <w:pPr>
              <w:pStyle w:val="92"/>
              <w:adjustRightInd w:val="0"/>
            </w:pPr>
            <w:r>
              <w:t>环境空气</w:t>
            </w:r>
          </w:p>
        </w:tc>
        <w:tc>
          <w:tcPr>
            <w:tcW w:w="410" w:type="dxa"/>
            <w:shd w:val="clear" w:color="auto" w:fill="auto"/>
            <w:vAlign w:val="center"/>
          </w:tcPr>
          <w:p>
            <w:pPr>
              <w:pStyle w:val="92"/>
              <w:adjustRightInd w:val="0"/>
            </w:pPr>
            <w:r>
              <w:t>地表水</w:t>
            </w:r>
          </w:p>
        </w:tc>
        <w:tc>
          <w:tcPr>
            <w:tcW w:w="410" w:type="dxa"/>
            <w:shd w:val="clear" w:color="auto" w:fill="auto"/>
            <w:vAlign w:val="center"/>
          </w:tcPr>
          <w:p>
            <w:pPr>
              <w:pStyle w:val="92"/>
              <w:adjustRightInd w:val="0"/>
            </w:pPr>
            <w:r>
              <w:t>地下水</w:t>
            </w:r>
          </w:p>
        </w:tc>
        <w:tc>
          <w:tcPr>
            <w:tcW w:w="410" w:type="dxa"/>
            <w:shd w:val="clear" w:color="auto" w:fill="auto"/>
            <w:vAlign w:val="center"/>
          </w:tcPr>
          <w:p>
            <w:pPr>
              <w:pStyle w:val="92"/>
              <w:adjustRightInd w:val="0"/>
            </w:pPr>
            <w:r>
              <w:t>声环境</w:t>
            </w:r>
          </w:p>
        </w:tc>
        <w:tc>
          <w:tcPr>
            <w:tcW w:w="412" w:type="dxa"/>
            <w:shd w:val="clear" w:color="auto" w:fill="auto"/>
            <w:vAlign w:val="center"/>
          </w:tcPr>
          <w:p>
            <w:pPr>
              <w:pStyle w:val="92"/>
              <w:adjustRightInd w:val="0"/>
            </w:pPr>
            <w:r>
              <w:t>土壤环境</w:t>
            </w:r>
          </w:p>
        </w:tc>
        <w:tc>
          <w:tcPr>
            <w:tcW w:w="410" w:type="dxa"/>
            <w:shd w:val="clear" w:color="auto" w:fill="auto"/>
            <w:vAlign w:val="center"/>
          </w:tcPr>
          <w:p>
            <w:pPr>
              <w:pStyle w:val="92"/>
              <w:adjustRightInd w:val="0"/>
            </w:pPr>
            <w:r>
              <w:t>生态系统</w:t>
            </w:r>
          </w:p>
        </w:tc>
        <w:tc>
          <w:tcPr>
            <w:tcW w:w="410" w:type="dxa"/>
            <w:shd w:val="clear" w:color="auto" w:fill="auto"/>
            <w:vAlign w:val="center"/>
          </w:tcPr>
          <w:p>
            <w:pPr>
              <w:pStyle w:val="92"/>
              <w:adjustRightInd w:val="0"/>
            </w:pPr>
            <w:r>
              <w:t>植被类型</w:t>
            </w:r>
          </w:p>
        </w:tc>
        <w:tc>
          <w:tcPr>
            <w:tcW w:w="410" w:type="dxa"/>
            <w:shd w:val="clear" w:color="auto" w:fill="auto"/>
            <w:vAlign w:val="center"/>
          </w:tcPr>
          <w:p>
            <w:pPr>
              <w:pStyle w:val="92"/>
              <w:adjustRightInd w:val="0"/>
            </w:pPr>
            <w:r>
              <w:t>植物物种</w:t>
            </w:r>
          </w:p>
        </w:tc>
        <w:tc>
          <w:tcPr>
            <w:tcW w:w="410" w:type="dxa"/>
            <w:shd w:val="clear" w:color="auto" w:fill="auto"/>
            <w:vAlign w:val="center"/>
          </w:tcPr>
          <w:p>
            <w:pPr>
              <w:pStyle w:val="92"/>
              <w:adjustRightInd w:val="0"/>
            </w:pPr>
            <w:r>
              <w:t>水土流失</w:t>
            </w:r>
          </w:p>
        </w:tc>
        <w:tc>
          <w:tcPr>
            <w:tcW w:w="410" w:type="dxa"/>
            <w:shd w:val="clear" w:color="auto" w:fill="auto"/>
            <w:vAlign w:val="center"/>
          </w:tcPr>
          <w:p>
            <w:pPr>
              <w:pStyle w:val="92"/>
              <w:adjustRightInd w:val="0"/>
            </w:pPr>
            <w:r>
              <w:t>野生动物</w:t>
            </w:r>
          </w:p>
        </w:tc>
        <w:tc>
          <w:tcPr>
            <w:tcW w:w="414" w:type="dxa"/>
            <w:shd w:val="clear" w:color="auto" w:fill="auto"/>
            <w:vAlign w:val="center"/>
          </w:tcPr>
          <w:p>
            <w:pPr>
              <w:pStyle w:val="92"/>
              <w:adjustRightInd w:val="0"/>
            </w:pPr>
            <w:r>
              <w:t>水生生物</w:t>
            </w:r>
          </w:p>
        </w:tc>
        <w:tc>
          <w:tcPr>
            <w:tcW w:w="410" w:type="dxa"/>
            <w:shd w:val="clear" w:color="auto" w:fill="auto"/>
            <w:vAlign w:val="center"/>
          </w:tcPr>
          <w:p>
            <w:pPr>
              <w:pStyle w:val="92"/>
              <w:adjustRightInd w:val="0"/>
            </w:pPr>
            <w:r>
              <w:t>生活环境</w:t>
            </w:r>
          </w:p>
        </w:tc>
        <w:tc>
          <w:tcPr>
            <w:tcW w:w="410" w:type="dxa"/>
            <w:shd w:val="clear" w:color="auto" w:fill="auto"/>
            <w:vAlign w:val="center"/>
          </w:tcPr>
          <w:p>
            <w:pPr>
              <w:pStyle w:val="92"/>
              <w:adjustRightInd w:val="0"/>
            </w:pPr>
            <w:r>
              <w:t>供水用水</w:t>
            </w:r>
          </w:p>
        </w:tc>
        <w:tc>
          <w:tcPr>
            <w:tcW w:w="410" w:type="dxa"/>
            <w:shd w:val="clear" w:color="auto" w:fill="auto"/>
            <w:vAlign w:val="center"/>
          </w:tcPr>
          <w:p>
            <w:pPr>
              <w:pStyle w:val="92"/>
              <w:adjustRightInd w:val="0"/>
            </w:pPr>
            <w:r>
              <w:t>人车出行</w:t>
            </w:r>
          </w:p>
        </w:tc>
        <w:tc>
          <w:tcPr>
            <w:tcW w:w="407" w:type="dxa"/>
            <w:shd w:val="clear" w:color="auto" w:fill="auto"/>
            <w:vAlign w:val="center"/>
          </w:tcPr>
          <w:p>
            <w:pPr>
              <w:pStyle w:val="92"/>
              <w:adjustRightInd w:val="0"/>
            </w:pPr>
            <w:r>
              <w:t>文物保护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restart"/>
            <w:vAlign w:val="center"/>
          </w:tcPr>
          <w:p>
            <w:pPr>
              <w:pStyle w:val="92"/>
              <w:adjustRightInd w:val="0"/>
            </w:pPr>
            <w:r>
              <w:t>施</w:t>
            </w:r>
          </w:p>
          <w:p>
            <w:pPr>
              <w:pStyle w:val="92"/>
              <w:adjustRightInd w:val="0"/>
            </w:pPr>
            <w:r>
              <w:t>工</w:t>
            </w:r>
          </w:p>
          <w:p>
            <w:pPr>
              <w:pStyle w:val="92"/>
              <w:adjustRightInd w:val="0"/>
            </w:pPr>
            <w:r>
              <w:t>期</w:t>
            </w:r>
          </w:p>
        </w:tc>
        <w:tc>
          <w:tcPr>
            <w:tcW w:w="545" w:type="dxa"/>
            <w:vAlign w:val="center"/>
          </w:tcPr>
          <w:p>
            <w:pPr>
              <w:pStyle w:val="92"/>
              <w:adjustRightInd w:val="0"/>
            </w:pPr>
            <w:r>
              <w:t>场地平整</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基础工程</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建筑施工</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安装施工</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r>
              <w:t>-1</w:t>
            </w: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运输</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物料堆存</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restart"/>
            <w:vAlign w:val="center"/>
          </w:tcPr>
          <w:p>
            <w:pPr>
              <w:pStyle w:val="92"/>
              <w:adjustRightInd w:val="0"/>
            </w:pPr>
            <w:r>
              <w:t>运</w:t>
            </w:r>
          </w:p>
          <w:p>
            <w:pPr>
              <w:pStyle w:val="92"/>
              <w:adjustRightInd w:val="0"/>
            </w:pPr>
            <w:r>
              <w:t>行</w:t>
            </w:r>
          </w:p>
          <w:p>
            <w:pPr>
              <w:pStyle w:val="92"/>
              <w:adjustRightInd w:val="0"/>
            </w:pPr>
            <w:r>
              <w:t>期</w:t>
            </w:r>
          </w:p>
        </w:tc>
        <w:tc>
          <w:tcPr>
            <w:tcW w:w="545" w:type="dxa"/>
            <w:vAlign w:val="center"/>
          </w:tcPr>
          <w:p>
            <w:pPr>
              <w:pStyle w:val="92"/>
              <w:adjustRightInd w:val="0"/>
            </w:pPr>
            <w:r>
              <w:t>废气排放</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r>
              <w:t>-2</w:t>
            </w: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废水排放</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固废排放</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r>
              <w:t>-2</w:t>
            </w:r>
          </w:p>
        </w:tc>
        <w:tc>
          <w:tcPr>
            <w:tcW w:w="410" w:type="dxa"/>
            <w:vAlign w:val="center"/>
          </w:tcPr>
          <w:p>
            <w:pPr>
              <w:pStyle w:val="92"/>
              <w:adjustRightInd w:val="0"/>
            </w:pPr>
          </w:p>
        </w:tc>
        <w:tc>
          <w:tcPr>
            <w:tcW w:w="412" w:type="dxa"/>
            <w:vAlign w:val="center"/>
          </w:tcPr>
          <w:p>
            <w:pPr>
              <w:pStyle w:val="92"/>
              <w:adjustRightInd w:val="0"/>
            </w:pPr>
            <w:r>
              <w:t>-2</w:t>
            </w: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279" w:type="dxa"/>
            <w:vMerge w:val="continue"/>
            <w:vAlign w:val="center"/>
          </w:tcPr>
          <w:p>
            <w:pPr>
              <w:pStyle w:val="92"/>
              <w:adjustRightInd w:val="0"/>
            </w:pPr>
          </w:p>
        </w:tc>
        <w:tc>
          <w:tcPr>
            <w:tcW w:w="545" w:type="dxa"/>
            <w:vAlign w:val="center"/>
          </w:tcPr>
          <w:p>
            <w:pPr>
              <w:pStyle w:val="92"/>
              <w:adjustRightInd w:val="0"/>
            </w:pPr>
            <w:r>
              <w:t>噪声排放</w:t>
            </w: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1" w:type="dxa"/>
            <w:vAlign w:val="center"/>
          </w:tcPr>
          <w:p>
            <w:pPr>
              <w:pStyle w:val="92"/>
              <w:adjustRightInd w:val="0"/>
            </w:pPr>
          </w:p>
        </w:tc>
        <w:tc>
          <w:tcPr>
            <w:tcW w:w="419"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r>
              <w:t>-2</w:t>
            </w:r>
          </w:p>
        </w:tc>
        <w:tc>
          <w:tcPr>
            <w:tcW w:w="412"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0" w:type="dxa"/>
            <w:vAlign w:val="center"/>
          </w:tcPr>
          <w:p>
            <w:pPr>
              <w:pStyle w:val="92"/>
              <w:adjustRightInd w:val="0"/>
            </w:pPr>
          </w:p>
        </w:tc>
        <w:tc>
          <w:tcPr>
            <w:tcW w:w="414" w:type="dxa"/>
            <w:vAlign w:val="center"/>
          </w:tcPr>
          <w:p>
            <w:pPr>
              <w:pStyle w:val="92"/>
              <w:adjustRightInd w:val="0"/>
            </w:pPr>
          </w:p>
        </w:tc>
        <w:tc>
          <w:tcPr>
            <w:tcW w:w="410" w:type="dxa"/>
            <w:vAlign w:val="center"/>
          </w:tcPr>
          <w:p>
            <w:pPr>
              <w:pStyle w:val="92"/>
              <w:adjustRightInd w:val="0"/>
            </w:pPr>
            <w:r>
              <w:t>-1</w:t>
            </w:r>
          </w:p>
        </w:tc>
        <w:tc>
          <w:tcPr>
            <w:tcW w:w="410" w:type="dxa"/>
            <w:vAlign w:val="center"/>
          </w:tcPr>
          <w:p>
            <w:pPr>
              <w:pStyle w:val="92"/>
              <w:adjustRightInd w:val="0"/>
            </w:pPr>
          </w:p>
        </w:tc>
        <w:tc>
          <w:tcPr>
            <w:tcW w:w="410" w:type="dxa"/>
            <w:vAlign w:val="center"/>
          </w:tcPr>
          <w:p>
            <w:pPr>
              <w:pStyle w:val="92"/>
              <w:adjustRightInd w:val="0"/>
            </w:pPr>
          </w:p>
        </w:tc>
        <w:tc>
          <w:tcPr>
            <w:tcW w:w="407" w:type="dxa"/>
            <w:vAlign w:val="center"/>
          </w:tcPr>
          <w:p>
            <w:pPr>
              <w:pStyle w:val="92"/>
              <w:adjustRightInd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9040" w:type="dxa"/>
            <w:gridSpan w:val="22"/>
            <w:vAlign w:val="center"/>
          </w:tcPr>
          <w:p>
            <w:pPr>
              <w:pStyle w:val="92"/>
              <w:adjustRightInd w:val="0"/>
            </w:pPr>
            <w:r>
              <w:t>注：3—重大影响；2—中等影响；1—轻微影响；</w:t>
            </w:r>
          </w:p>
          <w:p>
            <w:pPr>
              <w:pStyle w:val="92"/>
              <w:adjustRightInd w:val="0"/>
            </w:pPr>
            <w:r>
              <w:t>“+”——表示有利影响；“-”——表示不利影响</w:t>
            </w:r>
          </w:p>
        </w:tc>
      </w:tr>
    </w:tbl>
    <w:p>
      <w:pPr>
        <w:pStyle w:val="93"/>
        <w:rPr>
          <w:rFonts w:hAnsi="Times New Roman"/>
          <w:szCs w:val="21"/>
        </w:rPr>
      </w:pPr>
    </w:p>
    <w:p>
      <w:pPr>
        <w:ind w:firstLine="480"/>
      </w:pPr>
      <w:r>
        <w:t>由</w:t>
      </w:r>
      <w:r>
        <w:rPr>
          <w:rFonts w:hint="eastAsia"/>
        </w:rPr>
        <w:t>表2.3-1</w:t>
      </w:r>
      <w:r>
        <w:t>可以看出，本项目运营期产生的废水、废气、噪声和固体废物对工程周围自然环境会造成一定的不利影响。</w:t>
      </w:r>
    </w:p>
    <w:p>
      <w:pPr>
        <w:pStyle w:val="4"/>
      </w:pPr>
      <w:r>
        <w:rPr>
          <w:rFonts w:hint="eastAsia"/>
        </w:rPr>
        <w:t>评价因子筛选</w:t>
      </w:r>
    </w:p>
    <w:p>
      <w:pPr>
        <w:pStyle w:val="87"/>
        <w:ind w:firstLine="480"/>
      </w:pPr>
      <w:bookmarkStart w:id="22" w:name="bookmark0"/>
      <w:bookmarkEnd w:id="22"/>
      <w:r>
        <w:rPr>
          <w:rFonts w:hint="eastAsia"/>
        </w:rPr>
        <w:t>根据环境影响评价技术导则的要求、项目的环境影响特征，对项目可能造成的环境影响进行分析描述，对相关环境影响要素进行筛选。</w:t>
      </w:r>
    </w:p>
    <w:p>
      <w:pPr>
        <w:pStyle w:val="87"/>
        <w:ind w:firstLine="480"/>
      </w:pPr>
      <w:r>
        <w:t>经环境影响因素识别筛选确定本评价因子筛选结果见</w:t>
      </w:r>
      <w:r>
        <w:fldChar w:fldCharType="begin"/>
      </w:r>
      <w:r>
        <w:instrText xml:space="preserve"> REF _Ref36128905 \h  \* MERGEFORMAT </w:instrText>
      </w:r>
      <w:r>
        <w:fldChar w:fldCharType="separate"/>
      </w:r>
      <w:r>
        <w:t>表 2.3</w:t>
      </w:r>
      <w:r>
        <w:noBreakHyphen/>
      </w:r>
      <w:r>
        <w:t>2</w:t>
      </w:r>
      <w:r>
        <w:fldChar w:fldCharType="end"/>
      </w:r>
      <w:r>
        <w:t>。</w:t>
      </w:r>
    </w:p>
    <w:p>
      <w:pPr>
        <w:pStyle w:val="49"/>
        <w:rPr>
          <w:rFonts w:eastAsia="宋体"/>
        </w:rPr>
      </w:pPr>
      <w:bookmarkStart w:id="23" w:name="_Ref36128905"/>
      <w:r>
        <w:rPr>
          <w:rFonts w:hAnsi="Times New Roman"/>
        </w:rPr>
        <w:t xml:space="preserve">表 </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2.3</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2</w:t>
      </w:r>
      <w:r>
        <w:rPr>
          <w:rFonts w:hAnsi="Times New Roman"/>
        </w:rPr>
        <w:fldChar w:fldCharType="end"/>
      </w:r>
      <w:bookmarkEnd w:id="23"/>
      <w:r>
        <w:rPr>
          <w:rFonts w:hAnsi="Times New Roman"/>
        </w:rPr>
        <w:t xml:space="preserve">  </w:t>
      </w:r>
      <w:r>
        <w:rPr>
          <w:rFonts w:hAnsi="Times New Roman" w:eastAsia="宋体"/>
          <w:szCs w:val="24"/>
        </w:rPr>
        <w:t xml:space="preserve"> </w:t>
      </w:r>
      <w:r>
        <w:rPr>
          <w:rFonts w:eastAsia="宋体"/>
        </w:rPr>
        <w:t>评价因子筛选结果</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920"/>
        <w:gridCol w:w="4041"/>
        <w:gridCol w:w="33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pStyle w:val="48"/>
            </w:pPr>
            <w:r>
              <w:t>序号</w:t>
            </w:r>
          </w:p>
        </w:tc>
        <w:tc>
          <w:tcPr>
            <w:tcW w:w="920" w:type="dxa"/>
            <w:vAlign w:val="center"/>
          </w:tcPr>
          <w:p>
            <w:pPr>
              <w:pStyle w:val="48"/>
            </w:pPr>
            <w:r>
              <w:t>类型</w:t>
            </w:r>
          </w:p>
        </w:tc>
        <w:tc>
          <w:tcPr>
            <w:tcW w:w="4041" w:type="dxa"/>
            <w:vAlign w:val="center"/>
          </w:tcPr>
          <w:p>
            <w:pPr>
              <w:pStyle w:val="48"/>
            </w:pPr>
            <w:r>
              <w:t>现状评价因子</w:t>
            </w:r>
          </w:p>
        </w:tc>
        <w:tc>
          <w:tcPr>
            <w:tcW w:w="3359" w:type="dxa"/>
            <w:vAlign w:val="center"/>
          </w:tcPr>
          <w:p>
            <w:pPr>
              <w:pStyle w:val="48"/>
            </w:pPr>
            <w:r>
              <w:t>影响评价因子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pStyle w:val="48"/>
            </w:pPr>
            <w:r>
              <w:t>1</w:t>
            </w:r>
          </w:p>
        </w:tc>
        <w:tc>
          <w:tcPr>
            <w:tcW w:w="920" w:type="dxa"/>
            <w:vAlign w:val="center"/>
          </w:tcPr>
          <w:p>
            <w:pPr>
              <w:pStyle w:val="48"/>
            </w:pPr>
            <w:r>
              <w:t>地表水</w:t>
            </w:r>
          </w:p>
          <w:p>
            <w:pPr>
              <w:pStyle w:val="48"/>
            </w:pPr>
            <w:r>
              <w:t>环境</w:t>
            </w:r>
          </w:p>
        </w:tc>
        <w:tc>
          <w:tcPr>
            <w:tcW w:w="4041" w:type="dxa"/>
            <w:vAlign w:val="center"/>
          </w:tcPr>
          <w:p>
            <w:pPr>
              <w:pStyle w:val="48"/>
            </w:pPr>
            <w:r>
              <w:t>/</w:t>
            </w:r>
          </w:p>
        </w:tc>
        <w:tc>
          <w:tcPr>
            <w:tcW w:w="3359" w:type="dxa"/>
            <w:vAlign w:val="center"/>
          </w:tcPr>
          <w:p>
            <w:pPr>
              <w:pStyle w:val="48"/>
              <w:jc w:val="left"/>
            </w:pPr>
            <w:r>
              <w:rPr>
                <w:rFonts w:hint="eastAsia"/>
              </w:rPr>
              <w:t>仅对地表水</w:t>
            </w:r>
            <w:r>
              <w:t>环境影响进行简要分析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pStyle w:val="48"/>
            </w:pPr>
            <w:r>
              <w:t>2</w:t>
            </w:r>
          </w:p>
        </w:tc>
        <w:tc>
          <w:tcPr>
            <w:tcW w:w="920" w:type="dxa"/>
            <w:vAlign w:val="center"/>
          </w:tcPr>
          <w:p>
            <w:pPr>
              <w:pStyle w:val="48"/>
            </w:pPr>
            <w:r>
              <w:t>地下水</w:t>
            </w:r>
          </w:p>
        </w:tc>
        <w:tc>
          <w:tcPr>
            <w:tcW w:w="4041" w:type="dxa"/>
            <w:vAlign w:val="center"/>
          </w:tcPr>
          <w:p>
            <w:pPr>
              <w:pStyle w:val="48"/>
            </w:pP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pH值、氨氮、硝酸盐、亚硝酸盐、挥发性酚类、氰化物、砷、汞、铬（六价）、总硬度、铅、氟、镉、铁、锰、溶解性总固体、高锰酸盐指数、硫酸盐、氯化物、总大肠菌群、细菌总数同时记录井深、水位、水温</w:t>
            </w:r>
          </w:p>
        </w:tc>
        <w:tc>
          <w:tcPr>
            <w:tcW w:w="3359" w:type="dxa"/>
            <w:vAlign w:val="center"/>
          </w:tcPr>
          <w:p>
            <w:pPr>
              <w:pStyle w:val="48"/>
              <w:jc w:val="left"/>
            </w:pPr>
            <w:r>
              <w:rPr>
                <w:rFonts w:hint="eastAsia"/>
                <w:szCs w:val="21"/>
              </w:rPr>
              <w:t>三级评价，对地下水水质的影响分析</w:t>
            </w:r>
            <w:r>
              <w:rPr>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pStyle w:val="48"/>
            </w:pPr>
            <w:r>
              <w:t>3</w:t>
            </w:r>
          </w:p>
        </w:tc>
        <w:tc>
          <w:tcPr>
            <w:tcW w:w="920" w:type="dxa"/>
            <w:vAlign w:val="center"/>
          </w:tcPr>
          <w:p>
            <w:pPr>
              <w:pStyle w:val="48"/>
            </w:pPr>
            <w:r>
              <w:t>大气</w:t>
            </w:r>
          </w:p>
          <w:p>
            <w:pPr>
              <w:pStyle w:val="48"/>
            </w:pPr>
            <w:r>
              <w:t>环境</w:t>
            </w:r>
          </w:p>
        </w:tc>
        <w:tc>
          <w:tcPr>
            <w:tcW w:w="4041" w:type="dxa"/>
            <w:vAlign w:val="center"/>
          </w:tcPr>
          <w:p>
            <w:pPr>
              <w:pStyle w:val="48"/>
            </w:pPr>
            <w:r>
              <w:rPr>
                <w:spacing w:val="4"/>
              </w:rPr>
              <w:t>PM</w:t>
            </w:r>
            <w:r>
              <w:rPr>
                <w:spacing w:val="4"/>
                <w:vertAlign w:val="subscript"/>
              </w:rPr>
              <w:t>2.5</w:t>
            </w:r>
            <w:r>
              <w:rPr>
                <w:spacing w:val="4"/>
              </w:rPr>
              <w:t>、PM</w:t>
            </w:r>
            <w:r>
              <w:rPr>
                <w:spacing w:val="4"/>
                <w:vertAlign w:val="subscript"/>
              </w:rPr>
              <w:t>10</w:t>
            </w:r>
            <w:r>
              <w:rPr>
                <w:spacing w:val="4"/>
              </w:rPr>
              <w:t>、SO</w:t>
            </w:r>
            <w:r>
              <w:rPr>
                <w:spacing w:val="4"/>
                <w:vertAlign w:val="subscript"/>
              </w:rPr>
              <w:t>2</w:t>
            </w:r>
            <w:r>
              <w:rPr>
                <w:spacing w:val="4"/>
              </w:rPr>
              <w:t>、NO</w:t>
            </w:r>
            <w:r>
              <w:rPr>
                <w:vertAlign w:val="subscript"/>
              </w:rPr>
              <w:t>2</w:t>
            </w:r>
            <w:r>
              <w:t>、</w:t>
            </w:r>
            <w:r>
              <w:rPr>
                <w:rFonts w:hint="eastAsia"/>
              </w:rPr>
              <w:t>CO</w:t>
            </w:r>
            <w:r>
              <w:t>、O</w:t>
            </w:r>
            <w:r>
              <w:rPr>
                <w:vertAlign w:val="subscript"/>
              </w:rPr>
              <w:t>3</w:t>
            </w:r>
            <w:r>
              <w:t>、</w:t>
            </w:r>
            <w:r>
              <w:rPr>
                <w:rFonts w:hint="eastAsia"/>
              </w:rPr>
              <w:t>NOx、硫酸、甲醇、非甲烷总烃</w:t>
            </w:r>
          </w:p>
        </w:tc>
        <w:tc>
          <w:tcPr>
            <w:tcW w:w="3359" w:type="dxa"/>
            <w:vAlign w:val="center"/>
          </w:tcPr>
          <w:p>
            <w:pPr>
              <w:pStyle w:val="48"/>
              <w:jc w:val="left"/>
            </w:pPr>
            <w:r>
              <w:t>PM</w:t>
            </w:r>
            <w:r>
              <w:rPr>
                <w:vertAlign w:val="subscript"/>
              </w:rPr>
              <w:t>10</w:t>
            </w:r>
            <w:r>
              <w:t>、</w:t>
            </w:r>
            <w:r>
              <w:rPr>
                <w:rFonts w:hint="eastAsia"/>
              </w:rPr>
              <w:t>NOx</w:t>
            </w:r>
            <w:r>
              <w:t>、硫酸、</w:t>
            </w:r>
            <w:r>
              <w:rPr>
                <w:rFonts w:hint="eastAsia"/>
              </w:rPr>
              <w:t>甲醇</w:t>
            </w:r>
            <w:r>
              <w:t>、非甲烷总烃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pStyle w:val="48"/>
            </w:pPr>
            <w:r>
              <w:t>4</w:t>
            </w:r>
          </w:p>
        </w:tc>
        <w:tc>
          <w:tcPr>
            <w:tcW w:w="920" w:type="dxa"/>
            <w:vAlign w:val="center"/>
          </w:tcPr>
          <w:p>
            <w:pPr>
              <w:pStyle w:val="48"/>
            </w:pPr>
            <w:r>
              <w:t>声环境</w:t>
            </w:r>
          </w:p>
        </w:tc>
        <w:tc>
          <w:tcPr>
            <w:tcW w:w="4041" w:type="dxa"/>
            <w:vAlign w:val="center"/>
          </w:tcPr>
          <w:p>
            <w:pPr>
              <w:pStyle w:val="48"/>
            </w:pPr>
            <w:r>
              <w:rPr>
                <w:rFonts w:hint="eastAsia"/>
              </w:rPr>
              <w:t>等效连续</w:t>
            </w:r>
            <w:r>
              <w:t>A</w:t>
            </w:r>
            <w:r>
              <w:rPr>
                <w:rFonts w:hint="eastAsia"/>
              </w:rPr>
              <w:t>声级</w:t>
            </w:r>
            <w:r>
              <w:t xml:space="preserve">  Leq dB（A）</w:t>
            </w:r>
          </w:p>
        </w:tc>
        <w:tc>
          <w:tcPr>
            <w:tcW w:w="3359" w:type="dxa"/>
            <w:vAlign w:val="center"/>
          </w:tcPr>
          <w:p>
            <w:pPr>
              <w:pStyle w:val="66"/>
              <w:jc w:val="center"/>
              <w:rPr>
                <w:color w:val="auto"/>
                <w:sz w:val="21"/>
                <w:szCs w:val="21"/>
              </w:rPr>
            </w:pPr>
            <w:r>
              <w:rPr>
                <w:rFonts w:hint="eastAsia" w:ascii="Times New Roman" w:cs="Times New Roman"/>
                <w:color w:val="auto"/>
                <w:kern w:val="2"/>
                <w:sz w:val="21"/>
                <w:szCs w:val="20"/>
              </w:rPr>
              <w:t>等效连续</w:t>
            </w:r>
            <w:r>
              <w:rPr>
                <w:rFonts w:ascii="Times New Roman" w:cs="Times New Roman"/>
                <w:color w:val="auto"/>
                <w:kern w:val="2"/>
                <w:sz w:val="21"/>
                <w:szCs w:val="20"/>
              </w:rPr>
              <w:t>A</w:t>
            </w:r>
            <w:r>
              <w:rPr>
                <w:rFonts w:hint="eastAsia" w:ascii="Times New Roman" w:cs="Times New Roman"/>
                <w:color w:val="auto"/>
                <w:kern w:val="2"/>
                <w:sz w:val="21"/>
                <w:szCs w:val="20"/>
              </w:rPr>
              <w:t>声级</w:t>
            </w:r>
            <w:r>
              <w:rPr>
                <w:rFonts w:ascii="Times New Roman" w:cs="Times New Roman"/>
                <w:color w:val="auto"/>
                <w:kern w:val="2"/>
                <w:sz w:val="21"/>
                <w:szCs w:val="20"/>
              </w:rPr>
              <w:t xml:space="preserve"> Leq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pStyle w:val="48"/>
            </w:pPr>
            <w:r>
              <w:t>5</w:t>
            </w:r>
          </w:p>
        </w:tc>
        <w:tc>
          <w:tcPr>
            <w:tcW w:w="920" w:type="dxa"/>
            <w:vAlign w:val="center"/>
          </w:tcPr>
          <w:p>
            <w:pPr>
              <w:pStyle w:val="48"/>
            </w:pPr>
            <w:r>
              <w:t>固废</w:t>
            </w:r>
          </w:p>
        </w:tc>
        <w:tc>
          <w:tcPr>
            <w:tcW w:w="4041" w:type="dxa"/>
            <w:vAlign w:val="center"/>
          </w:tcPr>
          <w:p>
            <w:pPr>
              <w:pStyle w:val="48"/>
            </w:pPr>
            <w:r>
              <w:t>——</w:t>
            </w:r>
          </w:p>
        </w:tc>
        <w:tc>
          <w:tcPr>
            <w:tcW w:w="3359" w:type="dxa"/>
            <w:vAlign w:val="center"/>
          </w:tcPr>
          <w:p>
            <w:pPr>
              <w:pStyle w:val="48"/>
            </w:pPr>
            <w:r>
              <w:rPr>
                <w:rFonts w:hint="eastAsia"/>
              </w:rPr>
              <w:t>固体废物处理处置措施可行性、可靠性</w:t>
            </w:r>
          </w:p>
        </w:tc>
      </w:tr>
    </w:tbl>
    <w:p>
      <w:pPr>
        <w:pStyle w:val="3"/>
      </w:pPr>
      <w:bookmarkStart w:id="24" w:name="_Toc82502942"/>
      <w:r>
        <w:rPr>
          <w:rFonts w:hint="eastAsia"/>
        </w:rPr>
        <w:t>评价标准</w:t>
      </w:r>
      <w:bookmarkEnd w:id="24"/>
    </w:p>
    <w:p>
      <w:pPr>
        <w:pStyle w:val="4"/>
      </w:pPr>
      <w:r>
        <w:rPr>
          <w:rFonts w:hint="eastAsia"/>
        </w:rPr>
        <w:t>环境质量标准</w:t>
      </w:r>
    </w:p>
    <w:p>
      <w:pPr>
        <w:pStyle w:val="5"/>
      </w:pPr>
      <w:r>
        <w:rPr>
          <w:rFonts w:hint="eastAsia"/>
        </w:rPr>
        <w:t>环境空气质量标准</w:t>
      </w:r>
    </w:p>
    <w:p>
      <w:pPr>
        <w:ind w:firstLine="480"/>
      </w:pPr>
      <w:r>
        <w:t>拟建项目所在区域属于</w:t>
      </w:r>
      <w:r>
        <w:rPr>
          <w:rFonts w:hint="eastAsia"/>
        </w:rPr>
        <w:t>高新区</w:t>
      </w:r>
      <w:r>
        <w:t>吕河工业园，属于环境空气质量二类区域，</w:t>
      </w:r>
      <w:r>
        <w:rPr>
          <w:rFonts w:hint="eastAsia"/>
        </w:rPr>
        <w:t>环境</w:t>
      </w:r>
      <w:r>
        <w:t>空气质量执行《环境空气质量标准》（GB3095-2012）</w:t>
      </w:r>
      <w:r>
        <w:rPr>
          <w:rFonts w:hint="eastAsia"/>
        </w:rPr>
        <w:t>及其</w:t>
      </w:r>
      <w:r>
        <w:t>修改单中二级标准，</w:t>
      </w:r>
      <w:r>
        <w:rPr>
          <w:rFonts w:hint="eastAsia"/>
        </w:rPr>
        <w:t>甲醇</w:t>
      </w:r>
      <w:r>
        <w:t>、硫酸</w:t>
      </w:r>
      <w:r>
        <w:rPr>
          <w:rFonts w:hint="eastAsia"/>
        </w:rPr>
        <w:t>参照执行</w:t>
      </w:r>
      <w:r>
        <w:t>《环境影响评价技术导则  大气环境》</w:t>
      </w:r>
      <w:r>
        <w:rPr>
          <w:rFonts w:hint="eastAsia"/>
        </w:rPr>
        <w:t>（HJ2.2-2018）附录D浓度限值，非甲烷总烃执行《大气污染物综合排放标准详解》推荐标准。</w:t>
      </w:r>
      <w:r>
        <w:t>具体见</w:t>
      </w:r>
      <w:r>
        <w:rPr>
          <w:rFonts w:hint="eastAsia"/>
        </w:rPr>
        <w:t>表2.4-1。</w:t>
      </w:r>
    </w:p>
    <w:p>
      <w:pPr>
        <w:pStyle w:val="93"/>
      </w:pPr>
      <w:bookmarkStart w:id="25" w:name="_Ref36129610"/>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25"/>
      <w:r>
        <w:t xml:space="preserve">  </w:t>
      </w:r>
      <w:r>
        <w:rPr>
          <w:rFonts w:hint="eastAsia"/>
        </w:rPr>
        <w:t>环境空气质量标准</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2168"/>
        <w:gridCol w:w="1249"/>
        <w:gridCol w:w="4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535" w:type="dxa"/>
            <w:vAlign w:val="center"/>
          </w:tcPr>
          <w:p>
            <w:pPr>
              <w:pStyle w:val="48"/>
            </w:pPr>
            <w:r>
              <w:t>污染物名称</w:t>
            </w:r>
          </w:p>
        </w:tc>
        <w:tc>
          <w:tcPr>
            <w:tcW w:w="2168" w:type="dxa"/>
            <w:vAlign w:val="center"/>
          </w:tcPr>
          <w:p>
            <w:pPr>
              <w:pStyle w:val="48"/>
            </w:pPr>
            <w:r>
              <w:t>取值时间</w:t>
            </w:r>
          </w:p>
        </w:tc>
        <w:tc>
          <w:tcPr>
            <w:tcW w:w="1249" w:type="dxa"/>
            <w:vAlign w:val="center"/>
          </w:tcPr>
          <w:p>
            <w:pPr>
              <w:pStyle w:val="48"/>
            </w:pPr>
            <w:r>
              <w:t>浓度限值</w:t>
            </w:r>
          </w:p>
        </w:tc>
        <w:tc>
          <w:tcPr>
            <w:tcW w:w="4088" w:type="dxa"/>
            <w:vAlign w:val="center"/>
          </w:tcPr>
          <w:p>
            <w:pPr>
              <w:pStyle w:val="48"/>
            </w:pPr>
            <w:r>
              <w:t>标准出处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SO</w:t>
            </w:r>
            <w:r>
              <w:rPr>
                <w:vertAlign w:val="subscript"/>
              </w:rPr>
              <w:t>2</w:t>
            </w:r>
          </w:p>
        </w:tc>
        <w:tc>
          <w:tcPr>
            <w:tcW w:w="2168" w:type="dxa"/>
            <w:vAlign w:val="center"/>
          </w:tcPr>
          <w:p>
            <w:pPr>
              <w:pStyle w:val="48"/>
            </w:pPr>
            <w:r>
              <w:t>1小时平均</w:t>
            </w:r>
          </w:p>
        </w:tc>
        <w:tc>
          <w:tcPr>
            <w:tcW w:w="1249" w:type="dxa"/>
            <w:vAlign w:val="center"/>
          </w:tcPr>
          <w:p>
            <w:pPr>
              <w:pStyle w:val="48"/>
            </w:pPr>
            <w:r>
              <w:t>500μg/m</w:t>
            </w:r>
            <w:r>
              <w:rPr>
                <w:vertAlign w:val="superscript"/>
              </w:rPr>
              <w:t>3</w:t>
            </w:r>
          </w:p>
        </w:tc>
        <w:tc>
          <w:tcPr>
            <w:tcW w:w="4088" w:type="dxa"/>
            <w:vMerge w:val="restart"/>
            <w:vAlign w:val="center"/>
          </w:tcPr>
          <w:p>
            <w:pPr>
              <w:pStyle w:val="48"/>
            </w:pPr>
            <w:r>
              <w:t>《环境空气质量标准》</w:t>
            </w:r>
          </w:p>
          <w:p>
            <w:pPr>
              <w:pStyle w:val="48"/>
            </w:pPr>
            <w:r>
              <w:t>（GB3095-2012）</w:t>
            </w:r>
            <w:r>
              <w:rPr>
                <w:rFonts w:hint="eastAsia"/>
              </w:rPr>
              <w:t>及</w:t>
            </w:r>
            <w:r>
              <w:t>修改单中二级标准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24小时平均</w:t>
            </w:r>
          </w:p>
        </w:tc>
        <w:tc>
          <w:tcPr>
            <w:tcW w:w="1249" w:type="dxa"/>
            <w:vAlign w:val="center"/>
          </w:tcPr>
          <w:p>
            <w:pPr>
              <w:pStyle w:val="48"/>
            </w:pPr>
            <w:r>
              <w:t>150μg/m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年平均</w:t>
            </w:r>
          </w:p>
        </w:tc>
        <w:tc>
          <w:tcPr>
            <w:tcW w:w="1249" w:type="dxa"/>
            <w:vAlign w:val="center"/>
          </w:tcPr>
          <w:p>
            <w:pPr>
              <w:pStyle w:val="48"/>
            </w:pPr>
            <w:r>
              <w:t>60μg/m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NO</w:t>
            </w:r>
            <w:r>
              <w:rPr>
                <w:vertAlign w:val="subscript"/>
              </w:rPr>
              <w:t>2</w:t>
            </w:r>
          </w:p>
        </w:tc>
        <w:tc>
          <w:tcPr>
            <w:tcW w:w="2168" w:type="dxa"/>
            <w:vAlign w:val="center"/>
          </w:tcPr>
          <w:p>
            <w:pPr>
              <w:pStyle w:val="48"/>
            </w:pPr>
            <w:r>
              <w:t>1小时平均</w:t>
            </w:r>
          </w:p>
        </w:tc>
        <w:tc>
          <w:tcPr>
            <w:tcW w:w="1249" w:type="dxa"/>
            <w:vAlign w:val="center"/>
          </w:tcPr>
          <w:p>
            <w:pPr>
              <w:pStyle w:val="48"/>
            </w:pPr>
            <w:r>
              <w:t>200μg/m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24小时平均</w:t>
            </w:r>
          </w:p>
        </w:tc>
        <w:tc>
          <w:tcPr>
            <w:tcW w:w="1249" w:type="dxa"/>
            <w:vAlign w:val="center"/>
          </w:tcPr>
          <w:p>
            <w:pPr>
              <w:pStyle w:val="48"/>
            </w:pPr>
            <w:r>
              <w:t>80μg/m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年平均</w:t>
            </w:r>
          </w:p>
        </w:tc>
        <w:tc>
          <w:tcPr>
            <w:tcW w:w="1249" w:type="dxa"/>
            <w:vAlign w:val="center"/>
          </w:tcPr>
          <w:p>
            <w:pPr>
              <w:pStyle w:val="48"/>
            </w:pPr>
            <w:r>
              <w:t>40μg/m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PM</w:t>
            </w:r>
            <w:r>
              <w:rPr>
                <w:vertAlign w:val="subscript"/>
              </w:rPr>
              <w:t>10</w:t>
            </w:r>
          </w:p>
        </w:tc>
        <w:tc>
          <w:tcPr>
            <w:tcW w:w="2168" w:type="dxa"/>
            <w:vAlign w:val="center"/>
          </w:tcPr>
          <w:p>
            <w:pPr>
              <w:pStyle w:val="48"/>
            </w:pPr>
            <w:r>
              <w:t>24小时平均</w:t>
            </w:r>
          </w:p>
        </w:tc>
        <w:tc>
          <w:tcPr>
            <w:tcW w:w="1249" w:type="dxa"/>
            <w:vAlign w:val="center"/>
          </w:tcPr>
          <w:p>
            <w:pPr>
              <w:pStyle w:val="48"/>
            </w:pPr>
            <w:r>
              <w:t>150μg/m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年平均</w:t>
            </w:r>
          </w:p>
        </w:tc>
        <w:tc>
          <w:tcPr>
            <w:tcW w:w="1249" w:type="dxa"/>
            <w:vAlign w:val="center"/>
          </w:tcPr>
          <w:p>
            <w:pPr>
              <w:pStyle w:val="48"/>
            </w:pPr>
            <w:r>
              <w:t>70μg/m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PM</w:t>
            </w:r>
            <w:r>
              <w:rPr>
                <w:vertAlign w:val="subscript"/>
              </w:rPr>
              <w:t>2.5</w:t>
            </w:r>
          </w:p>
        </w:tc>
        <w:tc>
          <w:tcPr>
            <w:tcW w:w="2168" w:type="dxa"/>
            <w:vAlign w:val="center"/>
          </w:tcPr>
          <w:p>
            <w:pPr>
              <w:pStyle w:val="48"/>
            </w:pPr>
            <w:r>
              <w:t>24小时平均</w:t>
            </w:r>
          </w:p>
        </w:tc>
        <w:tc>
          <w:tcPr>
            <w:tcW w:w="1249" w:type="dxa"/>
            <w:vAlign w:val="center"/>
          </w:tcPr>
          <w:p>
            <w:pPr>
              <w:pStyle w:val="48"/>
            </w:pPr>
            <w:r>
              <w:t>75μg/m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年平均</w:t>
            </w:r>
          </w:p>
        </w:tc>
        <w:tc>
          <w:tcPr>
            <w:tcW w:w="1249" w:type="dxa"/>
            <w:vAlign w:val="center"/>
          </w:tcPr>
          <w:p>
            <w:pPr>
              <w:pStyle w:val="48"/>
            </w:pPr>
            <w:r>
              <w:t>35μg/m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CO</w:t>
            </w:r>
          </w:p>
        </w:tc>
        <w:tc>
          <w:tcPr>
            <w:tcW w:w="2168" w:type="dxa"/>
            <w:vAlign w:val="center"/>
          </w:tcPr>
          <w:p>
            <w:pPr>
              <w:pStyle w:val="48"/>
            </w:pPr>
            <w:r>
              <w:t>24小时平均</w:t>
            </w:r>
          </w:p>
        </w:tc>
        <w:tc>
          <w:tcPr>
            <w:tcW w:w="1249" w:type="dxa"/>
            <w:vAlign w:val="center"/>
          </w:tcPr>
          <w:p>
            <w:pPr>
              <w:pStyle w:val="48"/>
            </w:pPr>
            <w:r>
              <w:t>4mg/m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1小时平均</w:t>
            </w:r>
          </w:p>
        </w:tc>
        <w:tc>
          <w:tcPr>
            <w:tcW w:w="1249" w:type="dxa"/>
            <w:vAlign w:val="center"/>
          </w:tcPr>
          <w:p>
            <w:pPr>
              <w:pStyle w:val="48"/>
            </w:pPr>
            <w:r>
              <w:t>10mg/m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O</w:t>
            </w:r>
            <w:r>
              <w:rPr>
                <w:vertAlign w:val="subscript"/>
              </w:rPr>
              <w:t>3</w:t>
            </w:r>
          </w:p>
        </w:tc>
        <w:tc>
          <w:tcPr>
            <w:tcW w:w="2168" w:type="dxa"/>
            <w:vAlign w:val="center"/>
          </w:tcPr>
          <w:p>
            <w:pPr>
              <w:pStyle w:val="48"/>
            </w:pPr>
            <w:r>
              <w:t>日最大8小时平均</w:t>
            </w:r>
          </w:p>
        </w:tc>
        <w:tc>
          <w:tcPr>
            <w:tcW w:w="1249" w:type="dxa"/>
            <w:vAlign w:val="center"/>
          </w:tcPr>
          <w:p>
            <w:pPr>
              <w:pStyle w:val="48"/>
            </w:pPr>
            <w:r>
              <w:t>160μg/m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1小时平均</w:t>
            </w:r>
          </w:p>
        </w:tc>
        <w:tc>
          <w:tcPr>
            <w:tcW w:w="1249" w:type="dxa"/>
            <w:vAlign w:val="center"/>
          </w:tcPr>
          <w:p>
            <w:pPr>
              <w:pStyle w:val="48"/>
            </w:pPr>
            <w:r>
              <w:t>200μg/m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restart"/>
            <w:vAlign w:val="center"/>
          </w:tcPr>
          <w:p>
            <w:pPr>
              <w:pStyle w:val="48"/>
            </w:pPr>
            <w:r>
              <w:t>TSP</w:t>
            </w:r>
          </w:p>
        </w:tc>
        <w:tc>
          <w:tcPr>
            <w:tcW w:w="2168" w:type="dxa"/>
            <w:vAlign w:val="center"/>
          </w:tcPr>
          <w:p>
            <w:pPr>
              <w:pStyle w:val="48"/>
            </w:pPr>
            <w:r>
              <w:t>年平均</w:t>
            </w:r>
          </w:p>
        </w:tc>
        <w:tc>
          <w:tcPr>
            <w:tcW w:w="1249" w:type="dxa"/>
          </w:tcPr>
          <w:p>
            <w:pPr>
              <w:pStyle w:val="48"/>
            </w:pPr>
            <w:r>
              <w:t>200μg/m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Merge w:val="continue"/>
            <w:vAlign w:val="center"/>
          </w:tcPr>
          <w:p>
            <w:pPr>
              <w:pStyle w:val="48"/>
            </w:pPr>
          </w:p>
        </w:tc>
        <w:tc>
          <w:tcPr>
            <w:tcW w:w="2168" w:type="dxa"/>
            <w:vAlign w:val="center"/>
          </w:tcPr>
          <w:p>
            <w:pPr>
              <w:pStyle w:val="48"/>
            </w:pPr>
            <w:r>
              <w:t>24小时平均</w:t>
            </w:r>
          </w:p>
        </w:tc>
        <w:tc>
          <w:tcPr>
            <w:tcW w:w="1249" w:type="dxa"/>
          </w:tcPr>
          <w:p>
            <w:pPr>
              <w:pStyle w:val="48"/>
            </w:pPr>
            <w:r>
              <w:t>300μg/m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Align w:val="center"/>
          </w:tcPr>
          <w:p>
            <w:pPr>
              <w:pStyle w:val="48"/>
            </w:pPr>
            <w:r>
              <w:rPr>
                <w:rFonts w:hint="eastAsia"/>
              </w:rPr>
              <w:t>甲醇</w:t>
            </w:r>
          </w:p>
        </w:tc>
        <w:tc>
          <w:tcPr>
            <w:tcW w:w="2168" w:type="dxa"/>
            <w:vAlign w:val="center"/>
          </w:tcPr>
          <w:p>
            <w:pPr>
              <w:pStyle w:val="48"/>
            </w:pPr>
            <w:r>
              <w:t>1小时平均</w:t>
            </w:r>
          </w:p>
        </w:tc>
        <w:tc>
          <w:tcPr>
            <w:tcW w:w="1249" w:type="dxa"/>
            <w:vAlign w:val="center"/>
          </w:tcPr>
          <w:p>
            <w:pPr>
              <w:pStyle w:val="48"/>
            </w:pPr>
            <w:r>
              <w:t>3000μg/m</w:t>
            </w:r>
            <w:r>
              <w:rPr>
                <w:vertAlign w:val="superscript"/>
              </w:rPr>
              <w:t>3</w:t>
            </w:r>
          </w:p>
        </w:tc>
        <w:tc>
          <w:tcPr>
            <w:tcW w:w="4088" w:type="dxa"/>
            <w:vMerge w:val="restart"/>
            <w:vAlign w:val="center"/>
          </w:tcPr>
          <w:p>
            <w:pPr>
              <w:pStyle w:val="48"/>
            </w:pPr>
            <w:r>
              <w:t>《环境影响评价技术导则 大气环境》（HJ2.2-2018）表D.1其他污染物空气质量浓度参考限值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Align w:val="center"/>
          </w:tcPr>
          <w:p>
            <w:pPr>
              <w:pStyle w:val="48"/>
            </w:pPr>
            <w:r>
              <w:rPr>
                <w:rFonts w:hint="eastAsia"/>
              </w:rPr>
              <w:t>硫酸</w:t>
            </w:r>
          </w:p>
        </w:tc>
        <w:tc>
          <w:tcPr>
            <w:tcW w:w="2168" w:type="dxa"/>
            <w:vAlign w:val="center"/>
          </w:tcPr>
          <w:p>
            <w:pPr>
              <w:pStyle w:val="48"/>
            </w:pPr>
            <w:r>
              <w:t>1小时平均</w:t>
            </w:r>
          </w:p>
        </w:tc>
        <w:tc>
          <w:tcPr>
            <w:tcW w:w="1249" w:type="dxa"/>
            <w:vAlign w:val="center"/>
          </w:tcPr>
          <w:p>
            <w:pPr>
              <w:pStyle w:val="48"/>
            </w:pPr>
            <w:r>
              <w:t>300μg/m</w:t>
            </w:r>
            <w:r>
              <w:rPr>
                <w:vertAlign w:val="superscript"/>
              </w:rPr>
              <w:t>3</w:t>
            </w:r>
          </w:p>
        </w:tc>
        <w:tc>
          <w:tcPr>
            <w:tcW w:w="4088"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35" w:type="dxa"/>
            <w:vAlign w:val="center"/>
          </w:tcPr>
          <w:p>
            <w:pPr>
              <w:pStyle w:val="48"/>
            </w:pPr>
            <w:r>
              <w:rPr>
                <w:rFonts w:hint="eastAsia"/>
              </w:rPr>
              <w:t>非甲烷</w:t>
            </w:r>
            <w:r>
              <w:t>总烃</w:t>
            </w:r>
          </w:p>
        </w:tc>
        <w:tc>
          <w:tcPr>
            <w:tcW w:w="2168" w:type="dxa"/>
            <w:vAlign w:val="center"/>
          </w:tcPr>
          <w:p>
            <w:pPr>
              <w:pStyle w:val="48"/>
            </w:pPr>
            <w:r>
              <w:rPr>
                <w:rFonts w:hint="eastAsia"/>
              </w:rPr>
              <w:t>1小时</w:t>
            </w:r>
            <w:r>
              <w:t>平均</w:t>
            </w:r>
          </w:p>
        </w:tc>
        <w:tc>
          <w:tcPr>
            <w:tcW w:w="1249" w:type="dxa"/>
            <w:vAlign w:val="center"/>
          </w:tcPr>
          <w:p>
            <w:pPr>
              <w:pStyle w:val="48"/>
            </w:pPr>
            <w:r>
              <w:rPr>
                <w:rFonts w:hint="eastAsia"/>
              </w:rPr>
              <w:t>2000</w:t>
            </w:r>
            <w:r>
              <w:t>μg/m</w:t>
            </w:r>
            <w:r>
              <w:rPr>
                <w:vertAlign w:val="superscript"/>
              </w:rPr>
              <w:t>3</w:t>
            </w:r>
          </w:p>
        </w:tc>
        <w:tc>
          <w:tcPr>
            <w:tcW w:w="4088" w:type="dxa"/>
            <w:vAlign w:val="center"/>
          </w:tcPr>
          <w:p>
            <w:pPr>
              <w:pStyle w:val="48"/>
            </w:pPr>
            <w:r>
              <w:rPr>
                <w:rFonts w:hint="eastAsia"/>
              </w:rPr>
              <w:t>《大气污染物综合排放标准详解》</w:t>
            </w:r>
          </w:p>
        </w:tc>
      </w:tr>
    </w:tbl>
    <w:p>
      <w:pPr>
        <w:pStyle w:val="5"/>
      </w:pPr>
      <w:r>
        <w:rPr>
          <w:rFonts w:hint="eastAsia"/>
        </w:rPr>
        <w:t>地下水环境质量标准</w:t>
      </w:r>
    </w:p>
    <w:p>
      <w:pPr>
        <w:pStyle w:val="87"/>
        <w:ind w:firstLine="480"/>
      </w:pPr>
      <w:r>
        <w:t>区域地下水执行《地下水质量标准》(GB/T14848-2017)</w:t>
      </w:r>
      <w:r>
        <w:rPr>
          <w:rFonts w:hAnsi="宋体"/>
        </w:rPr>
        <w:t>Ⅲ</w:t>
      </w:r>
      <w:r>
        <w:t>类标准，具体见</w:t>
      </w:r>
      <w:r>
        <w:rPr>
          <w:rFonts w:hint="eastAsia"/>
        </w:rPr>
        <w:t>表2.4-2。</w:t>
      </w:r>
    </w:p>
    <w:p>
      <w:pPr>
        <w:pStyle w:val="49"/>
        <w:rPr>
          <w:rFonts w:eastAsia="黑体" w:hAnsiTheme="majorHAnsi"/>
        </w:rPr>
      </w:pPr>
      <w:bookmarkStart w:id="26" w:name="_Ref36129940"/>
      <w:r>
        <w:rPr>
          <w:rFonts w:ascii="宋体" w:hAnsi="宋体" w:eastAsia="宋体" w:cs="宋体"/>
          <w:highlight w:val="yellow"/>
        </w:rPr>
        <w:br w:type="column"/>
      </w:r>
      <w:r>
        <w:rPr>
          <w:rFonts w:hint="eastAsia" w:ascii="宋体" w:hAnsi="宋体" w:eastAsia="宋体" w:cs="宋体"/>
        </w:rPr>
        <w:t>表</w:t>
      </w:r>
      <w:r>
        <w:rPr>
          <w:rFonts w:hint="eastAsia"/>
        </w:rPr>
        <w:t xml:space="preserve"> </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26"/>
      <w:r>
        <w:rPr>
          <w:rFonts w:hAnsi="Times New Roman" w:eastAsia="宋体"/>
        </w:rPr>
        <w:t xml:space="preserve">  </w:t>
      </w:r>
      <w:r>
        <w:rPr>
          <w:rFonts w:hAnsi="宋体" w:eastAsia="宋体"/>
        </w:rPr>
        <w:t>地下水质量标准（</w:t>
      </w:r>
      <w:r>
        <w:rPr>
          <w:rFonts w:hAnsi="Times New Roman" w:eastAsia="宋体"/>
        </w:rPr>
        <w:t>GB/T14848-2017</w:t>
      </w:r>
      <w:r>
        <w:rPr>
          <w:rFonts w:hAnsi="宋体" w:eastAsia="宋体"/>
        </w:rPr>
        <w:t>）</w:t>
      </w:r>
      <w:r>
        <w:rPr>
          <w:rFonts w:hAnsi="Times New Roman" w:eastAsia="宋体"/>
        </w:rPr>
        <w:t xml:space="preserve">   </w:t>
      </w:r>
      <w:r>
        <w:rPr>
          <w:rFonts w:hAnsi="宋体" w:eastAsia="宋体"/>
        </w:rPr>
        <w:t>单位：</w:t>
      </w:r>
      <w:r>
        <w:rPr>
          <w:rFonts w:hAnsi="Times New Roman" w:eastAsia="宋体"/>
        </w:rPr>
        <w:t>mg/L</w:t>
      </w:r>
      <w:r>
        <w:rPr>
          <w:rFonts w:hAnsi="宋体" w:eastAsia="宋体"/>
        </w:rPr>
        <w:t>（</w:t>
      </w:r>
      <w:r>
        <w:rPr>
          <w:rFonts w:hAnsi="Times New Roman" w:eastAsia="宋体"/>
        </w:rPr>
        <w:t>PH</w:t>
      </w:r>
      <w:r>
        <w:rPr>
          <w:rFonts w:hAnsi="宋体" w:eastAsia="宋体"/>
        </w:rPr>
        <w:t>值除外）</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9"/>
        <w:gridCol w:w="944"/>
        <w:gridCol w:w="926"/>
        <w:gridCol w:w="922"/>
        <w:gridCol w:w="1634"/>
        <w:gridCol w:w="1634"/>
        <w:gridCol w:w="1193"/>
        <w:gridCol w:w="8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99" w:type="dxa"/>
            <w:vAlign w:val="center"/>
          </w:tcPr>
          <w:p>
            <w:pPr>
              <w:pStyle w:val="48"/>
            </w:pPr>
            <w:r>
              <w:t>污染物</w:t>
            </w:r>
          </w:p>
        </w:tc>
        <w:tc>
          <w:tcPr>
            <w:tcW w:w="944" w:type="dxa"/>
            <w:vAlign w:val="center"/>
          </w:tcPr>
          <w:p>
            <w:pPr>
              <w:pStyle w:val="48"/>
            </w:pPr>
            <w:r>
              <w:t>pH</w:t>
            </w:r>
          </w:p>
        </w:tc>
        <w:tc>
          <w:tcPr>
            <w:tcW w:w="926" w:type="dxa"/>
            <w:vAlign w:val="center"/>
          </w:tcPr>
          <w:p>
            <w:pPr>
              <w:pStyle w:val="48"/>
            </w:pPr>
            <w:r>
              <w:t>总硬度</w:t>
            </w:r>
          </w:p>
        </w:tc>
        <w:tc>
          <w:tcPr>
            <w:tcW w:w="922" w:type="dxa"/>
            <w:vAlign w:val="center"/>
          </w:tcPr>
          <w:p>
            <w:pPr>
              <w:pStyle w:val="48"/>
            </w:pPr>
            <w:r>
              <w:t>氨氮</w:t>
            </w:r>
          </w:p>
        </w:tc>
        <w:tc>
          <w:tcPr>
            <w:tcW w:w="1634" w:type="dxa"/>
            <w:vAlign w:val="center"/>
          </w:tcPr>
          <w:p>
            <w:pPr>
              <w:pStyle w:val="48"/>
            </w:pPr>
            <w:r>
              <w:t>硝酸盐</w:t>
            </w:r>
          </w:p>
        </w:tc>
        <w:tc>
          <w:tcPr>
            <w:tcW w:w="1634" w:type="dxa"/>
            <w:vAlign w:val="center"/>
          </w:tcPr>
          <w:p>
            <w:pPr>
              <w:pStyle w:val="48"/>
            </w:pPr>
            <w:r>
              <w:t>亚硝酸盐</w:t>
            </w:r>
          </w:p>
        </w:tc>
        <w:tc>
          <w:tcPr>
            <w:tcW w:w="1193" w:type="dxa"/>
            <w:vAlign w:val="center"/>
          </w:tcPr>
          <w:p>
            <w:pPr>
              <w:pStyle w:val="48"/>
            </w:pPr>
            <w:r>
              <w:t>硫酸盐</w:t>
            </w:r>
          </w:p>
        </w:tc>
        <w:tc>
          <w:tcPr>
            <w:tcW w:w="888" w:type="dxa"/>
            <w:vAlign w:val="center"/>
          </w:tcPr>
          <w:p>
            <w:pPr>
              <w:pStyle w:val="48"/>
            </w:pPr>
            <w:r>
              <w:t>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99" w:type="dxa"/>
            <w:vAlign w:val="center"/>
          </w:tcPr>
          <w:p>
            <w:pPr>
              <w:pStyle w:val="48"/>
            </w:pPr>
            <w:r>
              <w:t>标准值</w:t>
            </w:r>
          </w:p>
        </w:tc>
        <w:tc>
          <w:tcPr>
            <w:tcW w:w="944" w:type="dxa"/>
            <w:vAlign w:val="center"/>
          </w:tcPr>
          <w:p>
            <w:pPr>
              <w:pStyle w:val="48"/>
            </w:pPr>
            <w:r>
              <w:t>6.5-8.5</w:t>
            </w:r>
          </w:p>
        </w:tc>
        <w:tc>
          <w:tcPr>
            <w:tcW w:w="926" w:type="dxa"/>
            <w:vAlign w:val="center"/>
          </w:tcPr>
          <w:p>
            <w:pPr>
              <w:pStyle w:val="48"/>
            </w:pPr>
            <w:r>
              <w:t>≤450</w:t>
            </w:r>
          </w:p>
        </w:tc>
        <w:tc>
          <w:tcPr>
            <w:tcW w:w="922" w:type="dxa"/>
            <w:vAlign w:val="center"/>
          </w:tcPr>
          <w:p>
            <w:pPr>
              <w:pStyle w:val="48"/>
            </w:pPr>
            <w:r>
              <w:t>≤0.5</w:t>
            </w:r>
          </w:p>
        </w:tc>
        <w:tc>
          <w:tcPr>
            <w:tcW w:w="1634" w:type="dxa"/>
            <w:vAlign w:val="center"/>
          </w:tcPr>
          <w:p>
            <w:pPr>
              <w:pStyle w:val="48"/>
            </w:pPr>
            <w:r>
              <w:t>≤20</w:t>
            </w:r>
          </w:p>
        </w:tc>
        <w:tc>
          <w:tcPr>
            <w:tcW w:w="1634" w:type="dxa"/>
            <w:vAlign w:val="center"/>
          </w:tcPr>
          <w:p>
            <w:pPr>
              <w:pStyle w:val="48"/>
            </w:pPr>
            <w:r>
              <w:t>≤1.0</w:t>
            </w:r>
          </w:p>
        </w:tc>
        <w:tc>
          <w:tcPr>
            <w:tcW w:w="1193" w:type="dxa"/>
            <w:vAlign w:val="center"/>
          </w:tcPr>
          <w:p>
            <w:pPr>
              <w:pStyle w:val="48"/>
            </w:pPr>
            <w:r>
              <w:t>≤250</w:t>
            </w:r>
          </w:p>
        </w:tc>
        <w:tc>
          <w:tcPr>
            <w:tcW w:w="888" w:type="dxa"/>
            <w:vAlign w:val="center"/>
          </w:tcPr>
          <w:p>
            <w:pPr>
              <w:pStyle w:val="48"/>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2" w:hRule="atLeast"/>
          <w:jc w:val="center"/>
        </w:trPr>
        <w:tc>
          <w:tcPr>
            <w:tcW w:w="899" w:type="dxa"/>
            <w:vAlign w:val="center"/>
          </w:tcPr>
          <w:p>
            <w:pPr>
              <w:pStyle w:val="48"/>
            </w:pPr>
            <w:r>
              <w:t>污染物</w:t>
            </w:r>
          </w:p>
        </w:tc>
        <w:tc>
          <w:tcPr>
            <w:tcW w:w="944" w:type="dxa"/>
            <w:vAlign w:val="center"/>
          </w:tcPr>
          <w:p>
            <w:pPr>
              <w:pStyle w:val="48"/>
            </w:pPr>
            <w:r>
              <w:t>氰化物</w:t>
            </w:r>
          </w:p>
        </w:tc>
        <w:tc>
          <w:tcPr>
            <w:tcW w:w="926" w:type="dxa"/>
            <w:vAlign w:val="center"/>
          </w:tcPr>
          <w:p>
            <w:pPr>
              <w:pStyle w:val="48"/>
            </w:pPr>
            <w:r>
              <w:t>挥发酚</w:t>
            </w:r>
          </w:p>
        </w:tc>
        <w:tc>
          <w:tcPr>
            <w:tcW w:w="922" w:type="dxa"/>
            <w:vAlign w:val="center"/>
          </w:tcPr>
          <w:p>
            <w:pPr>
              <w:pStyle w:val="48"/>
            </w:pPr>
            <w:r>
              <w:t>六价铬</w:t>
            </w:r>
          </w:p>
        </w:tc>
        <w:tc>
          <w:tcPr>
            <w:tcW w:w="1634" w:type="dxa"/>
            <w:vAlign w:val="center"/>
          </w:tcPr>
          <w:p>
            <w:pPr>
              <w:pStyle w:val="48"/>
            </w:pPr>
            <w:r>
              <w:rPr>
                <w:rFonts w:hint="eastAsia"/>
              </w:rPr>
              <w:t>耗氧量（COD</w:t>
            </w:r>
            <w:r>
              <w:rPr>
                <w:vertAlign w:val="subscript"/>
              </w:rPr>
              <w:t>Mn</w:t>
            </w:r>
            <w:r>
              <w:rPr>
                <w:rFonts w:hint="eastAsia"/>
              </w:rPr>
              <w:t>）</w:t>
            </w:r>
          </w:p>
        </w:tc>
        <w:tc>
          <w:tcPr>
            <w:tcW w:w="1634" w:type="dxa"/>
            <w:vAlign w:val="center"/>
          </w:tcPr>
          <w:p>
            <w:pPr>
              <w:pStyle w:val="48"/>
            </w:pPr>
            <w:r>
              <w:t>溶解性总固体</w:t>
            </w:r>
          </w:p>
        </w:tc>
        <w:tc>
          <w:tcPr>
            <w:tcW w:w="1193" w:type="dxa"/>
            <w:vAlign w:val="center"/>
          </w:tcPr>
          <w:p>
            <w:pPr>
              <w:pStyle w:val="48"/>
            </w:pPr>
            <w:r>
              <w:t>氯化物</w:t>
            </w:r>
          </w:p>
        </w:tc>
        <w:tc>
          <w:tcPr>
            <w:tcW w:w="888" w:type="dxa"/>
            <w:vAlign w:val="center"/>
          </w:tcPr>
          <w:p>
            <w:pPr>
              <w:pStyle w:val="48"/>
            </w:pPr>
            <w:r>
              <w:t>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99" w:type="dxa"/>
            <w:vAlign w:val="center"/>
          </w:tcPr>
          <w:p>
            <w:pPr>
              <w:pStyle w:val="48"/>
            </w:pPr>
            <w:r>
              <w:t>标准值</w:t>
            </w:r>
          </w:p>
        </w:tc>
        <w:tc>
          <w:tcPr>
            <w:tcW w:w="944" w:type="dxa"/>
            <w:vAlign w:val="center"/>
          </w:tcPr>
          <w:p>
            <w:pPr>
              <w:pStyle w:val="48"/>
            </w:pPr>
            <w:r>
              <w:t>0.05</w:t>
            </w:r>
          </w:p>
        </w:tc>
        <w:tc>
          <w:tcPr>
            <w:tcW w:w="926" w:type="dxa"/>
            <w:vAlign w:val="center"/>
          </w:tcPr>
          <w:p>
            <w:pPr>
              <w:pStyle w:val="48"/>
            </w:pPr>
            <w:r>
              <w:t>≤0.002</w:t>
            </w:r>
          </w:p>
        </w:tc>
        <w:tc>
          <w:tcPr>
            <w:tcW w:w="922" w:type="dxa"/>
            <w:vAlign w:val="center"/>
          </w:tcPr>
          <w:p>
            <w:pPr>
              <w:pStyle w:val="48"/>
            </w:pPr>
            <w:r>
              <w:t>≤0.05</w:t>
            </w:r>
          </w:p>
        </w:tc>
        <w:tc>
          <w:tcPr>
            <w:tcW w:w="1634" w:type="dxa"/>
            <w:vAlign w:val="center"/>
          </w:tcPr>
          <w:p>
            <w:pPr>
              <w:pStyle w:val="48"/>
            </w:pPr>
            <w:r>
              <w:t>≤3.0</w:t>
            </w:r>
          </w:p>
        </w:tc>
        <w:tc>
          <w:tcPr>
            <w:tcW w:w="1634" w:type="dxa"/>
            <w:vAlign w:val="center"/>
          </w:tcPr>
          <w:p>
            <w:pPr>
              <w:pStyle w:val="48"/>
            </w:pPr>
            <w:r>
              <w:t>≤1000</w:t>
            </w:r>
          </w:p>
        </w:tc>
        <w:tc>
          <w:tcPr>
            <w:tcW w:w="1193" w:type="dxa"/>
            <w:vAlign w:val="center"/>
          </w:tcPr>
          <w:p>
            <w:pPr>
              <w:pStyle w:val="48"/>
            </w:pPr>
            <w:r>
              <w:t>≤250</w:t>
            </w:r>
          </w:p>
        </w:tc>
        <w:tc>
          <w:tcPr>
            <w:tcW w:w="888" w:type="dxa"/>
            <w:vAlign w:val="center"/>
          </w:tcPr>
          <w:p>
            <w:pPr>
              <w:pStyle w:val="48"/>
            </w:pPr>
            <w: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99" w:type="dxa"/>
            <w:vAlign w:val="center"/>
          </w:tcPr>
          <w:p>
            <w:pPr>
              <w:pStyle w:val="48"/>
            </w:pPr>
            <w:r>
              <w:t>污染物</w:t>
            </w:r>
          </w:p>
        </w:tc>
        <w:tc>
          <w:tcPr>
            <w:tcW w:w="944" w:type="dxa"/>
            <w:vAlign w:val="center"/>
          </w:tcPr>
          <w:p>
            <w:pPr>
              <w:pStyle w:val="48"/>
            </w:pPr>
            <w:r>
              <w:t>汞</w:t>
            </w:r>
          </w:p>
        </w:tc>
        <w:tc>
          <w:tcPr>
            <w:tcW w:w="926" w:type="dxa"/>
            <w:vAlign w:val="center"/>
          </w:tcPr>
          <w:p>
            <w:pPr>
              <w:pStyle w:val="48"/>
            </w:pPr>
            <w:r>
              <w:t>铅</w:t>
            </w:r>
          </w:p>
        </w:tc>
        <w:tc>
          <w:tcPr>
            <w:tcW w:w="922" w:type="dxa"/>
            <w:vAlign w:val="center"/>
          </w:tcPr>
          <w:p>
            <w:pPr>
              <w:pStyle w:val="48"/>
            </w:pPr>
            <w:r>
              <w:t>镉</w:t>
            </w:r>
          </w:p>
        </w:tc>
        <w:tc>
          <w:tcPr>
            <w:tcW w:w="1634" w:type="dxa"/>
            <w:vAlign w:val="center"/>
          </w:tcPr>
          <w:p>
            <w:pPr>
              <w:pStyle w:val="48"/>
            </w:pPr>
            <w:r>
              <w:t>铁</w:t>
            </w:r>
          </w:p>
        </w:tc>
        <w:tc>
          <w:tcPr>
            <w:tcW w:w="1634" w:type="dxa"/>
            <w:vAlign w:val="center"/>
          </w:tcPr>
          <w:p>
            <w:pPr>
              <w:pStyle w:val="48"/>
            </w:pPr>
            <w:r>
              <w:t>总大肠菌群</w:t>
            </w:r>
          </w:p>
        </w:tc>
        <w:tc>
          <w:tcPr>
            <w:tcW w:w="1193" w:type="dxa"/>
            <w:vAlign w:val="center"/>
          </w:tcPr>
          <w:p>
            <w:pPr>
              <w:pStyle w:val="48"/>
            </w:pPr>
            <w:r>
              <w:t>细菌总数</w:t>
            </w:r>
          </w:p>
        </w:tc>
        <w:tc>
          <w:tcPr>
            <w:tcW w:w="888" w:type="dxa"/>
            <w:vAlign w:val="center"/>
          </w:tcPr>
          <w:p>
            <w:pPr>
              <w:pStyle w:val="48"/>
            </w:pPr>
            <w:r>
              <w:t>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99" w:type="dxa"/>
            <w:vAlign w:val="center"/>
          </w:tcPr>
          <w:p>
            <w:pPr>
              <w:pStyle w:val="48"/>
            </w:pPr>
            <w:r>
              <w:t>标准值</w:t>
            </w:r>
          </w:p>
        </w:tc>
        <w:tc>
          <w:tcPr>
            <w:tcW w:w="944" w:type="dxa"/>
            <w:vAlign w:val="center"/>
          </w:tcPr>
          <w:p>
            <w:pPr>
              <w:pStyle w:val="48"/>
            </w:pPr>
            <w:r>
              <w:t>≤0.001</w:t>
            </w:r>
          </w:p>
        </w:tc>
        <w:tc>
          <w:tcPr>
            <w:tcW w:w="926" w:type="dxa"/>
            <w:vAlign w:val="center"/>
          </w:tcPr>
          <w:p>
            <w:pPr>
              <w:pStyle w:val="48"/>
            </w:pPr>
            <w:r>
              <w:t>≤0.01</w:t>
            </w:r>
          </w:p>
        </w:tc>
        <w:tc>
          <w:tcPr>
            <w:tcW w:w="922" w:type="dxa"/>
            <w:vAlign w:val="center"/>
          </w:tcPr>
          <w:p>
            <w:pPr>
              <w:pStyle w:val="48"/>
            </w:pPr>
            <w:r>
              <w:t>≤0.005</w:t>
            </w:r>
          </w:p>
        </w:tc>
        <w:tc>
          <w:tcPr>
            <w:tcW w:w="1634" w:type="dxa"/>
            <w:vAlign w:val="center"/>
          </w:tcPr>
          <w:p>
            <w:pPr>
              <w:pStyle w:val="48"/>
            </w:pPr>
            <w:r>
              <w:t>≤0.3</w:t>
            </w:r>
          </w:p>
        </w:tc>
        <w:tc>
          <w:tcPr>
            <w:tcW w:w="1634" w:type="dxa"/>
            <w:vAlign w:val="center"/>
          </w:tcPr>
          <w:p>
            <w:pPr>
              <w:pStyle w:val="48"/>
            </w:pPr>
            <w:r>
              <w:t>≤3.0</w:t>
            </w:r>
          </w:p>
        </w:tc>
        <w:tc>
          <w:tcPr>
            <w:tcW w:w="1193" w:type="dxa"/>
            <w:vAlign w:val="center"/>
          </w:tcPr>
          <w:p>
            <w:pPr>
              <w:pStyle w:val="48"/>
            </w:pPr>
            <w:r>
              <w:t>≤100</w:t>
            </w:r>
          </w:p>
        </w:tc>
        <w:tc>
          <w:tcPr>
            <w:tcW w:w="888" w:type="dxa"/>
            <w:vAlign w:val="center"/>
          </w:tcPr>
          <w:p>
            <w:pPr>
              <w:pStyle w:val="48"/>
            </w:pPr>
            <w:r>
              <w:t>≤0.1</w:t>
            </w:r>
          </w:p>
        </w:tc>
      </w:tr>
    </w:tbl>
    <w:p>
      <w:pPr>
        <w:pStyle w:val="5"/>
      </w:pPr>
      <w:r>
        <w:t>声环境质量标准</w:t>
      </w:r>
    </w:p>
    <w:p>
      <w:pPr>
        <w:ind w:firstLine="480"/>
      </w:pPr>
      <w:r>
        <w:t>根据《声环境质量标准》（GB3096-2008），本项目位于旬阳高新区吕河工业园，</w:t>
      </w:r>
      <w:r>
        <w:rPr>
          <w:rFonts w:hint="eastAsia"/>
        </w:rPr>
        <w:t>项目区声环境质量按</w:t>
      </w:r>
      <w:r>
        <w:t>3</w:t>
      </w:r>
      <w:r>
        <w:rPr>
          <w:rFonts w:hint="eastAsia"/>
        </w:rPr>
        <w:t>类区控制，</w:t>
      </w:r>
      <w:r>
        <w:t>执行《声环境质量标准》（GB3096-2008）3类标准，</w:t>
      </w:r>
      <w:r>
        <w:rPr>
          <w:rFonts w:hint="eastAsia"/>
        </w:rPr>
        <w:t>敏感点</w:t>
      </w:r>
      <w:r>
        <w:t>执行</w:t>
      </w:r>
      <w:r>
        <w:rPr>
          <w:rFonts w:hint="eastAsia"/>
        </w:rPr>
        <w:t>《</w:t>
      </w:r>
      <w:r>
        <w:t>声环境质量标准》（GB3096-2008）2类标准，具体见</w:t>
      </w:r>
      <w:r>
        <w:rPr>
          <w:rFonts w:hint="eastAsia"/>
        </w:rPr>
        <w:t>表2.4-3。</w:t>
      </w:r>
    </w:p>
    <w:p>
      <w:pPr>
        <w:pStyle w:val="49"/>
        <w:rPr>
          <w:rFonts w:hAnsi="宋体" w:eastAsia="宋体"/>
        </w:rPr>
      </w:pPr>
      <w:bookmarkStart w:id="27" w:name="_Ref36129994"/>
      <w:r>
        <w:rPr>
          <w:rFonts w:hint="eastAsia" w:ascii="宋体" w:hAnsi="宋体" w:eastAsia="宋体" w:cs="宋体"/>
        </w:rPr>
        <w:t>表</w:t>
      </w:r>
      <w:r>
        <w:rPr>
          <w:rFonts w:hint="eastAsia"/>
        </w:rPr>
        <w:t xml:space="preserve"> </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27"/>
      <w:r>
        <w:rPr>
          <w:rFonts w:hAnsi="宋体" w:eastAsia="宋体"/>
        </w:rPr>
        <w:t xml:space="preserve">  </w:t>
      </w:r>
      <w:r>
        <w:rPr>
          <w:rFonts w:hint="eastAsia" w:hAnsi="宋体" w:eastAsia="宋体"/>
        </w:rPr>
        <w:t>声环境</w:t>
      </w:r>
      <w:r>
        <w:rPr>
          <w:rFonts w:hAnsi="宋体" w:eastAsia="宋体"/>
        </w:rPr>
        <w:t>质量标准（GB3096-2008）   单位：</w:t>
      </w:r>
      <w:r>
        <w:rPr>
          <w:rFonts w:hint="eastAsia" w:hAnsi="宋体" w:eastAsia="宋体"/>
        </w:rPr>
        <w:t>dB</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4256"/>
        <w:gridCol w:w="2652"/>
        <w:gridCol w:w="2132"/>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56" w:type="dxa"/>
            <w:vMerge w:val="restart"/>
            <w:vAlign w:val="center"/>
          </w:tcPr>
          <w:p>
            <w:pPr>
              <w:pStyle w:val="48"/>
            </w:pPr>
            <w:r>
              <w:rPr>
                <w:rFonts w:hint="eastAsia"/>
              </w:rPr>
              <w:t>标准名称及级(类)别</w:t>
            </w:r>
          </w:p>
        </w:tc>
        <w:tc>
          <w:tcPr>
            <w:tcW w:w="4784" w:type="dxa"/>
            <w:gridSpan w:val="2"/>
            <w:vAlign w:val="center"/>
          </w:tcPr>
          <w:p>
            <w:pPr>
              <w:pStyle w:val="48"/>
            </w:pPr>
            <w:r>
              <w:t>时段</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56" w:type="dxa"/>
            <w:vMerge w:val="continue"/>
            <w:vAlign w:val="center"/>
          </w:tcPr>
          <w:p>
            <w:pPr>
              <w:pStyle w:val="48"/>
            </w:pPr>
          </w:p>
        </w:tc>
        <w:tc>
          <w:tcPr>
            <w:tcW w:w="2652" w:type="dxa"/>
            <w:vAlign w:val="center"/>
          </w:tcPr>
          <w:p>
            <w:pPr>
              <w:pStyle w:val="48"/>
            </w:pPr>
            <w:r>
              <w:t>昼间</w:t>
            </w:r>
          </w:p>
        </w:tc>
        <w:tc>
          <w:tcPr>
            <w:tcW w:w="2132" w:type="dxa"/>
            <w:vAlign w:val="center"/>
          </w:tcPr>
          <w:p>
            <w:pPr>
              <w:pStyle w:val="48"/>
            </w:pPr>
            <w:r>
              <w:t>夜间</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56" w:type="dxa"/>
            <w:vAlign w:val="center"/>
          </w:tcPr>
          <w:p>
            <w:pPr>
              <w:pStyle w:val="48"/>
            </w:pPr>
            <w:r>
              <w:rPr>
                <w:rFonts w:hint="eastAsia"/>
              </w:rPr>
              <w:t>《声环境质量标准》（GB3096-2008）2类</w:t>
            </w:r>
          </w:p>
        </w:tc>
        <w:tc>
          <w:tcPr>
            <w:tcW w:w="2652" w:type="dxa"/>
            <w:vAlign w:val="center"/>
          </w:tcPr>
          <w:p>
            <w:pPr>
              <w:pStyle w:val="48"/>
            </w:pPr>
            <w:r>
              <w:t>60</w:t>
            </w:r>
          </w:p>
        </w:tc>
        <w:tc>
          <w:tcPr>
            <w:tcW w:w="2132" w:type="dxa"/>
            <w:vAlign w:val="center"/>
          </w:tcPr>
          <w:p>
            <w:pPr>
              <w:pStyle w:val="48"/>
            </w:pPr>
            <w:r>
              <w:t>50</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4256" w:type="dxa"/>
            <w:vAlign w:val="center"/>
          </w:tcPr>
          <w:p>
            <w:pPr>
              <w:pStyle w:val="48"/>
            </w:pPr>
            <w:r>
              <w:rPr>
                <w:rFonts w:hint="eastAsia"/>
              </w:rPr>
              <w:t>《声环境质量标准》（GB3096-2008）</w:t>
            </w:r>
            <w:r>
              <w:t>3</w:t>
            </w:r>
            <w:r>
              <w:rPr>
                <w:rFonts w:hint="eastAsia"/>
              </w:rPr>
              <w:t>类</w:t>
            </w:r>
          </w:p>
        </w:tc>
        <w:tc>
          <w:tcPr>
            <w:tcW w:w="2652" w:type="dxa"/>
            <w:vAlign w:val="center"/>
          </w:tcPr>
          <w:p>
            <w:pPr>
              <w:pStyle w:val="48"/>
            </w:pPr>
            <w:r>
              <w:rPr>
                <w:rFonts w:hint="eastAsia"/>
              </w:rPr>
              <w:t>65</w:t>
            </w:r>
          </w:p>
        </w:tc>
        <w:tc>
          <w:tcPr>
            <w:tcW w:w="2132" w:type="dxa"/>
            <w:vAlign w:val="center"/>
          </w:tcPr>
          <w:p>
            <w:pPr>
              <w:pStyle w:val="48"/>
            </w:pPr>
            <w:r>
              <w:rPr>
                <w:rFonts w:hint="eastAsia"/>
              </w:rPr>
              <w:t>55</w:t>
            </w:r>
          </w:p>
        </w:tc>
      </w:tr>
    </w:tbl>
    <w:p>
      <w:pPr>
        <w:pStyle w:val="4"/>
      </w:pPr>
      <w:r>
        <w:rPr>
          <w:rFonts w:hint="eastAsia"/>
        </w:rPr>
        <w:t>污染物排放标准</w:t>
      </w:r>
    </w:p>
    <w:p>
      <w:pPr>
        <w:pStyle w:val="5"/>
      </w:pPr>
      <w:r>
        <w:rPr>
          <w:rFonts w:hint="eastAsia"/>
        </w:rPr>
        <w:t>废气</w:t>
      </w:r>
    </w:p>
    <w:p>
      <w:pPr>
        <w:ind w:firstLine="480"/>
      </w:pPr>
      <w:r>
        <w:rPr>
          <w:rFonts w:hint="eastAsia"/>
        </w:rPr>
        <w:t>（1）施工期</w:t>
      </w:r>
      <w:r>
        <w:t>废气</w:t>
      </w:r>
    </w:p>
    <w:p>
      <w:pPr>
        <w:ind w:firstLine="480"/>
      </w:pPr>
      <w:r>
        <w:t>施工期</w:t>
      </w:r>
      <w:r>
        <w:rPr>
          <w:rFonts w:hint="eastAsia"/>
        </w:rPr>
        <w:t>扬尘</w:t>
      </w:r>
      <w:r>
        <w:t>执行《</w:t>
      </w:r>
      <w:r>
        <w:rPr>
          <w:rFonts w:hint="eastAsia"/>
        </w:rPr>
        <w:t>施工场界</w:t>
      </w:r>
      <w:r>
        <w:t>扬尘排放限值》（DB61/1078-2017）</w:t>
      </w:r>
      <w:r>
        <w:rPr>
          <w:rFonts w:hint="eastAsia"/>
        </w:rPr>
        <w:t>，</w:t>
      </w:r>
      <w:r>
        <w:t>详见</w:t>
      </w:r>
      <w:r>
        <w:fldChar w:fldCharType="begin"/>
      </w:r>
      <w:r>
        <w:instrText xml:space="preserve"> </w:instrText>
      </w:r>
      <w:r>
        <w:rPr>
          <w:rFonts w:hint="eastAsia"/>
        </w:rPr>
        <w:instrText xml:space="preserve">REF _Ref27042319 \h</w:instrText>
      </w:r>
      <w:r>
        <w:instrText xml:space="preserve">  \* MERGEFORMAT </w:instrText>
      </w:r>
      <w:r>
        <w:fldChar w:fldCharType="separate"/>
      </w:r>
      <w:r>
        <w:rPr>
          <w:rFonts w:hint="eastAsia"/>
        </w:rPr>
        <w:t>表</w:t>
      </w:r>
      <w:r>
        <w:t>2.4</w:t>
      </w:r>
      <w:r>
        <w:noBreakHyphen/>
      </w:r>
      <w:r>
        <w:t>4</w:t>
      </w:r>
      <w:r>
        <w:fldChar w:fldCharType="end"/>
      </w:r>
      <w:r>
        <w:t>。</w:t>
      </w:r>
    </w:p>
    <w:p>
      <w:pPr>
        <w:spacing w:line="240" w:lineRule="auto"/>
        <w:ind w:firstLine="0" w:firstLineChars="0"/>
        <w:jc w:val="center"/>
        <w:rPr>
          <w:rFonts w:hAnsi="宋体"/>
          <w:b/>
          <w:sz w:val="21"/>
          <w:szCs w:val="24"/>
        </w:rPr>
      </w:pPr>
      <w:bookmarkStart w:id="28" w:name="_Ref27042319"/>
      <w:r>
        <w:rPr>
          <w:rFonts w:hint="eastAsia" w:hAnsi="宋体"/>
          <w:b/>
          <w:sz w:val="21"/>
          <w:szCs w:val="24"/>
        </w:rPr>
        <w:t>表</w:t>
      </w:r>
      <w:r>
        <w:rPr>
          <w:rFonts w:hAnsi="宋体"/>
          <w:b/>
          <w:sz w:val="21"/>
          <w:szCs w:val="24"/>
        </w:rPr>
        <w:fldChar w:fldCharType="begin"/>
      </w:r>
      <w:r>
        <w:rPr>
          <w:rFonts w:hAnsi="宋体"/>
          <w:b/>
          <w:sz w:val="21"/>
          <w:szCs w:val="24"/>
        </w:rPr>
        <w:instrText xml:space="preserve"> </w:instrText>
      </w:r>
      <w:r>
        <w:rPr>
          <w:rFonts w:hint="eastAsia" w:hAnsi="宋体"/>
          <w:b/>
          <w:sz w:val="21"/>
          <w:szCs w:val="24"/>
        </w:rPr>
        <w:instrText xml:space="preserve">STYLEREF 2 \s</w:instrText>
      </w:r>
      <w:r>
        <w:rPr>
          <w:rFonts w:hAnsi="宋体"/>
          <w:b/>
          <w:sz w:val="21"/>
          <w:szCs w:val="24"/>
        </w:rPr>
        <w:instrText xml:space="preserve"> </w:instrText>
      </w:r>
      <w:r>
        <w:rPr>
          <w:rFonts w:hAnsi="宋体"/>
          <w:b/>
          <w:sz w:val="21"/>
          <w:szCs w:val="24"/>
        </w:rPr>
        <w:fldChar w:fldCharType="separate"/>
      </w:r>
      <w:r>
        <w:rPr>
          <w:rFonts w:hAnsi="宋体"/>
          <w:b/>
          <w:sz w:val="21"/>
          <w:szCs w:val="24"/>
        </w:rPr>
        <w:t>2.4</w:t>
      </w:r>
      <w:r>
        <w:rPr>
          <w:rFonts w:hAnsi="宋体"/>
          <w:b/>
          <w:sz w:val="21"/>
          <w:szCs w:val="24"/>
        </w:rPr>
        <w:fldChar w:fldCharType="end"/>
      </w:r>
      <w:r>
        <w:rPr>
          <w:rFonts w:hAnsi="宋体"/>
          <w:b/>
          <w:sz w:val="21"/>
          <w:szCs w:val="24"/>
        </w:rPr>
        <w:noBreakHyphen/>
      </w:r>
      <w:r>
        <w:rPr>
          <w:rFonts w:hAnsi="宋体"/>
          <w:b/>
          <w:sz w:val="21"/>
          <w:szCs w:val="24"/>
        </w:rPr>
        <w:fldChar w:fldCharType="begin"/>
      </w:r>
      <w:r>
        <w:rPr>
          <w:rFonts w:hAnsi="宋体"/>
          <w:b/>
          <w:sz w:val="21"/>
          <w:szCs w:val="24"/>
        </w:rPr>
        <w:instrText xml:space="preserve"> </w:instrText>
      </w:r>
      <w:r>
        <w:rPr>
          <w:rFonts w:hint="eastAsia" w:hAnsi="宋体"/>
          <w:b/>
          <w:sz w:val="21"/>
          <w:szCs w:val="24"/>
        </w:rPr>
        <w:instrText xml:space="preserve">SEQ 表 \* ARABIC \s 2</w:instrText>
      </w:r>
      <w:r>
        <w:rPr>
          <w:rFonts w:hAnsi="宋体"/>
          <w:b/>
          <w:sz w:val="21"/>
          <w:szCs w:val="24"/>
        </w:rPr>
        <w:instrText xml:space="preserve"> </w:instrText>
      </w:r>
      <w:r>
        <w:rPr>
          <w:rFonts w:hAnsi="宋体"/>
          <w:b/>
          <w:sz w:val="21"/>
          <w:szCs w:val="24"/>
        </w:rPr>
        <w:fldChar w:fldCharType="separate"/>
      </w:r>
      <w:r>
        <w:rPr>
          <w:rFonts w:hAnsi="宋体"/>
          <w:b/>
          <w:sz w:val="21"/>
          <w:szCs w:val="24"/>
        </w:rPr>
        <w:t>4</w:t>
      </w:r>
      <w:r>
        <w:rPr>
          <w:rFonts w:hAnsi="宋体"/>
          <w:b/>
          <w:sz w:val="21"/>
          <w:szCs w:val="24"/>
        </w:rPr>
        <w:fldChar w:fldCharType="end"/>
      </w:r>
      <w:bookmarkEnd w:id="28"/>
      <w:r>
        <w:rPr>
          <w:rFonts w:hint="eastAsia" w:hAnsi="宋体"/>
          <w:b/>
          <w:sz w:val="21"/>
          <w:szCs w:val="24"/>
        </w:rPr>
        <w:t xml:space="preserve">  施工</w:t>
      </w:r>
      <w:r>
        <w:rPr>
          <w:rFonts w:hAnsi="宋体"/>
          <w:b/>
          <w:sz w:val="21"/>
          <w:szCs w:val="24"/>
        </w:rPr>
        <w:t>场界扬尘（</w:t>
      </w:r>
      <w:r>
        <w:rPr>
          <w:rFonts w:hint="eastAsia" w:hAnsi="宋体"/>
          <w:b/>
          <w:sz w:val="21"/>
          <w:szCs w:val="24"/>
        </w:rPr>
        <w:t>TSP</w:t>
      </w:r>
      <w:r>
        <w:rPr>
          <w:rFonts w:hAnsi="宋体"/>
          <w:b/>
          <w:sz w:val="21"/>
          <w:szCs w:val="24"/>
        </w:rPr>
        <w:t>）</w:t>
      </w:r>
      <w:r>
        <w:rPr>
          <w:rFonts w:hint="eastAsia" w:hAnsi="宋体"/>
          <w:b/>
          <w:sz w:val="21"/>
          <w:szCs w:val="24"/>
        </w:rPr>
        <w:t>浓度</w:t>
      </w:r>
      <w:r>
        <w:rPr>
          <w:rFonts w:hAnsi="宋体"/>
          <w:b/>
          <w:sz w:val="21"/>
          <w:szCs w:val="24"/>
        </w:rPr>
        <w:t>限值</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5"/>
        <w:gridCol w:w="1770"/>
        <w:gridCol w:w="1517"/>
        <w:gridCol w:w="3178"/>
        <w:gridCol w:w="17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875" w:type="dxa"/>
            <w:tcBorders>
              <w:top w:val="single" w:color="auto" w:sz="12" w:space="0"/>
              <w:left w:val="single" w:color="auto" w:sz="12" w:space="0"/>
            </w:tcBorders>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序号</w:t>
            </w:r>
          </w:p>
        </w:tc>
        <w:tc>
          <w:tcPr>
            <w:tcW w:w="1770" w:type="dxa"/>
            <w:tcBorders>
              <w:top w:val="single" w:color="auto" w:sz="12" w:space="0"/>
              <w:right w:val="single" w:color="auto" w:sz="4" w:space="0"/>
            </w:tcBorders>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污染物</w:t>
            </w:r>
          </w:p>
        </w:tc>
        <w:tc>
          <w:tcPr>
            <w:tcW w:w="1517" w:type="dxa"/>
            <w:tcBorders>
              <w:top w:val="single" w:color="auto" w:sz="12" w:space="0"/>
              <w:left w:val="single" w:color="auto" w:sz="4" w:space="0"/>
            </w:tcBorders>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监测</w:t>
            </w:r>
            <w:r>
              <w:rPr>
                <w:rFonts w:hAnsi="宋体"/>
                <w:kern w:val="0"/>
                <w:sz w:val="21"/>
                <w:szCs w:val="20"/>
              </w:rPr>
              <w:t>点</w:t>
            </w:r>
          </w:p>
        </w:tc>
        <w:tc>
          <w:tcPr>
            <w:tcW w:w="3178" w:type="dxa"/>
            <w:tcBorders>
              <w:top w:val="single" w:color="auto" w:sz="12" w:space="0"/>
            </w:tcBorders>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施工</w:t>
            </w:r>
            <w:r>
              <w:rPr>
                <w:rFonts w:hAnsi="宋体"/>
                <w:kern w:val="0"/>
                <w:sz w:val="21"/>
                <w:szCs w:val="20"/>
              </w:rPr>
              <w:t>阶段</w:t>
            </w:r>
          </w:p>
        </w:tc>
        <w:tc>
          <w:tcPr>
            <w:tcW w:w="1700" w:type="dxa"/>
            <w:tcBorders>
              <w:top w:val="single" w:color="auto" w:sz="12" w:space="0"/>
              <w:right w:val="single" w:color="auto" w:sz="12" w:space="0"/>
            </w:tcBorders>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小时平均</w:t>
            </w:r>
            <w:r>
              <w:rPr>
                <w:rFonts w:hAnsi="宋体"/>
                <w:kern w:val="0"/>
                <w:sz w:val="21"/>
                <w:szCs w:val="20"/>
              </w:rPr>
              <w:t>浓度限值</w:t>
            </w:r>
            <w:r>
              <w:rPr>
                <w:rFonts w:hint="eastAsia" w:hAnsi="宋体"/>
                <w:kern w:val="0"/>
                <w:sz w:val="21"/>
                <w:szCs w:val="20"/>
              </w:rPr>
              <w:t>（</w:t>
            </w:r>
            <w:r>
              <w:rPr>
                <w:rFonts w:hAnsi="宋体"/>
                <w:kern w:val="0"/>
                <w:sz w:val="21"/>
                <w:szCs w:val="21"/>
              </w:rPr>
              <w:t>mg/m</w:t>
            </w:r>
            <w:r>
              <w:rPr>
                <w:rFonts w:hAnsi="宋体"/>
                <w:kern w:val="0"/>
                <w:sz w:val="21"/>
                <w:szCs w:val="21"/>
                <w:vertAlign w:val="superscript"/>
              </w:rPr>
              <w:t>3</w:t>
            </w:r>
            <w:r>
              <w:rPr>
                <w:rFonts w:hint="eastAsia" w:hAnsi="宋体"/>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875" w:type="dxa"/>
            <w:tcBorders>
              <w:left w:val="single" w:color="auto" w:sz="12"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1</w:t>
            </w:r>
          </w:p>
        </w:tc>
        <w:tc>
          <w:tcPr>
            <w:tcW w:w="1770" w:type="dxa"/>
            <w:vMerge w:val="restart"/>
            <w:tcBorders>
              <w:right w:val="single" w:color="auto" w:sz="4"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施工扬尘（即</w:t>
            </w:r>
            <w:r>
              <w:rPr>
                <w:rFonts w:hAnsi="宋体" w:cs="宋体"/>
                <w:kern w:val="0"/>
                <w:sz w:val="21"/>
                <w:szCs w:val="20"/>
              </w:rPr>
              <w:t>总悬浮颗粒物TSP</w:t>
            </w:r>
            <w:r>
              <w:rPr>
                <w:rFonts w:hint="eastAsia" w:hAnsi="宋体" w:cs="宋体"/>
                <w:kern w:val="0"/>
                <w:sz w:val="21"/>
                <w:szCs w:val="20"/>
              </w:rPr>
              <w:t>）</w:t>
            </w:r>
          </w:p>
        </w:tc>
        <w:tc>
          <w:tcPr>
            <w:tcW w:w="1517" w:type="dxa"/>
            <w:vMerge w:val="restart"/>
            <w:tcBorders>
              <w:left w:val="single" w:color="auto" w:sz="4"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周</w:t>
            </w:r>
            <w:r>
              <w:rPr>
                <w:rFonts w:hAnsi="宋体" w:cs="宋体"/>
                <w:kern w:val="0"/>
                <w:sz w:val="21"/>
                <w:szCs w:val="20"/>
              </w:rPr>
              <w:t>界外浓度最高点</w:t>
            </w:r>
            <w:r>
              <w:rPr>
                <w:rFonts w:hint="eastAsia" w:hAnsi="宋体" w:cs="宋体"/>
                <w:kern w:val="0"/>
                <w:sz w:val="21"/>
                <w:szCs w:val="20"/>
              </w:rPr>
              <w:t>*</w:t>
            </w:r>
          </w:p>
        </w:tc>
        <w:tc>
          <w:tcPr>
            <w:tcW w:w="3178" w:type="dxa"/>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拆除</w:t>
            </w:r>
            <w:r>
              <w:rPr>
                <w:rFonts w:hAnsi="宋体" w:cs="宋体"/>
                <w:kern w:val="0"/>
                <w:sz w:val="21"/>
                <w:szCs w:val="20"/>
              </w:rPr>
              <w:t>、土方及地基处理工程</w:t>
            </w:r>
          </w:p>
        </w:tc>
        <w:tc>
          <w:tcPr>
            <w:tcW w:w="1700" w:type="dxa"/>
            <w:tcBorders>
              <w:bottom w:val="single" w:color="auto" w:sz="4" w:space="0"/>
              <w:right w:val="single" w:color="auto" w:sz="12"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Ansi="宋体" w:cs="宋体"/>
                <w:kern w:val="0"/>
                <w:sz w:val="21"/>
                <w:szCs w:val="20"/>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875" w:type="dxa"/>
            <w:tcBorders>
              <w:left w:val="single" w:color="auto" w:sz="12"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2</w:t>
            </w:r>
          </w:p>
        </w:tc>
        <w:tc>
          <w:tcPr>
            <w:tcW w:w="1770" w:type="dxa"/>
            <w:vMerge w:val="continue"/>
            <w:tcBorders>
              <w:right w:val="single" w:color="auto" w:sz="4" w:space="0"/>
            </w:tcBorders>
            <w:vAlign w:val="center"/>
          </w:tcPr>
          <w:p>
            <w:pPr>
              <w:tabs>
                <w:tab w:val="left" w:pos="2340"/>
              </w:tabs>
              <w:adjustRightInd/>
              <w:spacing w:line="240" w:lineRule="auto"/>
              <w:ind w:firstLine="0" w:firstLineChars="0"/>
              <w:jc w:val="center"/>
              <w:rPr>
                <w:rFonts w:hAnsi="宋体" w:cs="宋体"/>
                <w:kern w:val="0"/>
                <w:sz w:val="21"/>
                <w:szCs w:val="20"/>
              </w:rPr>
            </w:pPr>
          </w:p>
        </w:tc>
        <w:tc>
          <w:tcPr>
            <w:tcW w:w="1517" w:type="dxa"/>
            <w:vMerge w:val="continue"/>
            <w:tcBorders>
              <w:left w:val="single" w:color="auto" w:sz="4" w:space="0"/>
            </w:tcBorders>
            <w:vAlign w:val="center"/>
          </w:tcPr>
          <w:p>
            <w:pPr>
              <w:tabs>
                <w:tab w:val="left" w:pos="2340"/>
              </w:tabs>
              <w:adjustRightInd/>
              <w:spacing w:line="240" w:lineRule="auto"/>
              <w:ind w:firstLine="0" w:firstLineChars="0"/>
              <w:jc w:val="center"/>
              <w:rPr>
                <w:rFonts w:hAnsi="宋体" w:cs="宋体"/>
                <w:kern w:val="0"/>
                <w:sz w:val="21"/>
                <w:szCs w:val="20"/>
              </w:rPr>
            </w:pPr>
          </w:p>
        </w:tc>
        <w:tc>
          <w:tcPr>
            <w:tcW w:w="3178" w:type="dxa"/>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基础</w:t>
            </w:r>
            <w:r>
              <w:rPr>
                <w:rFonts w:hAnsi="宋体" w:cs="宋体"/>
                <w:kern w:val="0"/>
                <w:sz w:val="21"/>
                <w:szCs w:val="20"/>
              </w:rPr>
              <w:t>、主体结构及装饰工程</w:t>
            </w:r>
          </w:p>
        </w:tc>
        <w:tc>
          <w:tcPr>
            <w:tcW w:w="1700" w:type="dxa"/>
            <w:tcBorders>
              <w:top w:val="single" w:color="auto" w:sz="4" w:space="0"/>
              <w:bottom w:val="single" w:color="auto" w:sz="4" w:space="0"/>
              <w:right w:val="single" w:color="auto" w:sz="12"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Ansi="宋体" w:cs="宋体"/>
                <w:kern w:val="0"/>
                <w:sz w:val="21"/>
                <w:szCs w:val="20"/>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9040" w:type="dxa"/>
            <w:gridSpan w:val="5"/>
            <w:tcBorders>
              <w:left w:val="single" w:color="auto" w:sz="12" w:space="0"/>
              <w:bottom w:val="single" w:color="auto" w:sz="12" w:space="0"/>
              <w:right w:val="single" w:color="auto" w:sz="12" w:space="0"/>
            </w:tcBorders>
            <w:vAlign w:val="center"/>
          </w:tcPr>
          <w:p>
            <w:pPr>
              <w:tabs>
                <w:tab w:val="left" w:pos="2340"/>
              </w:tabs>
              <w:adjustRightInd/>
              <w:spacing w:line="240" w:lineRule="auto"/>
              <w:ind w:firstLine="0" w:firstLineChars="0"/>
              <w:jc w:val="center"/>
              <w:rPr>
                <w:rFonts w:hAnsi="宋体" w:cs="宋体"/>
                <w:kern w:val="0"/>
                <w:sz w:val="21"/>
                <w:szCs w:val="20"/>
              </w:rPr>
            </w:pPr>
            <w:r>
              <w:rPr>
                <w:rFonts w:hint="eastAsia" w:hAnsi="宋体" w:cs="宋体"/>
                <w:kern w:val="0"/>
                <w:sz w:val="21"/>
                <w:szCs w:val="20"/>
              </w:rPr>
              <w:t>*周界外</w:t>
            </w:r>
            <w:r>
              <w:rPr>
                <w:rFonts w:hAnsi="宋体" w:cs="宋体"/>
                <w:kern w:val="0"/>
                <w:sz w:val="21"/>
                <w:szCs w:val="20"/>
              </w:rPr>
              <w:t>浓度最高点一般应设置</w:t>
            </w:r>
            <w:r>
              <w:rPr>
                <w:rFonts w:hint="eastAsia" w:hAnsi="宋体" w:cs="宋体"/>
                <w:kern w:val="0"/>
                <w:sz w:val="21"/>
                <w:szCs w:val="20"/>
              </w:rPr>
              <w:t>于无组织</w:t>
            </w:r>
            <w:r>
              <w:rPr>
                <w:rFonts w:hAnsi="宋体" w:cs="宋体"/>
                <w:kern w:val="0"/>
                <w:sz w:val="21"/>
                <w:szCs w:val="20"/>
              </w:rPr>
              <w:t>排放源下风向的单位周界外</w:t>
            </w:r>
            <w:r>
              <w:rPr>
                <w:rFonts w:hint="eastAsia" w:hAnsi="宋体" w:cs="宋体"/>
                <w:kern w:val="0"/>
                <w:sz w:val="21"/>
                <w:szCs w:val="20"/>
              </w:rPr>
              <w:t>10</w:t>
            </w:r>
            <w:r>
              <w:rPr>
                <w:rFonts w:hAnsi="宋体" w:cs="宋体"/>
                <w:kern w:val="0"/>
                <w:sz w:val="21"/>
                <w:szCs w:val="20"/>
              </w:rPr>
              <w:t>m范围内，若预计无组织排放的最大落地浓度超出</w:t>
            </w:r>
            <w:r>
              <w:rPr>
                <w:rFonts w:hint="eastAsia" w:hAnsi="宋体" w:cs="宋体"/>
                <w:kern w:val="0"/>
                <w:sz w:val="21"/>
                <w:szCs w:val="20"/>
              </w:rPr>
              <w:t>10</w:t>
            </w:r>
            <w:r>
              <w:rPr>
                <w:rFonts w:hAnsi="宋体" w:cs="宋体"/>
                <w:kern w:val="0"/>
                <w:sz w:val="21"/>
                <w:szCs w:val="20"/>
              </w:rPr>
              <w:t>m范围，</w:t>
            </w:r>
            <w:r>
              <w:rPr>
                <w:rFonts w:hint="eastAsia" w:hAnsi="宋体" w:cs="宋体"/>
                <w:kern w:val="0"/>
                <w:sz w:val="21"/>
                <w:szCs w:val="20"/>
              </w:rPr>
              <w:t>可</w:t>
            </w:r>
            <w:r>
              <w:rPr>
                <w:rFonts w:hAnsi="宋体" w:cs="宋体"/>
                <w:kern w:val="0"/>
                <w:sz w:val="21"/>
                <w:szCs w:val="20"/>
              </w:rPr>
              <w:t>将监控点移</w:t>
            </w:r>
            <w:r>
              <w:rPr>
                <w:rFonts w:hint="eastAsia" w:hAnsi="宋体" w:cs="宋体"/>
                <w:kern w:val="0"/>
                <w:sz w:val="21"/>
                <w:szCs w:val="20"/>
              </w:rPr>
              <w:t>至该</w:t>
            </w:r>
            <w:r>
              <w:rPr>
                <w:rFonts w:hAnsi="宋体" w:cs="宋体"/>
                <w:kern w:val="0"/>
                <w:sz w:val="21"/>
                <w:szCs w:val="20"/>
              </w:rPr>
              <w:t>预计浓度最高点附近</w:t>
            </w:r>
            <w:r>
              <w:rPr>
                <w:rFonts w:hint="eastAsia" w:hAnsi="宋体" w:cs="宋体"/>
                <w:kern w:val="0"/>
                <w:sz w:val="21"/>
                <w:szCs w:val="20"/>
              </w:rPr>
              <w:t>。</w:t>
            </w:r>
          </w:p>
        </w:tc>
      </w:tr>
    </w:tbl>
    <w:p>
      <w:pPr>
        <w:ind w:firstLine="480"/>
      </w:pPr>
      <w:r>
        <w:rPr>
          <w:rFonts w:hint="eastAsia"/>
        </w:rPr>
        <w:t>（2）运营期废气</w:t>
      </w:r>
    </w:p>
    <w:p>
      <w:pPr>
        <w:ind w:firstLine="480"/>
      </w:pPr>
      <w:r>
        <w:t>该项目</w:t>
      </w:r>
      <w:r>
        <w:rPr>
          <w:rFonts w:hint="eastAsia"/>
        </w:rPr>
        <w:t>破碎</w:t>
      </w:r>
      <w:r>
        <w:t>粉尘</w:t>
      </w:r>
      <w:r>
        <w:rPr>
          <w:rFonts w:hint="eastAsia"/>
        </w:rPr>
        <w:t>排放</w:t>
      </w:r>
      <w:r>
        <w:t>执行《大气污染物综合排放标准》（GB16297-1996）中二级排放标准；</w:t>
      </w:r>
      <w:r>
        <w:rPr>
          <w:rFonts w:hint="eastAsia"/>
        </w:rPr>
        <w:t>天然气</w:t>
      </w:r>
      <w:r>
        <w:t>锅炉烟气中的SO</w:t>
      </w:r>
      <w:r>
        <w:rPr>
          <w:vertAlign w:val="subscript"/>
        </w:rPr>
        <w:t>2</w:t>
      </w:r>
      <w:r>
        <w:t>、NO</w:t>
      </w:r>
      <w:r>
        <w:rPr>
          <w:vertAlign w:val="subscript"/>
        </w:rPr>
        <w:t>x</w:t>
      </w:r>
      <w:r>
        <w:t>、颗粒物执行《锅炉大气污染物排放标准》（DB61/1226-2018）；无组织废气中甲醇</w:t>
      </w:r>
      <w:r>
        <w:rPr>
          <w:rFonts w:hint="eastAsia"/>
        </w:rPr>
        <w:t>、</w:t>
      </w:r>
      <w:r>
        <w:t>硫酸雾执行《大气污染物综合排放标准》（GB16297-1996），无组织废气中非甲烷总烃同时执行《挥发性有机物无组织排放控制标准》（GB37822-2019）表A.1限值。</w:t>
      </w:r>
    </w:p>
    <w:p>
      <w:pPr>
        <w:ind w:firstLine="480"/>
      </w:pPr>
      <w:r>
        <w:rPr>
          <w:rFonts w:hint="eastAsia"/>
        </w:rPr>
        <w:t>废气</w:t>
      </w:r>
      <w:r>
        <w:t>排放标准</w:t>
      </w:r>
      <w:r>
        <w:rPr>
          <w:rFonts w:hint="eastAsia"/>
        </w:rPr>
        <w:t>见</w:t>
      </w:r>
      <w:r>
        <w:t>表2.4-5</w:t>
      </w:r>
      <w:r>
        <w:rPr>
          <w:rFonts w:hint="eastAsia"/>
        </w:rPr>
        <w:t>。</w:t>
      </w:r>
    </w:p>
    <w:p>
      <w:pPr>
        <w:pStyle w:val="49"/>
        <w:rPr>
          <w:rFonts w:ascii="宋体" w:hAnsi="宋体" w:eastAsia="宋体" w:cs="宋体"/>
        </w:rPr>
      </w:pPr>
      <w:bookmarkStart w:id="29" w:name="_Ref36130867"/>
      <w:r>
        <w:rPr>
          <w:rFonts w:ascii="宋体" w:hAnsi="宋体" w:eastAsia="宋体" w:cs="宋体"/>
          <w:highlight w:val="yellow"/>
        </w:rPr>
        <w:br w:type="column"/>
      </w:r>
      <w:r>
        <w:rPr>
          <w:rFonts w:hint="eastAsia" w:ascii="宋体" w:hAnsi="宋体" w:eastAsia="宋体" w:cs="宋体"/>
        </w:rPr>
        <w:t>表</w:t>
      </w:r>
      <w:r>
        <w:rPr>
          <w:rFonts w:hint="eastAsia"/>
        </w:rPr>
        <w:t xml:space="preserve"> </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bookmarkEnd w:id="29"/>
      <w:r>
        <w:rPr>
          <w:rFonts w:hint="eastAsia"/>
        </w:rPr>
        <w:t xml:space="preserve">  </w:t>
      </w:r>
      <w:r>
        <w:rPr>
          <w:rFonts w:hint="eastAsia" w:ascii="宋体" w:hAnsi="宋体" w:eastAsia="宋体" w:cs="宋体"/>
        </w:rPr>
        <w:t>项目</w:t>
      </w:r>
      <w:r>
        <w:rPr>
          <w:rFonts w:ascii="宋体" w:hAnsi="宋体" w:eastAsia="宋体" w:cs="宋体"/>
        </w:rPr>
        <w:t>废气污染物排放标准</w:t>
      </w:r>
    </w:p>
    <w:tbl>
      <w:tblPr>
        <w:tblStyle w:val="35"/>
        <w:tblW w:w="90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2"/>
        <w:gridCol w:w="799"/>
        <w:gridCol w:w="937"/>
        <w:gridCol w:w="1244"/>
        <w:gridCol w:w="1157"/>
        <w:gridCol w:w="687"/>
        <w:gridCol w:w="1246"/>
        <w:gridCol w:w="25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blHeader/>
          <w:jc w:val="center"/>
        </w:trPr>
        <w:tc>
          <w:tcPr>
            <w:tcW w:w="442" w:type="dxa"/>
            <w:vMerge w:val="restart"/>
            <w:tcBorders>
              <w:top w:val="single" w:color="auto" w:sz="12" w:space="0"/>
              <w:left w:val="single" w:color="auto" w:sz="12" w:space="0"/>
            </w:tcBorders>
            <w:shd w:val="clear" w:color="auto" w:fill="auto"/>
            <w:vAlign w:val="center"/>
          </w:tcPr>
          <w:p>
            <w:pPr>
              <w:pStyle w:val="92"/>
            </w:pPr>
            <w:r>
              <w:t>序号</w:t>
            </w:r>
          </w:p>
        </w:tc>
        <w:tc>
          <w:tcPr>
            <w:tcW w:w="799" w:type="dxa"/>
            <w:vMerge w:val="restart"/>
            <w:tcBorders>
              <w:top w:val="single" w:color="auto" w:sz="12" w:space="0"/>
            </w:tcBorders>
            <w:shd w:val="clear" w:color="auto" w:fill="auto"/>
            <w:vAlign w:val="center"/>
          </w:tcPr>
          <w:p>
            <w:pPr>
              <w:pStyle w:val="92"/>
            </w:pPr>
            <w:r>
              <w:t>污染源</w:t>
            </w:r>
          </w:p>
        </w:tc>
        <w:tc>
          <w:tcPr>
            <w:tcW w:w="937" w:type="dxa"/>
            <w:vMerge w:val="restart"/>
            <w:tcBorders>
              <w:top w:val="single" w:color="auto" w:sz="12" w:space="0"/>
            </w:tcBorders>
            <w:shd w:val="clear" w:color="auto" w:fill="auto"/>
            <w:vAlign w:val="center"/>
          </w:tcPr>
          <w:p>
            <w:pPr>
              <w:pStyle w:val="92"/>
            </w:pPr>
            <w:r>
              <w:t>污染物</w:t>
            </w:r>
          </w:p>
        </w:tc>
        <w:tc>
          <w:tcPr>
            <w:tcW w:w="2401" w:type="dxa"/>
            <w:gridSpan w:val="2"/>
            <w:tcBorders>
              <w:top w:val="single" w:color="auto" w:sz="12" w:space="0"/>
            </w:tcBorders>
            <w:shd w:val="clear" w:color="auto" w:fill="auto"/>
            <w:vAlign w:val="center"/>
          </w:tcPr>
          <w:p>
            <w:pPr>
              <w:pStyle w:val="92"/>
            </w:pPr>
            <w:r>
              <w:rPr>
                <w:lang w:val="zh-CN"/>
              </w:rPr>
              <w:t>标准限值</w:t>
            </w:r>
          </w:p>
        </w:tc>
        <w:tc>
          <w:tcPr>
            <w:tcW w:w="687" w:type="dxa"/>
            <w:vMerge w:val="restart"/>
            <w:tcBorders>
              <w:top w:val="single" w:color="auto" w:sz="12" w:space="0"/>
            </w:tcBorders>
            <w:shd w:val="clear" w:color="auto" w:fill="auto"/>
            <w:vAlign w:val="center"/>
          </w:tcPr>
          <w:p>
            <w:pPr>
              <w:pStyle w:val="92"/>
            </w:pPr>
            <w:r>
              <w:t>排气筒高度(m)</w:t>
            </w:r>
          </w:p>
        </w:tc>
        <w:tc>
          <w:tcPr>
            <w:tcW w:w="1246" w:type="dxa"/>
            <w:vMerge w:val="restart"/>
            <w:tcBorders>
              <w:top w:val="single" w:color="auto" w:sz="12" w:space="0"/>
            </w:tcBorders>
            <w:shd w:val="clear" w:color="auto" w:fill="auto"/>
            <w:vAlign w:val="center"/>
          </w:tcPr>
          <w:p>
            <w:pPr>
              <w:pStyle w:val="92"/>
            </w:pPr>
            <w:r>
              <w:t>无组织排放周界外浓度最高点（mg/m</w:t>
            </w:r>
            <w:r>
              <w:rPr>
                <w:vertAlign w:val="superscript"/>
              </w:rPr>
              <w:t>3</w:t>
            </w:r>
            <w:r>
              <w:t>）</w:t>
            </w:r>
          </w:p>
        </w:tc>
        <w:tc>
          <w:tcPr>
            <w:tcW w:w="2528" w:type="dxa"/>
            <w:vMerge w:val="restart"/>
            <w:tcBorders>
              <w:top w:val="single" w:color="auto" w:sz="12" w:space="0"/>
              <w:right w:val="single" w:color="auto" w:sz="12" w:space="0"/>
            </w:tcBorders>
            <w:shd w:val="clear" w:color="auto" w:fill="auto"/>
            <w:vAlign w:val="center"/>
          </w:tcPr>
          <w:p>
            <w:pPr>
              <w:pStyle w:val="92"/>
            </w:pPr>
            <w: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 w:hRule="atLeast"/>
          <w:tblHeader/>
          <w:jc w:val="center"/>
        </w:trPr>
        <w:tc>
          <w:tcPr>
            <w:tcW w:w="442" w:type="dxa"/>
            <w:vMerge w:val="continue"/>
            <w:tcBorders>
              <w:left w:val="single" w:color="auto" w:sz="12" w:space="0"/>
            </w:tcBorders>
            <w:shd w:val="clear" w:color="auto" w:fill="D7D7D7"/>
            <w:vAlign w:val="center"/>
          </w:tcPr>
          <w:p>
            <w:pPr>
              <w:pStyle w:val="92"/>
            </w:pPr>
          </w:p>
        </w:tc>
        <w:tc>
          <w:tcPr>
            <w:tcW w:w="799" w:type="dxa"/>
            <w:vMerge w:val="continue"/>
            <w:shd w:val="clear" w:color="auto" w:fill="D7D7D7"/>
            <w:vAlign w:val="center"/>
          </w:tcPr>
          <w:p>
            <w:pPr>
              <w:pStyle w:val="92"/>
            </w:pPr>
          </w:p>
        </w:tc>
        <w:tc>
          <w:tcPr>
            <w:tcW w:w="937" w:type="dxa"/>
            <w:vMerge w:val="continue"/>
            <w:shd w:val="clear" w:color="auto" w:fill="D7D7D7"/>
            <w:vAlign w:val="center"/>
          </w:tcPr>
          <w:p>
            <w:pPr>
              <w:pStyle w:val="92"/>
            </w:pPr>
          </w:p>
        </w:tc>
        <w:tc>
          <w:tcPr>
            <w:tcW w:w="1244" w:type="dxa"/>
            <w:shd w:val="clear" w:color="auto" w:fill="auto"/>
            <w:vAlign w:val="center"/>
          </w:tcPr>
          <w:p>
            <w:pPr>
              <w:pStyle w:val="92"/>
              <w:rPr>
                <w:lang w:val="zh-CN"/>
              </w:rPr>
            </w:pPr>
            <w:r>
              <w:rPr>
                <w:lang w:val="zh-CN"/>
              </w:rPr>
              <w:t>最高允许</w:t>
            </w:r>
          </w:p>
          <w:p>
            <w:pPr>
              <w:pStyle w:val="92"/>
              <w:rPr>
                <w:lang w:val="zh-CN"/>
              </w:rPr>
            </w:pPr>
            <w:r>
              <w:rPr>
                <w:lang w:val="zh-CN"/>
              </w:rPr>
              <w:t>排放浓度</w:t>
            </w:r>
          </w:p>
          <w:p>
            <w:pPr>
              <w:pStyle w:val="92"/>
            </w:pPr>
            <w:r>
              <w:rPr>
                <w:lang w:val="zh-CN"/>
              </w:rPr>
              <w:t>（mg/m</w:t>
            </w:r>
            <w:r>
              <w:rPr>
                <w:vertAlign w:val="superscript"/>
                <w:lang w:val="zh-CN"/>
              </w:rPr>
              <w:t>3</w:t>
            </w:r>
            <w:r>
              <w:rPr>
                <w:lang w:val="zh-CN"/>
              </w:rPr>
              <w:t>）</w:t>
            </w:r>
          </w:p>
        </w:tc>
        <w:tc>
          <w:tcPr>
            <w:tcW w:w="1157" w:type="dxa"/>
            <w:shd w:val="clear" w:color="auto" w:fill="auto"/>
            <w:vAlign w:val="center"/>
          </w:tcPr>
          <w:p>
            <w:pPr>
              <w:pStyle w:val="92"/>
              <w:rPr>
                <w:lang w:val="zh-CN"/>
              </w:rPr>
            </w:pPr>
            <w:r>
              <w:rPr>
                <w:lang w:val="zh-CN"/>
              </w:rPr>
              <w:t>最高允许</w:t>
            </w:r>
          </w:p>
          <w:p>
            <w:pPr>
              <w:pStyle w:val="92"/>
            </w:pPr>
            <w:r>
              <w:rPr>
                <w:lang w:val="zh-CN"/>
              </w:rPr>
              <w:t>排放速率</w:t>
            </w:r>
            <w:r>
              <w:t>*</w:t>
            </w:r>
          </w:p>
          <w:p>
            <w:pPr>
              <w:pStyle w:val="92"/>
            </w:pPr>
            <w:r>
              <w:rPr>
                <w:lang w:val="zh-CN"/>
              </w:rPr>
              <w:t>（kg/h）</w:t>
            </w:r>
          </w:p>
        </w:tc>
        <w:tc>
          <w:tcPr>
            <w:tcW w:w="687" w:type="dxa"/>
            <w:vMerge w:val="continue"/>
            <w:shd w:val="clear" w:color="auto" w:fill="D7D7D7"/>
            <w:vAlign w:val="center"/>
          </w:tcPr>
          <w:p>
            <w:pPr>
              <w:pStyle w:val="92"/>
            </w:pPr>
          </w:p>
        </w:tc>
        <w:tc>
          <w:tcPr>
            <w:tcW w:w="1246" w:type="dxa"/>
            <w:vMerge w:val="continue"/>
            <w:shd w:val="clear" w:color="auto" w:fill="D7D7D7"/>
            <w:vAlign w:val="center"/>
          </w:tcPr>
          <w:p>
            <w:pPr>
              <w:pStyle w:val="92"/>
            </w:pPr>
          </w:p>
        </w:tc>
        <w:tc>
          <w:tcPr>
            <w:tcW w:w="2528" w:type="dxa"/>
            <w:vMerge w:val="continue"/>
            <w:tcBorders>
              <w:right w:val="single" w:color="auto" w:sz="12" w:space="0"/>
            </w:tcBorders>
            <w:shd w:val="clear" w:color="auto" w:fill="D7D7D7"/>
            <w:vAlign w:val="center"/>
          </w:tcPr>
          <w:p>
            <w:pPr>
              <w:pStyle w:val="9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442" w:type="dxa"/>
            <w:tcBorders>
              <w:top w:val="single" w:color="auto" w:sz="4" w:space="0"/>
              <w:left w:val="single" w:color="auto" w:sz="12" w:space="0"/>
            </w:tcBorders>
            <w:vAlign w:val="center"/>
          </w:tcPr>
          <w:p>
            <w:pPr>
              <w:pStyle w:val="92"/>
            </w:pPr>
            <w:r>
              <w:t>1</w:t>
            </w:r>
          </w:p>
        </w:tc>
        <w:tc>
          <w:tcPr>
            <w:tcW w:w="799" w:type="dxa"/>
            <w:tcBorders>
              <w:top w:val="single" w:color="auto" w:sz="4" w:space="0"/>
            </w:tcBorders>
            <w:vAlign w:val="center"/>
          </w:tcPr>
          <w:p>
            <w:pPr>
              <w:pStyle w:val="92"/>
            </w:pPr>
            <w:r>
              <w:rPr>
                <w:rFonts w:hint="eastAsia"/>
              </w:rPr>
              <w:t>破碎</w:t>
            </w:r>
            <w:r>
              <w:t>粉尘</w:t>
            </w:r>
          </w:p>
        </w:tc>
        <w:tc>
          <w:tcPr>
            <w:tcW w:w="937" w:type="dxa"/>
            <w:tcBorders>
              <w:top w:val="single" w:color="auto" w:sz="4" w:space="0"/>
            </w:tcBorders>
            <w:vAlign w:val="center"/>
          </w:tcPr>
          <w:p>
            <w:pPr>
              <w:pStyle w:val="92"/>
            </w:pPr>
            <w:r>
              <w:t>粉尘</w:t>
            </w:r>
          </w:p>
        </w:tc>
        <w:tc>
          <w:tcPr>
            <w:tcW w:w="1244" w:type="dxa"/>
            <w:tcBorders>
              <w:top w:val="single" w:color="auto" w:sz="4" w:space="0"/>
              <w:bottom w:val="single" w:color="auto" w:sz="4" w:space="0"/>
            </w:tcBorders>
            <w:vAlign w:val="center"/>
          </w:tcPr>
          <w:p>
            <w:pPr>
              <w:pStyle w:val="92"/>
            </w:pPr>
            <w:r>
              <w:t>120</w:t>
            </w:r>
          </w:p>
        </w:tc>
        <w:tc>
          <w:tcPr>
            <w:tcW w:w="1157" w:type="dxa"/>
            <w:tcBorders>
              <w:top w:val="single" w:color="auto" w:sz="4" w:space="0"/>
              <w:bottom w:val="single" w:color="auto" w:sz="4" w:space="0"/>
            </w:tcBorders>
            <w:vAlign w:val="center"/>
          </w:tcPr>
          <w:p>
            <w:pPr>
              <w:pStyle w:val="92"/>
            </w:pPr>
            <w:r>
              <w:t>3.5</w:t>
            </w:r>
          </w:p>
        </w:tc>
        <w:tc>
          <w:tcPr>
            <w:tcW w:w="687" w:type="dxa"/>
            <w:tcBorders>
              <w:top w:val="single" w:color="auto" w:sz="4" w:space="0"/>
            </w:tcBorders>
            <w:vAlign w:val="center"/>
          </w:tcPr>
          <w:p>
            <w:pPr>
              <w:pStyle w:val="92"/>
            </w:pPr>
            <w:r>
              <w:t>15</w:t>
            </w:r>
          </w:p>
        </w:tc>
        <w:tc>
          <w:tcPr>
            <w:tcW w:w="1246" w:type="dxa"/>
            <w:tcBorders>
              <w:top w:val="single" w:color="auto" w:sz="4" w:space="0"/>
            </w:tcBorders>
            <w:vAlign w:val="center"/>
          </w:tcPr>
          <w:p>
            <w:pPr>
              <w:pStyle w:val="92"/>
            </w:pPr>
            <w:r>
              <w:t>1.0</w:t>
            </w:r>
          </w:p>
        </w:tc>
        <w:tc>
          <w:tcPr>
            <w:tcW w:w="2528" w:type="dxa"/>
            <w:tcBorders>
              <w:top w:val="single" w:color="auto" w:sz="4" w:space="0"/>
              <w:right w:val="single" w:color="auto" w:sz="12" w:space="0"/>
            </w:tcBorders>
            <w:vAlign w:val="center"/>
          </w:tcPr>
          <w:p>
            <w:pPr>
              <w:pStyle w:val="92"/>
            </w:pPr>
            <w:r>
              <w:t>《大气污染物综合排放标准》（GB16297-1996）二级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442" w:type="dxa"/>
            <w:vMerge w:val="restart"/>
            <w:tcBorders>
              <w:left w:val="single" w:color="auto" w:sz="12" w:space="0"/>
            </w:tcBorders>
            <w:vAlign w:val="center"/>
          </w:tcPr>
          <w:p>
            <w:pPr>
              <w:pStyle w:val="92"/>
            </w:pPr>
            <w:r>
              <w:rPr>
                <w:rFonts w:hint="eastAsia"/>
              </w:rPr>
              <w:t>2</w:t>
            </w:r>
          </w:p>
        </w:tc>
        <w:tc>
          <w:tcPr>
            <w:tcW w:w="799" w:type="dxa"/>
            <w:vMerge w:val="restart"/>
            <w:vAlign w:val="center"/>
          </w:tcPr>
          <w:p>
            <w:pPr>
              <w:pStyle w:val="92"/>
            </w:pPr>
            <w:r>
              <w:t>锅炉</w:t>
            </w:r>
            <w:r>
              <w:rPr>
                <w:rFonts w:hint="eastAsia"/>
              </w:rPr>
              <w:t>废气</w:t>
            </w:r>
          </w:p>
        </w:tc>
        <w:tc>
          <w:tcPr>
            <w:tcW w:w="937" w:type="dxa"/>
            <w:vAlign w:val="center"/>
          </w:tcPr>
          <w:p>
            <w:pPr>
              <w:pStyle w:val="92"/>
            </w:pPr>
            <w:r>
              <w:t>SO</w:t>
            </w:r>
            <w:r>
              <w:rPr>
                <w:vertAlign w:val="subscript"/>
              </w:rPr>
              <w:t>2</w:t>
            </w:r>
          </w:p>
        </w:tc>
        <w:tc>
          <w:tcPr>
            <w:tcW w:w="1244" w:type="dxa"/>
            <w:vAlign w:val="center"/>
          </w:tcPr>
          <w:p>
            <w:pPr>
              <w:pStyle w:val="92"/>
            </w:pPr>
            <w:r>
              <w:t>20</w:t>
            </w:r>
          </w:p>
        </w:tc>
        <w:tc>
          <w:tcPr>
            <w:tcW w:w="1157" w:type="dxa"/>
            <w:vAlign w:val="center"/>
          </w:tcPr>
          <w:p>
            <w:pPr>
              <w:pStyle w:val="92"/>
            </w:pPr>
            <w:r>
              <w:t>/</w:t>
            </w:r>
          </w:p>
        </w:tc>
        <w:tc>
          <w:tcPr>
            <w:tcW w:w="687" w:type="dxa"/>
            <w:vMerge w:val="restart"/>
            <w:vAlign w:val="center"/>
          </w:tcPr>
          <w:p>
            <w:pPr>
              <w:pStyle w:val="92"/>
            </w:pPr>
            <w:r>
              <w:t>15</w:t>
            </w:r>
          </w:p>
        </w:tc>
        <w:tc>
          <w:tcPr>
            <w:tcW w:w="1246" w:type="dxa"/>
            <w:vAlign w:val="center"/>
          </w:tcPr>
          <w:p>
            <w:pPr>
              <w:pStyle w:val="92"/>
            </w:pPr>
            <w:r>
              <w:t>1.0</w:t>
            </w:r>
          </w:p>
        </w:tc>
        <w:tc>
          <w:tcPr>
            <w:tcW w:w="2528" w:type="dxa"/>
            <w:vMerge w:val="restart"/>
            <w:tcBorders>
              <w:right w:val="single" w:color="auto" w:sz="12" w:space="0"/>
            </w:tcBorders>
            <w:vAlign w:val="center"/>
          </w:tcPr>
          <w:p>
            <w:pPr>
              <w:pStyle w:val="92"/>
            </w:pPr>
            <w:r>
              <w:t>《锅炉大气污染物排放标准》（</w:t>
            </w:r>
            <w:r>
              <w:rPr>
                <w:lang w:val="zh-CN"/>
              </w:rPr>
              <w:t>DB61/1226-2018</w:t>
            </w: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442" w:type="dxa"/>
            <w:vMerge w:val="continue"/>
            <w:tcBorders>
              <w:left w:val="single" w:color="auto" w:sz="12" w:space="0"/>
            </w:tcBorders>
            <w:vAlign w:val="center"/>
          </w:tcPr>
          <w:p>
            <w:pPr>
              <w:pStyle w:val="92"/>
            </w:pPr>
          </w:p>
        </w:tc>
        <w:tc>
          <w:tcPr>
            <w:tcW w:w="799" w:type="dxa"/>
            <w:vMerge w:val="continue"/>
            <w:vAlign w:val="center"/>
          </w:tcPr>
          <w:p>
            <w:pPr>
              <w:pStyle w:val="92"/>
            </w:pPr>
          </w:p>
        </w:tc>
        <w:tc>
          <w:tcPr>
            <w:tcW w:w="937" w:type="dxa"/>
            <w:vAlign w:val="center"/>
          </w:tcPr>
          <w:p>
            <w:pPr>
              <w:pStyle w:val="92"/>
            </w:pPr>
            <w:r>
              <w:t>颗粒物</w:t>
            </w:r>
          </w:p>
        </w:tc>
        <w:tc>
          <w:tcPr>
            <w:tcW w:w="1244" w:type="dxa"/>
            <w:vAlign w:val="center"/>
          </w:tcPr>
          <w:p>
            <w:pPr>
              <w:pStyle w:val="92"/>
            </w:pPr>
            <w:r>
              <w:t>10</w:t>
            </w:r>
          </w:p>
        </w:tc>
        <w:tc>
          <w:tcPr>
            <w:tcW w:w="1157" w:type="dxa"/>
            <w:vAlign w:val="center"/>
          </w:tcPr>
          <w:p>
            <w:pPr>
              <w:pStyle w:val="92"/>
            </w:pPr>
            <w:r>
              <w:t>/</w:t>
            </w:r>
          </w:p>
        </w:tc>
        <w:tc>
          <w:tcPr>
            <w:tcW w:w="687" w:type="dxa"/>
            <w:vMerge w:val="continue"/>
            <w:vAlign w:val="center"/>
          </w:tcPr>
          <w:p>
            <w:pPr>
              <w:pStyle w:val="92"/>
            </w:pPr>
          </w:p>
        </w:tc>
        <w:tc>
          <w:tcPr>
            <w:tcW w:w="1246" w:type="dxa"/>
            <w:vAlign w:val="center"/>
          </w:tcPr>
          <w:p>
            <w:pPr>
              <w:pStyle w:val="92"/>
            </w:pPr>
            <w:r>
              <w:t>0.4</w:t>
            </w:r>
          </w:p>
        </w:tc>
        <w:tc>
          <w:tcPr>
            <w:tcW w:w="2528" w:type="dxa"/>
            <w:vMerge w:val="continue"/>
            <w:tcBorders>
              <w:right w:val="single" w:color="auto" w:sz="12" w:space="0"/>
            </w:tcBorders>
            <w:vAlign w:val="center"/>
          </w:tcPr>
          <w:p>
            <w:pPr>
              <w:pStyle w:val="9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442" w:type="dxa"/>
            <w:vMerge w:val="continue"/>
            <w:tcBorders>
              <w:left w:val="single" w:color="auto" w:sz="12" w:space="0"/>
            </w:tcBorders>
            <w:vAlign w:val="center"/>
          </w:tcPr>
          <w:p>
            <w:pPr>
              <w:pStyle w:val="92"/>
            </w:pPr>
          </w:p>
        </w:tc>
        <w:tc>
          <w:tcPr>
            <w:tcW w:w="799" w:type="dxa"/>
            <w:vMerge w:val="continue"/>
            <w:vAlign w:val="center"/>
          </w:tcPr>
          <w:p>
            <w:pPr>
              <w:pStyle w:val="92"/>
            </w:pPr>
          </w:p>
        </w:tc>
        <w:tc>
          <w:tcPr>
            <w:tcW w:w="937" w:type="dxa"/>
            <w:vAlign w:val="center"/>
          </w:tcPr>
          <w:p>
            <w:pPr>
              <w:pStyle w:val="92"/>
            </w:pPr>
            <w:r>
              <w:t>NO</w:t>
            </w:r>
            <w:r>
              <w:rPr>
                <w:vertAlign w:val="subscript"/>
              </w:rPr>
              <w:t>X</w:t>
            </w:r>
          </w:p>
        </w:tc>
        <w:tc>
          <w:tcPr>
            <w:tcW w:w="1244" w:type="dxa"/>
            <w:vAlign w:val="center"/>
          </w:tcPr>
          <w:p>
            <w:pPr>
              <w:pStyle w:val="92"/>
            </w:pPr>
            <w:r>
              <w:t>50</w:t>
            </w:r>
          </w:p>
        </w:tc>
        <w:tc>
          <w:tcPr>
            <w:tcW w:w="1157" w:type="dxa"/>
            <w:vAlign w:val="center"/>
          </w:tcPr>
          <w:p>
            <w:pPr>
              <w:pStyle w:val="92"/>
            </w:pPr>
            <w:r>
              <w:t>/</w:t>
            </w:r>
          </w:p>
        </w:tc>
        <w:tc>
          <w:tcPr>
            <w:tcW w:w="687" w:type="dxa"/>
            <w:vMerge w:val="continue"/>
            <w:vAlign w:val="center"/>
          </w:tcPr>
          <w:p>
            <w:pPr>
              <w:pStyle w:val="92"/>
            </w:pPr>
          </w:p>
        </w:tc>
        <w:tc>
          <w:tcPr>
            <w:tcW w:w="1246" w:type="dxa"/>
            <w:vAlign w:val="center"/>
          </w:tcPr>
          <w:p>
            <w:pPr>
              <w:pStyle w:val="92"/>
            </w:pPr>
            <w:r>
              <w:t>0.12</w:t>
            </w:r>
          </w:p>
        </w:tc>
        <w:tc>
          <w:tcPr>
            <w:tcW w:w="2528" w:type="dxa"/>
            <w:vMerge w:val="continue"/>
            <w:tcBorders>
              <w:right w:val="single" w:color="auto" w:sz="12" w:space="0"/>
            </w:tcBorders>
            <w:vAlign w:val="center"/>
          </w:tcPr>
          <w:p>
            <w:pPr>
              <w:pStyle w:val="9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442" w:type="dxa"/>
            <w:vMerge w:val="restart"/>
            <w:tcBorders>
              <w:left w:val="single" w:color="auto" w:sz="12" w:space="0"/>
            </w:tcBorders>
            <w:vAlign w:val="center"/>
          </w:tcPr>
          <w:p>
            <w:pPr>
              <w:pStyle w:val="92"/>
            </w:pPr>
            <w:r>
              <w:rPr>
                <w:rFonts w:hint="eastAsia"/>
              </w:rPr>
              <w:t>3</w:t>
            </w:r>
          </w:p>
        </w:tc>
        <w:tc>
          <w:tcPr>
            <w:tcW w:w="799" w:type="dxa"/>
            <w:vMerge w:val="restart"/>
            <w:vAlign w:val="center"/>
          </w:tcPr>
          <w:p>
            <w:pPr>
              <w:pStyle w:val="92"/>
            </w:pPr>
            <w:r>
              <w:rPr>
                <w:rFonts w:hint="eastAsia"/>
              </w:rPr>
              <w:t>甲醇提取排气</w:t>
            </w:r>
            <w:r>
              <w:t>筒P</w:t>
            </w:r>
          </w:p>
        </w:tc>
        <w:tc>
          <w:tcPr>
            <w:tcW w:w="937" w:type="dxa"/>
            <w:vAlign w:val="center"/>
          </w:tcPr>
          <w:p>
            <w:pPr>
              <w:pStyle w:val="92"/>
            </w:pPr>
            <w:r>
              <w:rPr>
                <w:rFonts w:hint="eastAsia"/>
              </w:rPr>
              <w:t>甲醇</w:t>
            </w:r>
          </w:p>
        </w:tc>
        <w:tc>
          <w:tcPr>
            <w:tcW w:w="1244" w:type="dxa"/>
            <w:vAlign w:val="center"/>
          </w:tcPr>
          <w:p>
            <w:pPr>
              <w:pStyle w:val="92"/>
            </w:pPr>
            <w:r>
              <w:rPr>
                <w:rFonts w:hint="eastAsia"/>
              </w:rPr>
              <w:t>60</w:t>
            </w:r>
          </w:p>
        </w:tc>
        <w:tc>
          <w:tcPr>
            <w:tcW w:w="1157" w:type="dxa"/>
            <w:vAlign w:val="center"/>
          </w:tcPr>
          <w:p>
            <w:pPr>
              <w:pStyle w:val="92"/>
            </w:pPr>
            <w:r>
              <w:rPr>
                <w:rFonts w:hint="eastAsia"/>
              </w:rPr>
              <w:t>/</w:t>
            </w:r>
          </w:p>
        </w:tc>
        <w:tc>
          <w:tcPr>
            <w:tcW w:w="687" w:type="dxa"/>
            <w:vAlign w:val="center"/>
          </w:tcPr>
          <w:p>
            <w:pPr>
              <w:pStyle w:val="92"/>
            </w:pPr>
            <w:r>
              <w:rPr>
                <w:rFonts w:hint="eastAsia"/>
              </w:rPr>
              <w:t>/</w:t>
            </w:r>
          </w:p>
        </w:tc>
        <w:tc>
          <w:tcPr>
            <w:tcW w:w="1246" w:type="dxa"/>
            <w:vAlign w:val="center"/>
          </w:tcPr>
          <w:p>
            <w:pPr>
              <w:pStyle w:val="92"/>
            </w:pPr>
            <w:r>
              <w:rPr>
                <w:rFonts w:hint="eastAsia"/>
              </w:rPr>
              <w:t>/</w:t>
            </w:r>
          </w:p>
        </w:tc>
        <w:tc>
          <w:tcPr>
            <w:tcW w:w="2528" w:type="dxa"/>
            <w:vMerge w:val="restart"/>
            <w:tcBorders>
              <w:right w:val="single" w:color="auto" w:sz="12" w:space="0"/>
            </w:tcBorders>
            <w:vAlign w:val="center"/>
          </w:tcPr>
          <w:p>
            <w:pPr>
              <w:pStyle w:val="92"/>
            </w:pPr>
            <w:r>
              <w:rPr>
                <w:rFonts w:hint="eastAsia"/>
              </w:rPr>
              <w:t>《挥发性</w:t>
            </w:r>
            <w:r>
              <w:t>有机物排放控制标准</w:t>
            </w:r>
            <w:r>
              <w:rPr>
                <w:rFonts w:hint="eastAsia"/>
              </w:rPr>
              <w:t>》（DB</w:t>
            </w:r>
            <w:r>
              <w:t>61/T 1061-2017</w:t>
            </w:r>
            <w:r>
              <w:rPr>
                <w:rFonts w:hint="eastAsia"/>
              </w:rPr>
              <w:t>）中</w:t>
            </w:r>
            <w:r>
              <w:t>医药</w:t>
            </w:r>
            <w:r>
              <w:rPr>
                <w:rFonts w:hint="eastAsia"/>
              </w:rPr>
              <w:t>制造</w:t>
            </w:r>
            <w:r>
              <w:t>行业标准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23" w:hRule="atLeast"/>
          <w:jc w:val="center"/>
        </w:trPr>
        <w:tc>
          <w:tcPr>
            <w:tcW w:w="442" w:type="dxa"/>
            <w:vMerge w:val="continue"/>
            <w:tcBorders>
              <w:left w:val="single" w:color="auto" w:sz="12" w:space="0"/>
            </w:tcBorders>
            <w:vAlign w:val="center"/>
          </w:tcPr>
          <w:p>
            <w:pPr>
              <w:pStyle w:val="92"/>
            </w:pPr>
          </w:p>
        </w:tc>
        <w:tc>
          <w:tcPr>
            <w:tcW w:w="799" w:type="dxa"/>
            <w:vMerge w:val="continue"/>
            <w:vAlign w:val="center"/>
          </w:tcPr>
          <w:p>
            <w:pPr>
              <w:pStyle w:val="92"/>
            </w:pPr>
          </w:p>
        </w:tc>
        <w:tc>
          <w:tcPr>
            <w:tcW w:w="937" w:type="dxa"/>
            <w:vAlign w:val="center"/>
          </w:tcPr>
          <w:p>
            <w:pPr>
              <w:pStyle w:val="92"/>
            </w:pPr>
            <w:r>
              <w:rPr>
                <w:rFonts w:hint="eastAsia"/>
              </w:rPr>
              <w:t>非甲烷</w:t>
            </w:r>
            <w:r>
              <w:t>总烃</w:t>
            </w:r>
          </w:p>
        </w:tc>
        <w:tc>
          <w:tcPr>
            <w:tcW w:w="1244" w:type="dxa"/>
            <w:vAlign w:val="center"/>
          </w:tcPr>
          <w:p>
            <w:pPr>
              <w:pStyle w:val="92"/>
            </w:pPr>
            <w:r>
              <w:rPr>
                <w:rFonts w:hint="eastAsia"/>
              </w:rPr>
              <w:t>80</w:t>
            </w:r>
          </w:p>
        </w:tc>
        <w:tc>
          <w:tcPr>
            <w:tcW w:w="3090" w:type="dxa"/>
            <w:gridSpan w:val="3"/>
            <w:vAlign w:val="center"/>
          </w:tcPr>
          <w:p>
            <w:pPr>
              <w:pStyle w:val="92"/>
            </w:pPr>
            <w:r>
              <w:rPr>
                <w:rFonts w:hint="eastAsia"/>
              </w:rPr>
              <w:t>最低</w:t>
            </w:r>
            <w:r>
              <w:t>去除</w:t>
            </w:r>
            <w:r>
              <w:rPr>
                <w:rFonts w:hint="eastAsia"/>
              </w:rPr>
              <w:t>效率80</w:t>
            </w:r>
            <w:r>
              <w:t>%，</w:t>
            </w:r>
            <w:r>
              <w:rPr>
                <w:rFonts w:hint="eastAsia"/>
              </w:rPr>
              <w:t>排放</w:t>
            </w:r>
            <w:r>
              <w:t>速率满足</w:t>
            </w:r>
            <w:r>
              <w:rPr>
                <w:rFonts w:hint="eastAsia"/>
              </w:rPr>
              <w:t>1.5</w:t>
            </w:r>
            <w:r>
              <w:t>kg/h时，等同于满足最低去除率要求</w:t>
            </w:r>
          </w:p>
        </w:tc>
        <w:tc>
          <w:tcPr>
            <w:tcW w:w="2528" w:type="dxa"/>
            <w:vMerge w:val="continue"/>
            <w:tcBorders>
              <w:right w:val="single" w:color="auto" w:sz="12" w:space="0"/>
            </w:tcBorders>
            <w:vAlign w:val="center"/>
          </w:tcPr>
          <w:p>
            <w:pPr>
              <w:pStyle w:val="9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6" w:hRule="atLeast"/>
          <w:jc w:val="center"/>
        </w:trPr>
        <w:tc>
          <w:tcPr>
            <w:tcW w:w="442" w:type="dxa"/>
            <w:vMerge w:val="restart"/>
            <w:tcBorders>
              <w:left w:val="single" w:color="auto" w:sz="12" w:space="0"/>
            </w:tcBorders>
            <w:vAlign w:val="center"/>
          </w:tcPr>
          <w:p>
            <w:pPr>
              <w:pStyle w:val="92"/>
            </w:pPr>
            <w:r>
              <w:rPr>
                <w:rFonts w:hint="eastAsia"/>
              </w:rPr>
              <w:t>4</w:t>
            </w:r>
          </w:p>
        </w:tc>
        <w:tc>
          <w:tcPr>
            <w:tcW w:w="799" w:type="dxa"/>
            <w:vMerge w:val="restart"/>
            <w:vAlign w:val="center"/>
          </w:tcPr>
          <w:p>
            <w:pPr>
              <w:pStyle w:val="92"/>
            </w:pPr>
            <w:r>
              <w:t>无组织</w:t>
            </w:r>
          </w:p>
        </w:tc>
        <w:tc>
          <w:tcPr>
            <w:tcW w:w="937" w:type="dxa"/>
            <w:vAlign w:val="center"/>
          </w:tcPr>
          <w:p>
            <w:pPr>
              <w:pStyle w:val="92"/>
            </w:pPr>
            <w:r>
              <w:t>甲醇</w:t>
            </w:r>
          </w:p>
        </w:tc>
        <w:tc>
          <w:tcPr>
            <w:tcW w:w="1244" w:type="dxa"/>
            <w:vAlign w:val="center"/>
          </w:tcPr>
          <w:p>
            <w:pPr>
              <w:pStyle w:val="92"/>
            </w:pPr>
            <w:r>
              <w:t>/</w:t>
            </w:r>
          </w:p>
        </w:tc>
        <w:tc>
          <w:tcPr>
            <w:tcW w:w="1157" w:type="dxa"/>
            <w:vAlign w:val="center"/>
          </w:tcPr>
          <w:p>
            <w:pPr>
              <w:pStyle w:val="92"/>
            </w:pPr>
            <w:r>
              <w:t>/</w:t>
            </w:r>
          </w:p>
        </w:tc>
        <w:tc>
          <w:tcPr>
            <w:tcW w:w="687" w:type="dxa"/>
            <w:vAlign w:val="center"/>
          </w:tcPr>
          <w:p>
            <w:pPr>
              <w:pStyle w:val="92"/>
            </w:pPr>
            <w:r>
              <w:t>/</w:t>
            </w:r>
          </w:p>
        </w:tc>
        <w:tc>
          <w:tcPr>
            <w:tcW w:w="1246" w:type="dxa"/>
            <w:vAlign w:val="center"/>
          </w:tcPr>
          <w:p>
            <w:pPr>
              <w:pStyle w:val="92"/>
            </w:pPr>
            <w:r>
              <w:t>12</w:t>
            </w:r>
          </w:p>
        </w:tc>
        <w:tc>
          <w:tcPr>
            <w:tcW w:w="2528" w:type="dxa"/>
            <w:vMerge w:val="restart"/>
            <w:tcBorders>
              <w:right w:val="single" w:color="auto" w:sz="12" w:space="0"/>
            </w:tcBorders>
            <w:vAlign w:val="center"/>
          </w:tcPr>
          <w:p>
            <w:pPr>
              <w:pStyle w:val="92"/>
            </w:pPr>
            <w:r>
              <w:t>《大气污染物综合排放标准》（GB16297-1996）二级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6" w:hRule="atLeast"/>
          <w:jc w:val="center"/>
        </w:trPr>
        <w:tc>
          <w:tcPr>
            <w:tcW w:w="442" w:type="dxa"/>
            <w:vMerge w:val="continue"/>
            <w:tcBorders>
              <w:left w:val="single" w:color="auto" w:sz="12" w:space="0"/>
            </w:tcBorders>
            <w:vAlign w:val="center"/>
          </w:tcPr>
          <w:p>
            <w:pPr>
              <w:pStyle w:val="92"/>
            </w:pPr>
          </w:p>
        </w:tc>
        <w:tc>
          <w:tcPr>
            <w:tcW w:w="799" w:type="dxa"/>
            <w:vMerge w:val="continue"/>
            <w:vAlign w:val="center"/>
          </w:tcPr>
          <w:p>
            <w:pPr>
              <w:pStyle w:val="92"/>
            </w:pPr>
          </w:p>
        </w:tc>
        <w:tc>
          <w:tcPr>
            <w:tcW w:w="937" w:type="dxa"/>
            <w:vAlign w:val="center"/>
          </w:tcPr>
          <w:p>
            <w:pPr>
              <w:pStyle w:val="92"/>
            </w:pPr>
            <w:r>
              <w:rPr>
                <w:rFonts w:hint="eastAsia"/>
              </w:rPr>
              <w:t>非甲烷</w:t>
            </w:r>
            <w:r>
              <w:t>总烃</w:t>
            </w:r>
          </w:p>
        </w:tc>
        <w:tc>
          <w:tcPr>
            <w:tcW w:w="1244" w:type="dxa"/>
            <w:vAlign w:val="center"/>
          </w:tcPr>
          <w:p>
            <w:pPr>
              <w:pStyle w:val="92"/>
            </w:pPr>
            <w:r>
              <w:rPr>
                <w:rFonts w:hint="eastAsia"/>
              </w:rPr>
              <w:t>/</w:t>
            </w:r>
          </w:p>
        </w:tc>
        <w:tc>
          <w:tcPr>
            <w:tcW w:w="1157" w:type="dxa"/>
            <w:vAlign w:val="center"/>
          </w:tcPr>
          <w:p>
            <w:pPr>
              <w:pStyle w:val="92"/>
            </w:pPr>
            <w:r>
              <w:rPr>
                <w:rFonts w:hint="eastAsia"/>
              </w:rPr>
              <w:t>/</w:t>
            </w:r>
          </w:p>
        </w:tc>
        <w:tc>
          <w:tcPr>
            <w:tcW w:w="687" w:type="dxa"/>
            <w:vAlign w:val="center"/>
          </w:tcPr>
          <w:p>
            <w:pPr>
              <w:pStyle w:val="92"/>
            </w:pPr>
            <w:r>
              <w:rPr>
                <w:rFonts w:hint="eastAsia"/>
              </w:rPr>
              <w:t>/</w:t>
            </w:r>
          </w:p>
        </w:tc>
        <w:tc>
          <w:tcPr>
            <w:tcW w:w="1246" w:type="dxa"/>
            <w:vAlign w:val="center"/>
          </w:tcPr>
          <w:p>
            <w:pPr>
              <w:pStyle w:val="92"/>
            </w:pPr>
            <w:r>
              <w:rPr>
                <w:rFonts w:hint="eastAsia"/>
              </w:rPr>
              <w:t>4.0</w:t>
            </w:r>
          </w:p>
        </w:tc>
        <w:tc>
          <w:tcPr>
            <w:tcW w:w="2528" w:type="dxa"/>
            <w:vMerge w:val="continue"/>
            <w:tcBorders>
              <w:right w:val="single" w:color="auto" w:sz="12" w:space="0"/>
            </w:tcBorders>
            <w:vAlign w:val="center"/>
          </w:tcPr>
          <w:p>
            <w:pPr>
              <w:pStyle w:val="9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66" w:hRule="atLeast"/>
          <w:jc w:val="center"/>
        </w:trPr>
        <w:tc>
          <w:tcPr>
            <w:tcW w:w="442" w:type="dxa"/>
            <w:tcBorders>
              <w:left w:val="single" w:color="auto" w:sz="12" w:space="0"/>
              <w:bottom w:val="single" w:color="auto" w:sz="12" w:space="0"/>
            </w:tcBorders>
            <w:vAlign w:val="center"/>
          </w:tcPr>
          <w:p>
            <w:pPr>
              <w:pStyle w:val="92"/>
            </w:pPr>
            <w:r>
              <w:rPr>
                <w:rFonts w:hint="eastAsia"/>
              </w:rPr>
              <w:t>5</w:t>
            </w:r>
          </w:p>
        </w:tc>
        <w:tc>
          <w:tcPr>
            <w:tcW w:w="799" w:type="dxa"/>
            <w:tcBorders>
              <w:bottom w:val="single" w:color="auto" w:sz="12" w:space="0"/>
            </w:tcBorders>
            <w:vAlign w:val="center"/>
          </w:tcPr>
          <w:p>
            <w:pPr>
              <w:pStyle w:val="92"/>
            </w:pPr>
            <w:r>
              <w:t>厂内无组织</w:t>
            </w:r>
          </w:p>
        </w:tc>
        <w:tc>
          <w:tcPr>
            <w:tcW w:w="937" w:type="dxa"/>
            <w:tcBorders>
              <w:bottom w:val="single" w:color="auto" w:sz="12" w:space="0"/>
            </w:tcBorders>
            <w:vAlign w:val="center"/>
          </w:tcPr>
          <w:p>
            <w:pPr>
              <w:pStyle w:val="92"/>
            </w:pPr>
            <w:r>
              <w:t>NMHC</w:t>
            </w:r>
          </w:p>
        </w:tc>
        <w:tc>
          <w:tcPr>
            <w:tcW w:w="4334" w:type="dxa"/>
            <w:gridSpan w:val="4"/>
            <w:tcBorders>
              <w:bottom w:val="single" w:color="auto" w:sz="12" w:space="0"/>
            </w:tcBorders>
            <w:vAlign w:val="center"/>
          </w:tcPr>
          <w:p>
            <w:pPr>
              <w:pStyle w:val="92"/>
            </w:pPr>
            <w:r>
              <w:t>10（厂房外1h平均浓度）</w:t>
            </w:r>
          </w:p>
        </w:tc>
        <w:tc>
          <w:tcPr>
            <w:tcW w:w="2528" w:type="dxa"/>
            <w:tcBorders>
              <w:bottom w:val="single" w:color="auto" w:sz="12" w:space="0"/>
              <w:right w:val="single" w:color="auto" w:sz="12" w:space="0"/>
            </w:tcBorders>
            <w:vAlign w:val="center"/>
          </w:tcPr>
          <w:p>
            <w:pPr>
              <w:pStyle w:val="92"/>
            </w:pPr>
            <w:r>
              <w:t>《挥发性有机物无组织排放控制标准》（GB37822-2019）</w:t>
            </w:r>
          </w:p>
        </w:tc>
      </w:tr>
    </w:tbl>
    <w:p>
      <w:pPr>
        <w:pStyle w:val="5"/>
      </w:pPr>
      <w:r>
        <w:rPr>
          <w:rFonts w:hint="eastAsia"/>
        </w:rPr>
        <w:t>废水</w:t>
      </w:r>
    </w:p>
    <w:p>
      <w:pPr>
        <w:ind w:firstLine="480"/>
      </w:pPr>
      <w:r>
        <w:rPr>
          <w:rFonts w:hint="eastAsia"/>
        </w:rPr>
        <w:t>项目营运期厂区内雨污分流。生产</w:t>
      </w:r>
      <w:r>
        <w:t>过程中的冷却水循环使用不外排，</w:t>
      </w:r>
      <w:r>
        <w:rPr>
          <w:rFonts w:hint="eastAsia"/>
        </w:rPr>
        <w:t>锅炉排污水</w:t>
      </w:r>
      <w:r>
        <w:t>和软水</w:t>
      </w:r>
      <w:r>
        <w:rPr>
          <w:rFonts w:hint="eastAsia"/>
        </w:rPr>
        <w:t>制备</w:t>
      </w:r>
      <w:r>
        <w:t>系统废水</w:t>
      </w:r>
      <w:r>
        <w:rPr>
          <w:rFonts w:hint="eastAsia"/>
        </w:rPr>
        <w:t>进入</w:t>
      </w:r>
      <w:r>
        <w:t>雨水</w:t>
      </w:r>
      <w:r>
        <w:rPr>
          <w:rFonts w:hint="eastAsia"/>
        </w:rPr>
        <w:t>管网</w:t>
      </w:r>
      <w:r>
        <w:t>，</w:t>
      </w:r>
      <w:r>
        <w:rPr>
          <w:rFonts w:hint="eastAsia"/>
        </w:rPr>
        <w:t>生活污水经化粪池处理后经</w:t>
      </w:r>
      <w:r>
        <w:t>市政管网排入吕河镇镇区污水处理厂处理</w:t>
      </w:r>
      <w:r>
        <w:rPr>
          <w:rFonts w:hint="eastAsia"/>
        </w:rPr>
        <w:t>，</w:t>
      </w:r>
      <w:r>
        <w:t>废水</w:t>
      </w:r>
      <w:r>
        <w:rPr>
          <w:rFonts w:hint="eastAsia"/>
        </w:rPr>
        <w:t>排放</w:t>
      </w:r>
      <w:r>
        <w:t>执行</w:t>
      </w:r>
      <w:r>
        <w:rPr>
          <w:rFonts w:hint="eastAsia"/>
        </w:rPr>
        <w:t>《污水综合排放标准》（GB8978-1996）表4中三级标准及《污水排入城镇下水道水质标准》（GB/T 31962-2015）表1中B级标准</w:t>
      </w:r>
      <w:r>
        <w:t>，具体</w:t>
      </w:r>
      <w:r>
        <w:rPr>
          <w:rFonts w:hint="eastAsia"/>
        </w:rPr>
        <w:t>见</w:t>
      </w:r>
      <w:r>
        <w:fldChar w:fldCharType="begin"/>
      </w:r>
      <w:r>
        <w:instrText xml:space="preserve"> </w:instrText>
      </w:r>
      <w:r>
        <w:rPr>
          <w:rFonts w:hint="eastAsia"/>
        </w:rPr>
        <w:instrText xml:space="preserve">REF _Ref36131192 \h</w:instrText>
      </w:r>
      <w:r>
        <w:instrText xml:space="preserve">  \* MERGEFORMAT </w:instrText>
      </w:r>
      <w:r>
        <w:fldChar w:fldCharType="separate"/>
      </w:r>
      <w:r>
        <w:rPr>
          <w:rFonts w:hint="eastAsia" w:ascii="宋体" w:hAnsi="宋体" w:cs="宋体"/>
        </w:rPr>
        <w:t>表</w:t>
      </w:r>
      <w:r>
        <w:rPr>
          <w:rFonts w:hint="eastAsia"/>
        </w:rPr>
        <w:t xml:space="preserve"> </w:t>
      </w:r>
      <w:r>
        <w:t>2.4</w:t>
      </w:r>
      <w:r>
        <w:noBreakHyphen/>
      </w:r>
      <w:r>
        <w:t>6</w:t>
      </w:r>
      <w:r>
        <w:fldChar w:fldCharType="end"/>
      </w:r>
      <w:r>
        <w:rPr>
          <w:rFonts w:hint="eastAsia"/>
        </w:rPr>
        <w:t>。</w:t>
      </w:r>
    </w:p>
    <w:p>
      <w:pPr>
        <w:pStyle w:val="49"/>
        <w:rPr>
          <w:rFonts w:ascii="宋体" w:hAnsi="宋体" w:eastAsia="宋体" w:cs="宋体"/>
        </w:rPr>
      </w:pPr>
      <w:bookmarkStart w:id="30" w:name="_Ref36131192"/>
      <w:r>
        <w:rPr>
          <w:rFonts w:hint="eastAsia" w:ascii="宋体" w:hAnsi="宋体" w:eastAsia="宋体" w:cs="宋体"/>
        </w:rPr>
        <w:t>表</w:t>
      </w:r>
      <w:r>
        <w:rPr>
          <w:rFonts w:hint="eastAsia"/>
        </w:rPr>
        <w:t xml:space="preserve"> </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bookmarkEnd w:id="30"/>
      <w:r>
        <w:t xml:space="preserve">  </w:t>
      </w:r>
      <w:r>
        <w:rPr>
          <w:rFonts w:hint="eastAsia" w:ascii="宋体" w:hAnsi="宋体" w:eastAsia="宋体" w:cs="宋体"/>
        </w:rPr>
        <w:t>生活</w:t>
      </w:r>
      <w:r>
        <w:rPr>
          <w:rFonts w:ascii="宋体" w:hAnsi="宋体" w:eastAsia="宋体" w:cs="宋体"/>
        </w:rPr>
        <w:t>污水排放</w:t>
      </w:r>
      <w:r>
        <w:rPr>
          <w:rFonts w:hint="eastAsia" w:ascii="宋体" w:hAnsi="宋体" w:eastAsia="宋体" w:cs="宋体"/>
        </w:rPr>
        <w:t>标准</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1325"/>
        <w:gridCol w:w="1325"/>
        <w:gridCol w:w="4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pStyle w:val="48"/>
              <w:ind w:left="115" w:right="170"/>
            </w:pPr>
            <w:r>
              <w:rPr>
                <w:rFonts w:hint="eastAsia"/>
              </w:rPr>
              <w:t>污染因子</w:t>
            </w:r>
          </w:p>
        </w:tc>
        <w:tc>
          <w:tcPr>
            <w:tcW w:w="1325" w:type="dxa"/>
            <w:vAlign w:val="center"/>
          </w:tcPr>
          <w:p>
            <w:pPr>
              <w:pStyle w:val="48"/>
              <w:ind w:left="115" w:right="170"/>
            </w:pPr>
            <w:r>
              <w:rPr>
                <w:rFonts w:hint="eastAsia"/>
              </w:rPr>
              <w:t>单位</w:t>
            </w:r>
          </w:p>
        </w:tc>
        <w:tc>
          <w:tcPr>
            <w:tcW w:w="1325" w:type="dxa"/>
            <w:vAlign w:val="center"/>
          </w:tcPr>
          <w:p>
            <w:pPr>
              <w:pStyle w:val="48"/>
              <w:ind w:left="115" w:right="170"/>
            </w:pPr>
            <w:r>
              <w:rPr>
                <w:rFonts w:hint="eastAsia"/>
              </w:rPr>
              <w:t>标准</w:t>
            </w:r>
            <w:r>
              <w:t>值</w:t>
            </w:r>
          </w:p>
        </w:tc>
        <w:tc>
          <w:tcPr>
            <w:tcW w:w="4489" w:type="dxa"/>
            <w:vAlign w:val="center"/>
          </w:tcPr>
          <w:p>
            <w:pPr>
              <w:pStyle w:val="48"/>
              <w:ind w:left="115" w:right="170"/>
            </w:pPr>
            <w:r>
              <w:rPr>
                <w:rFonts w:hint="eastAsia"/>
              </w:rPr>
              <w:t>标准</w:t>
            </w:r>
            <w:r>
              <w:t>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pStyle w:val="48"/>
              <w:ind w:left="115" w:right="170"/>
            </w:pPr>
            <w:r>
              <w:rPr>
                <w:rFonts w:hint="eastAsia"/>
              </w:rPr>
              <w:t>pH</w:t>
            </w:r>
          </w:p>
        </w:tc>
        <w:tc>
          <w:tcPr>
            <w:tcW w:w="1325" w:type="dxa"/>
            <w:vAlign w:val="center"/>
          </w:tcPr>
          <w:p>
            <w:pPr>
              <w:pStyle w:val="48"/>
              <w:ind w:left="115" w:right="170"/>
              <w:rPr>
                <w:szCs w:val="21"/>
              </w:rPr>
            </w:pPr>
            <w:r>
              <w:rPr>
                <w:rFonts w:hint="eastAsia"/>
                <w:szCs w:val="21"/>
              </w:rPr>
              <w:t>无量纲</w:t>
            </w:r>
          </w:p>
        </w:tc>
        <w:tc>
          <w:tcPr>
            <w:tcW w:w="1325" w:type="dxa"/>
            <w:vAlign w:val="center"/>
          </w:tcPr>
          <w:p>
            <w:pPr>
              <w:pStyle w:val="48"/>
              <w:ind w:left="115" w:right="170"/>
              <w:rPr>
                <w:szCs w:val="21"/>
              </w:rPr>
            </w:pPr>
            <w:r>
              <w:rPr>
                <w:rFonts w:hint="eastAsia"/>
                <w:szCs w:val="21"/>
              </w:rPr>
              <w:t>6</w:t>
            </w:r>
            <w:r>
              <w:rPr>
                <w:szCs w:val="21"/>
              </w:rPr>
              <w:t>~9</w:t>
            </w:r>
          </w:p>
        </w:tc>
        <w:tc>
          <w:tcPr>
            <w:tcW w:w="4489" w:type="dxa"/>
            <w:vMerge w:val="restart"/>
            <w:vAlign w:val="center"/>
          </w:tcPr>
          <w:p>
            <w:pPr>
              <w:pStyle w:val="48"/>
              <w:ind w:left="115" w:right="170"/>
              <w:rPr>
                <w:szCs w:val="21"/>
              </w:rPr>
            </w:pPr>
            <w:r>
              <w:rPr>
                <w:rFonts w:hint="eastAsia"/>
                <w:szCs w:val="21"/>
              </w:rPr>
              <w:t>《污水综合排放标准》（GB8978-1996）表4中三级标准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pStyle w:val="48"/>
              <w:ind w:left="115" w:right="170"/>
            </w:pPr>
            <w:r>
              <w:rPr>
                <w:rFonts w:hint="eastAsia"/>
              </w:rPr>
              <w:t>COD</w:t>
            </w:r>
          </w:p>
        </w:tc>
        <w:tc>
          <w:tcPr>
            <w:tcW w:w="1325" w:type="dxa"/>
            <w:vAlign w:val="center"/>
          </w:tcPr>
          <w:p>
            <w:pPr>
              <w:pStyle w:val="48"/>
              <w:ind w:left="115" w:right="170"/>
              <w:rPr>
                <w:szCs w:val="21"/>
              </w:rPr>
            </w:pPr>
            <w:r>
              <w:rPr>
                <w:rFonts w:hint="eastAsia"/>
                <w:szCs w:val="21"/>
              </w:rPr>
              <w:t>mg/L</w:t>
            </w:r>
          </w:p>
        </w:tc>
        <w:tc>
          <w:tcPr>
            <w:tcW w:w="1325" w:type="dxa"/>
            <w:vAlign w:val="center"/>
          </w:tcPr>
          <w:p>
            <w:pPr>
              <w:pStyle w:val="48"/>
              <w:ind w:left="115" w:right="170"/>
              <w:rPr>
                <w:szCs w:val="21"/>
              </w:rPr>
            </w:pPr>
            <w:r>
              <w:rPr>
                <w:rFonts w:hint="eastAsia"/>
                <w:szCs w:val="21"/>
              </w:rPr>
              <w:t>500</w:t>
            </w:r>
          </w:p>
        </w:tc>
        <w:tc>
          <w:tcPr>
            <w:tcW w:w="4489" w:type="dxa"/>
            <w:vMerge w:val="continue"/>
            <w:vAlign w:val="center"/>
          </w:tcPr>
          <w:p>
            <w:pPr>
              <w:pStyle w:val="48"/>
              <w:ind w:left="115" w:right="17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pStyle w:val="48"/>
              <w:ind w:left="115" w:right="170"/>
            </w:pPr>
            <w:r>
              <w:rPr>
                <w:rFonts w:hint="eastAsia"/>
              </w:rPr>
              <w:t>BOD</w:t>
            </w:r>
            <w:r>
              <w:t>5</w:t>
            </w:r>
          </w:p>
        </w:tc>
        <w:tc>
          <w:tcPr>
            <w:tcW w:w="1325" w:type="dxa"/>
            <w:vAlign w:val="center"/>
          </w:tcPr>
          <w:p>
            <w:pPr>
              <w:pStyle w:val="92"/>
            </w:pPr>
            <w:r>
              <w:rPr>
                <w:rFonts w:hint="eastAsia"/>
              </w:rPr>
              <w:t>mg/L</w:t>
            </w:r>
          </w:p>
        </w:tc>
        <w:tc>
          <w:tcPr>
            <w:tcW w:w="1325" w:type="dxa"/>
            <w:vAlign w:val="center"/>
          </w:tcPr>
          <w:p>
            <w:pPr>
              <w:pStyle w:val="48"/>
              <w:ind w:left="115" w:right="170"/>
              <w:rPr>
                <w:szCs w:val="21"/>
              </w:rPr>
            </w:pPr>
            <w:r>
              <w:rPr>
                <w:rFonts w:hint="eastAsia"/>
                <w:szCs w:val="21"/>
              </w:rPr>
              <w:t>300</w:t>
            </w:r>
          </w:p>
        </w:tc>
        <w:tc>
          <w:tcPr>
            <w:tcW w:w="4489" w:type="dxa"/>
            <w:vMerge w:val="continue"/>
            <w:vAlign w:val="center"/>
          </w:tcPr>
          <w:p>
            <w:pPr>
              <w:pStyle w:val="48"/>
              <w:ind w:left="115" w:right="17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pStyle w:val="48"/>
              <w:ind w:left="115" w:right="170"/>
            </w:pPr>
            <w:r>
              <w:t>SS</w:t>
            </w:r>
          </w:p>
        </w:tc>
        <w:tc>
          <w:tcPr>
            <w:tcW w:w="1325" w:type="dxa"/>
            <w:vAlign w:val="center"/>
          </w:tcPr>
          <w:p>
            <w:pPr>
              <w:pStyle w:val="92"/>
            </w:pPr>
            <w:r>
              <w:rPr>
                <w:rFonts w:hint="eastAsia"/>
              </w:rPr>
              <w:t>mg/L</w:t>
            </w:r>
          </w:p>
        </w:tc>
        <w:tc>
          <w:tcPr>
            <w:tcW w:w="1325" w:type="dxa"/>
            <w:vAlign w:val="center"/>
          </w:tcPr>
          <w:p>
            <w:pPr>
              <w:pStyle w:val="48"/>
              <w:ind w:left="115" w:right="170"/>
              <w:rPr>
                <w:szCs w:val="21"/>
              </w:rPr>
            </w:pPr>
            <w:r>
              <w:rPr>
                <w:rFonts w:hint="eastAsia"/>
                <w:szCs w:val="21"/>
              </w:rPr>
              <w:t>400</w:t>
            </w:r>
          </w:p>
        </w:tc>
        <w:tc>
          <w:tcPr>
            <w:tcW w:w="4489" w:type="dxa"/>
            <w:vMerge w:val="continue"/>
            <w:vAlign w:val="center"/>
          </w:tcPr>
          <w:p>
            <w:pPr>
              <w:pStyle w:val="48"/>
              <w:ind w:left="115" w:right="170"/>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901" w:type="dxa"/>
            <w:vAlign w:val="center"/>
          </w:tcPr>
          <w:p>
            <w:pPr>
              <w:pStyle w:val="48"/>
              <w:ind w:left="115" w:right="170"/>
            </w:pPr>
            <w:r>
              <w:rPr>
                <w:rFonts w:hint="eastAsia"/>
              </w:rPr>
              <w:t>NH</w:t>
            </w:r>
            <w:r>
              <w:rPr>
                <w:rFonts w:hint="eastAsia"/>
                <w:vertAlign w:val="subscript"/>
              </w:rPr>
              <w:t>3</w:t>
            </w:r>
            <w:r>
              <w:rPr>
                <w:rFonts w:hint="eastAsia"/>
              </w:rPr>
              <w:t>-N</w:t>
            </w:r>
          </w:p>
        </w:tc>
        <w:tc>
          <w:tcPr>
            <w:tcW w:w="1325" w:type="dxa"/>
            <w:vAlign w:val="center"/>
          </w:tcPr>
          <w:p>
            <w:pPr>
              <w:pStyle w:val="92"/>
            </w:pPr>
            <w:r>
              <w:rPr>
                <w:rFonts w:hint="eastAsia"/>
              </w:rPr>
              <w:t>mg/L</w:t>
            </w:r>
          </w:p>
        </w:tc>
        <w:tc>
          <w:tcPr>
            <w:tcW w:w="1325" w:type="dxa"/>
            <w:vAlign w:val="center"/>
          </w:tcPr>
          <w:p>
            <w:pPr>
              <w:pStyle w:val="48"/>
              <w:ind w:left="115" w:right="170"/>
              <w:rPr>
                <w:szCs w:val="21"/>
              </w:rPr>
            </w:pPr>
            <w:r>
              <w:rPr>
                <w:rFonts w:hint="eastAsia"/>
                <w:szCs w:val="21"/>
              </w:rPr>
              <w:t>45</w:t>
            </w:r>
          </w:p>
        </w:tc>
        <w:tc>
          <w:tcPr>
            <w:tcW w:w="4489" w:type="dxa"/>
            <w:vAlign w:val="center"/>
          </w:tcPr>
          <w:p>
            <w:pPr>
              <w:pStyle w:val="48"/>
              <w:ind w:left="115" w:right="170"/>
              <w:rPr>
                <w:szCs w:val="21"/>
              </w:rPr>
            </w:pPr>
            <w:r>
              <w:rPr>
                <w:rFonts w:hint="eastAsia"/>
                <w:szCs w:val="21"/>
              </w:rPr>
              <w:t>《污水排入城镇下水道水质标准》（GB/T 31962-2015）表1中B级标准</w:t>
            </w:r>
          </w:p>
        </w:tc>
      </w:tr>
    </w:tbl>
    <w:p>
      <w:pPr>
        <w:pStyle w:val="5"/>
      </w:pPr>
      <w:r>
        <w:t>噪声</w:t>
      </w:r>
    </w:p>
    <w:p>
      <w:pPr>
        <w:ind w:firstLine="480"/>
      </w:pPr>
      <w:r>
        <w:t>施工期</w:t>
      </w:r>
      <w:r>
        <w:rPr>
          <w:rFonts w:hint="eastAsia"/>
        </w:rPr>
        <w:t>噪声</w:t>
      </w:r>
      <w:r>
        <w:t>执行《建筑施工场界环境噪声排放标准》（GB12523-2011）限值，运营期厂界</w:t>
      </w:r>
      <w:r>
        <w:rPr>
          <w:rFonts w:hint="eastAsia"/>
        </w:rPr>
        <w:t>噪声</w:t>
      </w:r>
      <w:r>
        <w:t>执行《工业企业厂界环境噪声排放标准》（GB12348-2008）中3类区标准限值，</w:t>
      </w:r>
      <w:r>
        <w:rPr>
          <w:rFonts w:hint="eastAsia"/>
        </w:rPr>
        <w:t>敏感点</w:t>
      </w:r>
      <w:r>
        <w:t>执行</w:t>
      </w:r>
      <w:r>
        <w:rPr>
          <w:rFonts w:hint="eastAsia"/>
        </w:rPr>
        <w:t>2类</w:t>
      </w:r>
      <w:r>
        <w:t>区标准限值，具体见</w:t>
      </w:r>
      <w:r>
        <w:rPr>
          <w:rStyle w:val="88"/>
          <w:rFonts w:hint="eastAsia"/>
        </w:rPr>
        <w:t>表2.4-</w:t>
      </w:r>
      <w:r>
        <w:rPr>
          <w:rStyle w:val="88"/>
        </w:rPr>
        <w:t>7。</w:t>
      </w:r>
    </w:p>
    <w:p>
      <w:pPr>
        <w:pStyle w:val="49"/>
        <w:rPr>
          <w:rFonts w:hAnsi="Times New Roman" w:eastAsia="宋体"/>
        </w:rPr>
      </w:pPr>
      <w:bookmarkStart w:id="31" w:name="_Ref36131454"/>
      <w:r>
        <w:rPr>
          <w:rFonts w:ascii="宋体" w:hAnsi="宋体" w:eastAsia="宋体" w:cs="宋体"/>
        </w:rPr>
        <w:br w:type="column"/>
      </w:r>
      <w:r>
        <w:rPr>
          <w:rFonts w:hint="eastAsia" w:ascii="宋体" w:hAnsi="宋体" w:eastAsia="宋体" w:cs="宋体"/>
        </w:rPr>
        <w:t>表</w:t>
      </w:r>
      <w:r>
        <w:rPr>
          <w:rFonts w:hint="eastAsia"/>
        </w:rPr>
        <w:t xml:space="preserve"> </w:t>
      </w:r>
      <w:r>
        <w:fldChar w:fldCharType="begin"/>
      </w:r>
      <w:r>
        <w:instrText xml:space="preserve"> </w:instrText>
      </w:r>
      <w:r>
        <w:rPr>
          <w:rFonts w:hint="eastAsia"/>
        </w:rPr>
        <w:instrText xml:space="preserve">STYLEREF 2 \s</w:instrText>
      </w:r>
      <w:r>
        <w:instrText xml:space="preserve"> </w:instrText>
      </w:r>
      <w:r>
        <w:fldChar w:fldCharType="separate"/>
      </w:r>
      <w:r>
        <w:t>2.4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7</w:t>
      </w:r>
      <w:r>
        <w:fldChar w:fldCharType="end"/>
      </w:r>
      <w:bookmarkEnd w:id="31"/>
      <w:r>
        <w:rPr>
          <w:rFonts w:hAnsi="Times New Roman" w:eastAsia="宋体"/>
        </w:rPr>
        <w:t xml:space="preserve">  </w:t>
      </w:r>
      <w:r>
        <w:rPr>
          <w:rFonts w:hint="eastAsia" w:hAnsi="宋体" w:eastAsia="宋体"/>
        </w:rPr>
        <w:t>项目</w:t>
      </w:r>
      <w:r>
        <w:rPr>
          <w:rFonts w:hAnsi="宋体" w:eastAsia="宋体"/>
        </w:rPr>
        <w:t>噪声排放</w:t>
      </w:r>
      <w:r>
        <w:rPr>
          <w:rFonts w:hint="eastAsia" w:hAnsi="宋体" w:eastAsia="宋体"/>
        </w:rPr>
        <w:t>标准</w:t>
      </w:r>
      <w:r>
        <w:rPr>
          <w:rFonts w:hAnsi="宋体" w:eastAsia="宋体"/>
        </w:rPr>
        <w:t>限值</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8"/>
        <w:gridCol w:w="707"/>
        <w:gridCol w:w="1258"/>
        <w:gridCol w:w="1119"/>
        <w:gridCol w:w="891"/>
        <w:gridCol w:w="4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jc w:val="center"/>
        </w:trPr>
        <w:tc>
          <w:tcPr>
            <w:tcW w:w="628" w:type="dxa"/>
            <w:shd w:val="clear" w:color="auto" w:fill="auto"/>
            <w:vAlign w:val="center"/>
          </w:tcPr>
          <w:p>
            <w:pPr>
              <w:pStyle w:val="92"/>
            </w:pPr>
            <w:r>
              <w:t>序号</w:t>
            </w:r>
          </w:p>
        </w:tc>
        <w:tc>
          <w:tcPr>
            <w:tcW w:w="1965" w:type="dxa"/>
            <w:gridSpan w:val="2"/>
            <w:shd w:val="clear" w:color="auto" w:fill="auto"/>
            <w:vAlign w:val="center"/>
          </w:tcPr>
          <w:p>
            <w:pPr>
              <w:pStyle w:val="92"/>
            </w:pPr>
            <w:r>
              <w:rPr>
                <w:rFonts w:hint="eastAsia"/>
              </w:rPr>
              <w:t>时段</w:t>
            </w:r>
          </w:p>
        </w:tc>
        <w:tc>
          <w:tcPr>
            <w:tcW w:w="1119" w:type="dxa"/>
            <w:shd w:val="clear" w:color="auto" w:fill="auto"/>
            <w:vAlign w:val="center"/>
          </w:tcPr>
          <w:p>
            <w:pPr>
              <w:pStyle w:val="92"/>
            </w:pPr>
            <w:r>
              <w:t>标准限值</w:t>
            </w:r>
          </w:p>
        </w:tc>
        <w:tc>
          <w:tcPr>
            <w:tcW w:w="891" w:type="dxa"/>
            <w:shd w:val="clear" w:color="auto" w:fill="auto"/>
            <w:vAlign w:val="center"/>
          </w:tcPr>
          <w:p>
            <w:pPr>
              <w:pStyle w:val="92"/>
            </w:pPr>
            <w:r>
              <w:t>单位</w:t>
            </w:r>
          </w:p>
        </w:tc>
        <w:tc>
          <w:tcPr>
            <w:tcW w:w="4437" w:type="dxa"/>
            <w:shd w:val="clear" w:color="auto" w:fill="auto"/>
            <w:vAlign w:val="center"/>
          </w:tcPr>
          <w:p>
            <w:pPr>
              <w:pStyle w:val="92"/>
            </w:pPr>
            <w:r>
              <w:t>标准名称及级(类)别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628" w:type="dxa"/>
            <w:vAlign w:val="center"/>
          </w:tcPr>
          <w:p>
            <w:pPr>
              <w:pStyle w:val="92"/>
            </w:pPr>
            <w:r>
              <w:t>1</w:t>
            </w:r>
          </w:p>
        </w:tc>
        <w:tc>
          <w:tcPr>
            <w:tcW w:w="1965" w:type="dxa"/>
            <w:gridSpan w:val="2"/>
            <w:vAlign w:val="center"/>
          </w:tcPr>
          <w:p>
            <w:pPr>
              <w:pStyle w:val="92"/>
            </w:pPr>
            <w:r>
              <w:t>昼间</w:t>
            </w:r>
          </w:p>
        </w:tc>
        <w:tc>
          <w:tcPr>
            <w:tcW w:w="1119" w:type="dxa"/>
            <w:vAlign w:val="center"/>
          </w:tcPr>
          <w:p>
            <w:pPr>
              <w:pStyle w:val="92"/>
            </w:pPr>
            <w:r>
              <w:t>70</w:t>
            </w:r>
          </w:p>
        </w:tc>
        <w:tc>
          <w:tcPr>
            <w:tcW w:w="891" w:type="dxa"/>
            <w:vMerge w:val="restart"/>
            <w:vAlign w:val="center"/>
          </w:tcPr>
          <w:p>
            <w:pPr>
              <w:pStyle w:val="92"/>
            </w:pPr>
            <w:r>
              <w:t>dB(A)</w:t>
            </w:r>
          </w:p>
        </w:tc>
        <w:tc>
          <w:tcPr>
            <w:tcW w:w="4437" w:type="dxa"/>
            <w:vMerge w:val="restart"/>
            <w:vAlign w:val="center"/>
          </w:tcPr>
          <w:p>
            <w:pPr>
              <w:pStyle w:val="92"/>
              <w:rPr>
                <w:bCs/>
              </w:rPr>
            </w:pPr>
            <w:r>
              <w:rPr>
                <w:bCs/>
              </w:rPr>
              <w:t>《建筑施工场界环境噪声排放标准》</w:t>
            </w:r>
          </w:p>
          <w:p>
            <w:pPr>
              <w:pStyle w:val="92"/>
            </w:pPr>
            <w:r>
              <w:rPr>
                <w:bCs/>
              </w:rPr>
              <w:t>（GB12523-2011）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628" w:type="dxa"/>
            <w:vAlign w:val="center"/>
          </w:tcPr>
          <w:p>
            <w:pPr>
              <w:pStyle w:val="92"/>
            </w:pPr>
            <w:r>
              <w:t>2</w:t>
            </w:r>
          </w:p>
        </w:tc>
        <w:tc>
          <w:tcPr>
            <w:tcW w:w="1965" w:type="dxa"/>
            <w:gridSpan w:val="2"/>
            <w:vAlign w:val="center"/>
          </w:tcPr>
          <w:p>
            <w:pPr>
              <w:pStyle w:val="92"/>
            </w:pPr>
            <w:r>
              <w:t>夜间</w:t>
            </w:r>
          </w:p>
        </w:tc>
        <w:tc>
          <w:tcPr>
            <w:tcW w:w="1119" w:type="dxa"/>
            <w:vAlign w:val="center"/>
          </w:tcPr>
          <w:p>
            <w:pPr>
              <w:pStyle w:val="92"/>
            </w:pPr>
            <w:r>
              <w:t>55</w:t>
            </w:r>
          </w:p>
        </w:tc>
        <w:tc>
          <w:tcPr>
            <w:tcW w:w="891" w:type="dxa"/>
            <w:vMerge w:val="continue"/>
            <w:vAlign w:val="center"/>
          </w:tcPr>
          <w:p>
            <w:pPr>
              <w:pStyle w:val="92"/>
            </w:pPr>
          </w:p>
        </w:tc>
        <w:tc>
          <w:tcPr>
            <w:tcW w:w="4437"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628" w:type="dxa"/>
            <w:vAlign w:val="center"/>
          </w:tcPr>
          <w:p>
            <w:pPr>
              <w:pStyle w:val="92"/>
            </w:pPr>
            <w:r>
              <w:t>3</w:t>
            </w:r>
          </w:p>
        </w:tc>
        <w:tc>
          <w:tcPr>
            <w:tcW w:w="707" w:type="dxa"/>
            <w:vMerge w:val="restart"/>
            <w:vAlign w:val="center"/>
          </w:tcPr>
          <w:p>
            <w:pPr>
              <w:pStyle w:val="92"/>
            </w:pPr>
            <w:r>
              <w:rPr>
                <w:rFonts w:hint="eastAsia"/>
              </w:rPr>
              <w:t>厂界</w:t>
            </w:r>
          </w:p>
        </w:tc>
        <w:tc>
          <w:tcPr>
            <w:tcW w:w="1258" w:type="dxa"/>
            <w:vAlign w:val="center"/>
          </w:tcPr>
          <w:p>
            <w:pPr>
              <w:pStyle w:val="92"/>
            </w:pPr>
            <w:r>
              <w:t>昼间</w:t>
            </w:r>
          </w:p>
        </w:tc>
        <w:tc>
          <w:tcPr>
            <w:tcW w:w="1119" w:type="dxa"/>
            <w:vAlign w:val="center"/>
          </w:tcPr>
          <w:p>
            <w:pPr>
              <w:pStyle w:val="92"/>
            </w:pPr>
            <w:r>
              <w:t>65</w:t>
            </w:r>
          </w:p>
        </w:tc>
        <w:tc>
          <w:tcPr>
            <w:tcW w:w="891" w:type="dxa"/>
            <w:vMerge w:val="continue"/>
            <w:vAlign w:val="center"/>
          </w:tcPr>
          <w:p>
            <w:pPr>
              <w:pStyle w:val="92"/>
            </w:pPr>
          </w:p>
        </w:tc>
        <w:tc>
          <w:tcPr>
            <w:tcW w:w="4437" w:type="dxa"/>
            <w:vMerge w:val="restart"/>
            <w:vAlign w:val="center"/>
          </w:tcPr>
          <w:p>
            <w:pPr>
              <w:pStyle w:val="92"/>
            </w:pPr>
            <w:r>
              <w:t>《工业企业厂界环境噪声排放标准》</w:t>
            </w:r>
          </w:p>
          <w:p>
            <w:pPr>
              <w:pStyle w:val="92"/>
            </w:pPr>
            <w:r>
              <w:t>（GB12348-2008）3类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628" w:type="dxa"/>
            <w:vAlign w:val="center"/>
          </w:tcPr>
          <w:p>
            <w:pPr>
              <w:pStyle w:val="92"/>
            </w:pPr>
            <w:r>
              <w:t>4</w:t>
            </w:r>
          </w:p>
        </w:tc>
        <w:tc>
          <w:tcPr>
            <w:tcW w:w="707" w:type="dxa"/>
            <w:vMerge w:val="continue"/>
            <w:vAlign w:val="center"/>
          </w:tcPr>
          <w:p>
            <w:pPr>
              <w:pStyle w:val="92"/>
            </w:pPr>
          </w:p>
        </w:tc>
        <w:tc>
          <w:tcPr>
            <w:tcW w:w="1258" w:type="dxa"/>
            <w:vAlign w:val="center"/>
          </w:tcPr>
          <w:p>
            <w:pPr>
              <w:pStyle w:val="92"/>
            </w:pPr>
            <w:r>
              <w:t>夜间</w:t>
            </w:r>
          </w:p>
        </w:tc>
        <w:tc>
          <w:tcPr>
            <w:tcW w:w="1119" w:type="dxa"/>
            <w:vAlign w:val="center"/>
          </w:tcPr>
          <w:p>
            <w:pPr>
              <w:pStyle w:val="92"/>
            </w:pPr>
            <w:r>
              <w:t>55</w:t>
            </w:r>
          </w:p>
        </w:tc>
        <w:tc>
          <w:tcPr>
            <w:tcW w:w="891" w:type="dxa"/>
            <w:vMerge w:val="continue"/>
            <w:vAlign w:val="center"/>
          </w:tcPr>
          <w:p>
            <w:pPr>
              <w:pStyle w:val="92"/>
            </w:pPr>
          </w:p>
        </w:tc>
        <w:tc>
          <w:tcPr>
            <w:tcW w:w="4437"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628" w:type="dxa"/>
            <w:vAlign w:val="center"/>
          </w:tcPr>
          <w:p>
            <w:pPr>
              <w:pStyle w:val="92"/>
            </w:pPr>
            <w:r>
              <w:rPr>
                <w:rFonts w:hint="eastAsia"/>
              </w:rPr>
              <w:t>5</w:t>
            </w:r>
          </w:p>
        </w:tc>
        <w:tc>
          <w:tcPr>
            <w:tcW w:w="707" w:type="dxa"/>
            <w:vMerge w:val="restart"/>
            <w:vAlign w:val="center"/>
          </w:tcPr>
          <w:p>
            <w:pPr>
              <w:pStyle w:val="92"/>
            </w:pPr>
            <w:r>
              <w:rPr>
                <w:rFonts w:hint="eastAsia"/>
              </w:rPr>
              <w:t>敏感点</w:t>
            </w:r>
          </w:p>
        </w:tc>
        <w:tc>
          <w:tcPr>
            <w:tcW w:w="1258" w:type="dxa"/>
            <w:vAlign w:val="center"/>
          </w:tcPr>
          <w:p>
            <w:pPr>
              <w:pStyle w:val="92"/>
            </w:pPr>
            <w:r>
              <w:t>昼间</w:t>
            </w:r>
          </w:p>
        </w:tc>
        <w:tc>
          <w:tcPr>
            <w:tcW w:w="1119" w:type="dxa"/>
            <w:vAlign w:val="center"/>
          </w:tcPr>
          <w:p>
            <w:pPr>
              <w:pStyle w:val="92"/>
            </w:pPr>
            <w:r>
              <w:rPr>
                <w:rFonts w:hint="eastAsia"/>
              </w:rPr>
              <w:t>60</w:t>
            </w:r>
          </w:p>
        </w:tc>
        <w:tc>
          <w:tcPr>
            <w:tcW w:w="891" w:type="dxa"/>
            <w:vMerge w:val="continue"/>
            <w:vAlign w:val="center"/>
          </w:tcPr>
          <w:p>
            <w:pPr>
              <w:pStyle w:val="92"/>
            </w:pPr>
          </w:p>
        </w:tc>
        <w:tc>
          <w:tcPr>
            <w:tcW w:w="4437" w:type="dxa"/>
            <w:vMerge w:val="restart"/>
            <w:vAlign w:val="center"/>
          </w:tcPr>
          <w:p>
            <w:pPr>
              <w:pStyle w:val="92"/>
            </w:pPr>
            <w:r>
              <w:rPr>
                <w:rFonts w:hint="eastAsia"/>
              </w:rPr>
              <w:t>《</w:t>
            </w:r>
            <w:r>
              <w:t>声环境质量标准》（GB3096-2008）2类标准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628" w:type="dxa"/>
            <w:vAlign w:val="center"/>
          </w:tcPr>
          <w:p>
            <w:pPr>
              <w:pStyle w:val="92"/>
            </w:pPr>
            <w:r>
              <w:rPr>
                <w:rFonts w:hint="eastAsia"/>
              </w:rPr>
              <w:t>6</w:t>
            </w:r>
          </w:p>
        </w:tc>
        <w:tc>
          <w:tcPr>
            <w:tcW w:w="707" w:type="dxa"/>
            <w:vMerge w:val="continue"/>
            <w:vAlign w:val="center"/>
          </w:tcPr>
          <w:p>
            <w:pPr>
              <w:pStyle w:val="92"/>
            </w:pPr>
          </w:p>
        </w:tc>
        <w:tc>
          <w:tcPr>
            <w:tcW w:w="1258" w:type="dxa"/>
            <w:vAlign w:val="center"/>
          </w:tcPr>
          <w:p>
            <w:pPr>
              <w:pStyle w:val="92"/>
            </w:pPr>
            <w:r>
              <w:t>夜间</w:t>
            </w:r>
          </w:p>
        </w:tc>
        <w:tc>
          <w:tcPr>
            <w:tcW w:w="1119" w:type="dxa"/>
            <w:vAlign w:val="center"/>
          </w:tcPr>
          <w:p>
            <w:pPr>
              <w:pStyle w:val="92"/>
            </w:pPr>
            <w:r>
              <w:rPr>
                <w:rFonts w:hint="eastAsia"/>
              </w:rPr>
              <w:t>50</w:t>
            </w:r>
          </w:p>
        </w:tc>
        <w:tc>
          <w:tcPr>
            <w:tcW w:w="891" w:type="dxa"/>
            <w:vMerge w:val="continue"/>
            <w:vAlign w:val="center"/>
          </w:tcPr>
          <w:p>
            <w:pPr>
              <w:pStyle w:val="92"/>
            </w:pPr>
          </w:p>
        </w:tc>
        <w:tc>
          <w:tcPr>
            <w:tcW w:w="4437" w:type="dxa"/>
            <w:vMerge w:val="continue"/>
            <w:vAlign w:val="center"/>
          </w:tcPr>
          <w:p>
            <w:pPr>
              <w:pStyle w:val="92"/>
            </w:pPr>
          </w:p>
        </w:tc>
      </w:tr>
    </w:tbl>
    <w:p>
      <w:pPr>
        <w:pStyle w:val="49"/>
        <w:rPr>
          <w:rFonts w:hAnsi="Times New Roman" w:eastAsia="宋体"/>
          <w:highlight w:val="yellow"/>
        </w:rPr>
      </w:pPr>
    </w:p>
    <w:p>
      <w:pPr>
        <w:pStyle w:val="5"/>
      </w:pPr>
      <w:r>
        <w:rPr>
          <w:rFonts w:hint="eastAsia"/>
        </w:rPr>
        <w:t>固废</w:t>
      </w:r>
    </w:p>
    <w:p>
      <w:pPr>
        <w:ind w:firstLine="480"/>
      </w:pPr>
      <w:r>
        <w:rPr>
          <w:rFonts w:hint="eastAsia"/>
        </w:rPr>
        <w:t>一般固废执行《一般工业固体</w:t>
      </w:r>
      <w:r>
        <w:t>废物</w:t>
      </w:r>
      <w:r>
        <w:rPr>
          <w:rFonts w:hint="eastAsia"/>
        </w:rPr>
        <w:t>贮存和填埋</w:t>
      </w:r>
      <w:r>
        <w:t>污染</w:t>
      </w:r>
      <w:r>
        <w:rPr>
          <w:rFonts w:hint="eastAsia"/>
        </w:rPr>
        <w:t>控制标准》（GB18599-20</w:t>
      </w:r>
      <w:r>
        <w:t>20</w:t>
      </w:r>
      <w:r>
        <w:rPr>
          <w:rFonts w:hint="eastAsia"/>
        </w:rPr>
        <w:t>）；危险废物执行《危险废物贮存污染控制标准》（GB18597-2001）及其修改单（环境保护部2013年第36号公告），生活</w:t>
      </w:r>
      <w:r>
        <w:t>垃圾执行</w:t>
      </w:r>
      <w:r>
        <w:rPr>
          <w:rFonts w:hint="eastAsia"/>
        </w:rPr>
        <w:t>《城市生活垃圾管理办法》（建设部第157号令）和《生活垃圾转运站运行维护技术规程》（CJJ109-2006）。</w:t>
      </w:r>
    </w:p>
    <w:p>
      <w:pPr>
        <w:pStyle w:val="3"/>
      </w:pPr>
      <w:bookmarkStart w:id="32" w:name="_Toc82502943"/>
      <w:bookmarkStart w:id="33" w:name="_Toc488102150"/>
      <w:r>
        <w:rPr>
          <w:rFonts w:hint="eastAsia"/>
        </w:rPr>
        <w:t>评价工作等级和评价范围</w:t>
      </w:r>
      <w:bookmarkEnd w:id="32"/>
      <w:bookmarkEnd w:id="33"/>
    </w:p>
    <w:p>
      <w:pPr>
        <w:pStyle w:val="4"/>
      </w:pPr>
      <w:r>
        <w:rPr>
          <w:rFonts w:hint="eastAsia"/>
        </w:rPr>
        <w:t>评价工作等级</w:t>
      </w:r>
    </w:p>
    <w:p>
      <w:pPr>
        <w:pStyle w:val="5"/>
      </w:pPr>
      <w:r>
        <w:rPr>
          <w:rFonts w:hint="eastAsia"/>
        </w:rPr>
        <w:t>环境空气评价等级划分</w:t>
      </w:r>
    </w:p>
    <w:p>
      <w:pPr>
        <w:ind w:firstLine="480"/>
      </w:pPr>
      <w:r>
        <w:rPr>
          <w:rFonts w:hint="eastAsia"/>
        </w:rPr>
        <w:t>根据</w:t>
      </w:r>
      <w:r>
        <w:t>《环境影响评价技术导则-大气环境》（HJ2.2-2018）中的有关规定，将大气环境影响评价工作分为一、二、三级，划分依据见</w:t>
      </w:r>
      <w:r>
        <w:fldChar w:fldCharType="begin"/>
      </w:r>
      <w:r>
        <w:instrText xml:space="preserve"> REF _Ref27042141 \h  \* MERGEFORMAT </w:instrText>
      </w:r>
      <w:r>
        <w:fldChar w:fldCharType="separate"/>
      </w:r>
      <w:r>
        <w:t>表2.5</w:t>
      </w:r>
      <w:r>
        <w:noBreakHyphen/>
      </w:r>
      <w:r>
        <w:t>1</w:t>
      </w:r>
      <w:r>
        <w:fldChar w:fldCharType="end"/>
      </w:r>
      <w:r>
        <w:t>。</w:t>
      </w:r>
    </w:p>
    <w:p>
      <w:pPr>
        <w:pStyle w:val="93"/>
        <w:rPr>
          <w:rFonts w:hAnsi="Times New Roman"/>
        </w:rPr>
      </w:pPr>
      <w:bookmarkStart w:id="34" w:name="_Ref27042141"/>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34"/>
      <w:r>
        <w:rPr>
          <w:rFonts w:hAnsi="Times New Roman"/>
        </w:rPr>
        <w:t xml:space="preserve">  评价工作等级判断标准</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0"/>
        <w:gridCol w:w="6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70" w:type="dxa"/>
            <w:vAlign w:val="center"/>
          </w:tcPr>
          <w:p>
            <w:pPr>
              <w:pStyle w:val="97"/>
              <w:ind w:firstLine="560"/>
            </w:pPr>
            <w:r>
              <w:t>评价工作等级</w:t>
            </w:r>
          </w:p>
        </w:tc>
        <w:tc>
          <w:tcPr>
            <w:tcW w:w="6370" w:type="dxa"/>
            <w:vAlign w:val="center"/>
          </w:tcPr>
          <w:p>
            <w:pPr>
              <w:pStyle w:val="97"/>
              <w:ind w:firstLine="560"/>
            </w:pPr>
            <w: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70" w:type="dxa"/>
            <w:vAlign w:val="center"/>
          </w:tcPr>
          <w:p>
            <w:pPr>
              <w:pStyle w:val="97"/>
              <w:ind w:firstLine="560"/>
            </w:pPr>
            <w:r>
              <w:t>一级</w:t>
            </w:r>
          </w:p>
        </w:tc>
        <w:tc>
          <w:tcPr>
            <w:tcW w:w="6370" w:type="dxa"/>
            <w:vAlign w:val="center"/>
          </w:tcPr>
          <w:p>
            <w:pPr>
              <w:pStyle w:val="97"/>
              <w:ind w:firstLine="560"/>
            </w:pPr>
            <w:r>
              <w:rPr>
                <w:snapToGrid w:val="0"/>
              </w:rPr>
              <w:t>P</w:t>
            </w:r>
            <w:r>
              <w:rPr>
                <w:snapToGrid w:val="0"/>
                <w:vertAlign w:val="subscript"/>
              </w:rPr>
              <w:t>max</w:t>
            </w:r>
            <w:r>
              <w:rPr>
                <w:snapToGrid w:val="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70" w:type="dxa"/>
            <w:vAlign w:val="center"/>
          </w:tcPr>
          <w:p>
            <w:pPr>
              <w:pStyle w:val="97"/>
              <w:ind w:firstLine="560"/>
            </w:pPr>
            <w:r>
              <w:t>二级</w:t>
            </w:r>
          </w:p>
        </w:tc>
        <w:tc>
          <w:tcPr>
            <w:tcW w:w="6370" w:type="dxa"/>
            <w:vAlign w:val="center"/>
          </w:tcPr>
          <w:p>
            <w:pPr>
              <w:pStyle w:val="97"/>
              <w:ind w:firstLine="560"/>
            </w:pPr>
            <w:r>
              <w:rPr>
                <w:snapToGrid w:val="0"/>
              </w:rPr>
              <w:t>1%≤P</w:t>
            </w:r>
            <w:r>
              <w:rPr>
                <w:snapToGrid w:val="0"/>
                <w:vertAlign w:val="subscript"/>
              </w:rPr>
              <w:t>max</w:t>
            </w:r>
            <w:r>
              <w:rPr>
                <w:snapToGrid w:val="0"/>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70" w:type="dxa"/>
            <w:vAlign w:val="center"/>
          </w:tcPr>
          <w:p>
            <w:pPr>
              <w:pStyle w:val="97"/>
              <w:ind w:firstLine="560"/>
            </w:pPr>
            <w:r>
              <w:t>三级</w:t>
            </w:r>
          </w:p>
        </w:tc>
        <w:tc>
          <w:tcPr>
            <w:tcW w:w="6370" w:type="dxa"/>
            <w:vAlign w:val="center"/>
          </w:tcPr>
          <w:p>
            <w:pPr>
              <w:pStyle w:val="97"/>
              <w:ind w:firstLine="560"/>
            </w:pPr>
            <w:r>
              <w:rPr>
                <w:snapToGrid w:val="0"/>
              </w:rPr>
              <w:t>P</w:t>
            </w:r>
            <w:r>
              <w:rPr>
                <w:snapToGrid w:val="0"/>
                <w:vertAlign w:val="subscript"/>
              </w:rPr>
              <w:t>max</w:t>
            </w:r>
            <w:r>
              <w:rPr>
                <w:snapToGrid w:val="0"/>
              </w:rPr>
              <w:t>&lt;1%</w:t>
            </w:r>
          </w:p>
        </w:tc>
      </w:tr>
    </w:tbl>
    <w:p>
      <w:pPr>
        <w:pStyle w:val="87"/>
        <w:ind w:firstLine="480"/>
        <w:rPr>
          <w:rFonts w:cs="Times New Roman"/>
        </w:rPr>
      </w:pPr>
      <w:r>
        <w:rPr>
          <w:rFonts w:cs="Times New Roman"/>
        </w:rPr>
        <w:t>根据导则规定，选取推荐模式中的AERSCREEN 模型对项目的大气环境评价工作进行分级。</w:t>
      </w:r>
    </w:p>
    <w:p>
      <w:pPr>
        <w:ind w:firstLine="480"/>
      </w:pPr>
      <w:r>
        <w:t>经过对建设项目的初步工程分析：项目运营期主要大气污染物为</w:t>
      </w:r>
      <w:r>
        <w:rPr>
          <w:rFonts w:hint="eastAsia"/>
        </w:rPr>
        <w:t>粉碎粉尘、甲醇</w:t>
      </w:r>
      <w:r>
        <w:t>回收废气</w:t>
      </w:r>
      <w:r>
        <w:rPr>
          <w:rFonts w:hint="eastAsia"/>
        </w:rPr>
        <w:t>、</w:t>
      </w:r>
      <w:r>
        <w:t>天然气锅炉废气</w:t>
      </w:r>
      <w:r>
        <w:rPr>
          <w:rFonts w:hint="eastAsia"/>
        </w:rPr>
        <w:t>。</w:t>
      </w:r>
    </w:p>
    <w:p>
      <w:pPr>
        <w:ind w:firstLine="480"/>
        <w:rPr>
          <w:kern w:val="10"/>
        </w:rPr>
      </w:pPr>
      <w:r>
        <w:rPr>
          <w:kern w:val="10"/>
        </w:rPr>
        <w:t>经过对建设项目的初步工程分析，本项目分别计算每一种污染物的最大地面浓度占标率Pi及其地面浓度达标准限值10%时所对应的最远距离D10%，其中Pi定义为：</w:t>
      </w:r>
    </w:p>
    <w:p>
      <w:pPr>
        <w:ind w:firstLine="480"/>
        <w:jc w:val="center"/>
        <w:rPr>
          <w:kern w:val="10"/>
          <w:lang w:val="pt-BR"/>
        </w:rPr>
      </w:pPr>
      <w:r>
        <w:rPr>
          <w:kern w:val="10"/>
          <w:lang w:val="pt-BR"/>
        </w:rPr>
        <w:t>P</w:t>
      </w:r>
      <w:r>
        <w:rPr>
          <w:kern w:val="10"/>
          <w:vertAlign w:val="subscript"/>
          <w:lang w:val="pt-BR"/>
        </w:rPr>
        <w:t>i</w:t>
      </w:r>
      <w:r>
        <w:rPr>
          <w:kern w:val="10"/>
          <w:lang w:val="pt-BR"/>
        </w:rPr>
        <w:t>=(C</w:t>
      </w:r>
      <w:r>
        <w:rPr>
          <w:kern w:val="10"/>
          <w:vertAlign w:val="subscript"/>
          <w:lang w:val="pt-BR"/>
        </w:rPr>
        <w:t>i</w:t>
      </w:r>
      <w:r>
        <w:rPr>
          <w:kern w:val="10"/>
          <w:lang w:val="pt-BR"/>
        </w:rPr>
        <w:t>/C</w:t>
      </w:r>
      <w:r>
        <w:rPr>
          <w:kern w:val="10"/>
          <w:vertAlign w:val="subscript"/>
          <w:lang w:val="pt-BR"/>
        </w:rPr>
        <w:t>oi</w:t>
      </w:r>
      <w:r>
        <w:rPr>
          <w:kern w:val="10"/>
          <w:lang w:val="pt-BR"/>
        </w:rPr>
        <w:t>)×100%</w:t>
      </w:r>
    </w:p>
    <w:p>
      <w:pPr>
        <w:ind w:firstLine="480"/>
        <w:rPr>
          <w:kern w:val="10"/>
          <w:lang w:val="fr-FR"/>
        </w:rPr>
      </w:pPr>
      <w:r>
        <w:rPr>
          <w:kern w:val="10"/>
        </w:rPr>
        <w:t>式中</w:t>
      </w:r>
      <w:r>
        <w:rPr>
          <w:kern w:val="10"/>
          <w:lang w:val="fr-FR"/>
        </w:rPr>
        <w:t>：</w:t>
      </w:r>
    </w:p>
    <w:p>
      <w:pPr>
        <w:ind w:firstLine="480"/>
        <w:rPr>
          <w:kern w:val="10"/>
        </w:rPr>
      </w:pPr>
      <w:r>
        <w:rPr>
          <w:kern w:val="10"/>
        </w:rPr>
        <w:t>P</w:t>
      </w:r>
      <w:r>
        <w:rPr>
          <w:kern w:val="10"/>
          <w:vertAlign w:val="subscript"/>
        </w:rPr>
        <w:t>i</w:t>
      </w:r>
      <w:r>
        <w:rPr>
          <w:kern w:val="10"/>
        </w:rPr>
        <w:t>—第i个污染物的最大地面浓度占标率，%；</w:t>
      </w:r>
    </w:p>
    <w:p>
      <w:pPr>
        <w:ind w:firstLine="480"/>
        <w:rPr>
          <w:kern w:val="10"/>
          <w:vertAlign w:val="superscript"/>
          <w:lang w:val="en-GB"/>
        </w:rPr>
      </w:pPr>
      <w:r>
        <w:rPr>
          <w:kern w:val="10"/>
        </w:rPr>
        <w:t>C</w:t>
      </w:r>
      <w:r>
        <w:rPr>
          <w:kern w:val="10"/>
          <w:vertAlign w:val="subscript"/>
        </w:rPr>
        <w:t>i</w:t>
      </w:r>
      <w:r>
        <w:rPr>
          <w:kern w:val="10"/>
        </w:rPr>
        <w:t>—采用估算模式计算出的第i个污染物的最大地面浓度，</w:t>
      </w:r>
      <w:r>
        <w:rPr>
          <w:kern w:val="10"/>
          <w:lang w:val="en-GB"/>
        </w:rPr>
        <w:t>μg/m</w:t>
      </w:r>
      <w:r>
        <w:rPr>
          <w:kern w:val="10"/>
          <w:vertAlign w:val="superscript"/>
          <w:lang w:val="en-GB"/>
        </w:rPr>
        <w:t>3</w:t>
      </w:r>
      <w:r>
        <w:rPr>
          <w:kern w:val="10"/>
        </w:rPr>
        <w:t>；</w:t>
      </w:r>
    </w:p>
    <w:p>
      <w:pPr>
        <w:ind w:firstLine="480"/>
        <w:rPr>
          <w:kern w:val="10"/>
        </w:rPr>
      </w:pPr>
      <w:r>
        <w:rPr>
          <w:kern w:val="10"/>
        </w:rPr>
        <w:t>C</w:t>
      </w:r>
      <w:r>
        <w:rPr>
          <w:kern w:val="10"/>
          <w:vertAlign w:val="subscript"/>
        </w:rPr>
        <w:t>oi</w:t>
      </w:r>
      <w:r>
        <w:rPr>
          <w:kern w:val="10"/>
        </w:rPr>
        <w:t>—第i个污染物的环境空气质量标准，</w:t>
      </w:r>
      <w:r>
        <w:rPr>
          <w:kern w:val="10"/>
          <w:lang w:val="en-GB"/>
        </w:rPr>
        <w:t>μ</w:t>
      </w:r>
      <w:r>
        <w:rPr>
          <w:kern w:val="10"/>
        </w:rPr>
        <w:t>g/m</w:t>
      </w:r>
      <w:r>
        <w:rPr>
          <w:kern w:val="10"/>
          <w:vertAlign w:val="superscript"/>
        </w:rPr>
        <w:t>3</w:t>
      </w:r>
      <w:r>
        <w:rPr>
          <w:kern w:val="10"/>
        </w:rPr>
        <w:t>。C</w:t>
      </w:r>
      <w:r>
        <w:rPr>
          <w:kern w:val="10"/>
          <w:vertAlign w:val="subscript"/>
        </w:rPr>
        <w:t>0i</w:t>
      </w:r>
      <w:r>
        <w:rPr>
          <w:kern w:val="10"/>
        </w:rPr>
        <w:t xml:space="preserve"> 一般选取GB3095 中1h平均质量浓度的二级浓度限值，使用5.2确定的各评价因子1h平均质量浓度限值。对仅有的8h平均质量浓度限值、日平均质量浓度限值或年平均质量浓度限值的，可分别按2倍、3倍、6倍折算为1h平均质量浓度限值。</w:t>
      </w:r>
    </w:p>
    <w:p>
      <w:pPr>
        <w:ind w:firstLine="480"/>
        <w:rPr>
          <w:szCs w:val="24"/>
        </w:rPr>
      </w:pPr>
      <w:r>
        <w:t>根据估算模式计算本项目大气污染物的最大地面浓度及占标率见</w:t>
      </w:r>
      <w:r>
        <w:rPr>
          <w:rFonts w:hint="eastAsia"/>
        </w:rPr>
        <w:t>表2.5-2。</w:t>
      </w:r>
    </w:p>
    <w:p>
      <w:pPr>
        <w:spacing w:line="240" w:lineRule="auto"/>
        <w:ind w:firstLine="0" w:firstLineChars="0"/>
        <w:jc w:val="center"/>
        <w:rPr>
          <w:b/>
          <w:sz w:val="21"/>
          <w:szCs w:val="24"/>
        </w:rPr>
      </w:pPr>
      <w:bookmarkStart w:id="35" w:name="_Ref27042154"/>
      <w:bookmarkStart w:id="36" w:name="_Ref36132597"/>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2.5</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2</w:t>
      </w:r>
      <w:r>
        <w:rPr>
          <w:b/>
          <w:sz w:val="21"/>
          <w:szCs w:val="24"/>
        </w:rPr>
        <w:fldChar w:fldCharType="end"/>
      </w:r>
      <w:bookmarkEnd w:id="35"/>
      <w:bookmarkEnd w:id="36"/>
      <w:r>
        <w:rPr>
          <w:b/>
          <w:sz w:val="21"/>
          <w:szCs w:val="24"/>
        </w:rPr>
        <w:t xml:space="preserve">  本项目各污染物因子Pi值计算结果</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552"/>
        <w:gridCol w:w="1009"/>
        <w:gridCol w:w="1470"/>
        <w:gridCol w:w="1470"/>
        <w:gridCol w:w="1470"/>
        <w:gridCol w:w="14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Align w:val="center"/>
          </w:tcPr>
          <w:p>
            <w:pPr>
              <w:spacing w:line="240" w:lineRule="auto"/>
              <w:ind w:firstLine="0" w:firstLineChars="0"/>
              <w:jc w:val="center"/>
              <w:rPr>
                <w:sz w:val="21"/>
                <w:szCs w:val="21"/>
              </w:rPr>
            </w:pPr>
            <w:r>
              <w:rPr>
                <w:sz w:val="21"/>
                <w:szCs w:val="21"/>
              </w:rPr>
              <w:t>类别</w:t>
            </w:r>
          </w:p>
        </w:tc>
        <w:tc>
          <w:tcPr>
            <w:tcW w:w="2561" w:type="dxa"/>
            <w:gridSpan w:val="2"/>
            <w:vAlign w:val="center"/>
          </w:tcPr>
          <w:p>
            <w:pPr>
              <w:spacing w:line="240" w:lineRule="auto"/>
              <w:ind w:firstLine="420"/>
              <w:jc w:val="center"/>
              <w:rPr>
                <w:sz w:val="21"/>
                <w:szCs w:val="21"/>
              </w:rPr>
            </w:pPr>
            <w:r>
              <w:rPr>
                <w:sz w:val="21"/>
                <w:szCs w:val="21"/>
              </w:rPr>
              <w:t>污染源名称</w:t>
            </w:r>
          </w:p>
        </w:tc>
        <w:tc>
          <w:tcPr>
            <w:tcW w:w="1470" w:type="dxa"/>
            <w:vAlign w:val="center"/>
          </w:tcPr>
          <w:p>
            <w:pPr>
              <w:spacing w:line="240" w:lineRule="auto"/>
              <w:ind w:firstLine="0" w:firstLineChars="0"/>
              <w:jc w:val="center"/>
              <w:rPr>
                <w:sz w:val="21"/>
                <w:szCs w:val="21"/>
                <w:vertAlign w:val="subscript"/>
              </w:rPr>
            </w:pPr>
            <w:r>
              <w:rPr>
                <w:sz w:val="21"/>
                <w:szCs w:val="21"/>
              </w:rPr>
              <w:t>C</w:t>
            </w:r>
            <w:r>
              <w:rPr>
                <w:sz w:val="21"/>
                <w:szCs w:val="21"/>
                <w:vertAlign w:val="subscript"/>
              </w:rPr>
              <w:t>i</w:t>
            </w:r>
            <w:r>
              <w:rPr>
                <w:sz w:val="21"/>
                <w:szCs w:val="21"/>
              </w:rPr>
              <w:t>（μg /m</w:t>
            </w:r>
            <w:r>
              <w:rPr>
                <w:sz w:val="21"/>
                <w:szCs w:val="21"/>
                <w:vertAlign w:val="superscript"/>
              </w:rPr>
              <w:t>3</w:t>
            </w:r>
            <w:r>
              <w:rPr>
                <w:sz w:val="21"/>
                <w:szCs w:val="21"/>
              </w:rPr>
              <w:t>）</w:t>
            </w:r>
          </w:p>
        </w:tc>
        <w:tc>
          <w:tcPr>
            <w:tcW w:w="1470" w:type="dxa"/>
            <w:vAlign w:val="center"/>
          </w:tcPr>
          <w:p>
            <w:pPr>
              <w:spacing w:line="240" w:lineRule="auto"/>
              <w:ind w:firstLine="0" w:firstLineChars="0"/>
              <w:jc w:val="center"/>
              <w:rPr>
                <w:sz w:val="21"/>
                <w:szCs w:val="21"/>
              </w:rPr>
            </w:pPr>
            <w:r>
              <w:rPr>
                <w:sz w:val="21"/>
                <w:szCs w:val="21"/>
              </w:rPr>
              <w:t>C</w:t>
            </w:r>
            <w:r>
              <w:rPr>
                <w:sz w:val="21"/>
                <w:szCs w:val="21"/>
                <w:vertAlign w:val="subscript"/>
              </w:rPr>
              <w:t>0</w:t>
            </w:r>
            <w:r>
              <w:rPr>
                <w:sz w:val="21"/>
                <w:szCs w:val="21"/>
              </w:rPr>
              <w:t>（μg/m</w:t>
            </w:r>
            <w:r>
              <w:rPr>
                <w:sz w:val="21"/>
                <w:szCs w:val="21"/>
                <w:vertAlign w:val="superscript"/>
              </w:rPr>
              <w:t>3</w:t>
            </w:r>
            <w:r>
              <w:rPr>
                <w:sz w:val="21"/>
                <w:szCs w:val="21"/>
              </w:rPr>
              <w:t>）</w:t>
            </w:r>
          </w:p>
        </w:tc>
        <w:tc>
          <w:tcPr>
            <w:tcW w:w="1470" w:type="dxa"/>
            <w:vAlign w:val="center"/>
          </w:tcPr>
          <w:p>
            <w:pPr>
              <w:spacing w:line="240" w:lineRule="auto"/>
              <w:ind w:firstLine="0" w:firstLineChars="0"/>
              <w:jc w:val="center"/>
              <w:rPr>
                <w:sz w:val="21"/>
                <w:szCs w:val="21"/>
              </w:rPr>
            </w:pPr>
            <w:r>
              <w:rPr>
                <w:sz w:val="21"/>
                <w:szCs w:val="21"/>
              </w:rPr>
              <w:t>P</w:t>
            </w:r>
            <w:r>
              <w:rPr>
                <w:sz w:val="21"/>
                <w:szCs w:val="21"/>
                <w:vertAlign w:val="subscript"/>
              </w:rPr>
              <w:t>i</w:t>
            </w:r>
            <w:r>
              <w:rPr>
                <w:sz w:val="21"/>
                <w:szCs w:val="21"/>
              </w:rPr>
              <w:t>（%）</w:t>
            </w:r>
          </w:p>
        </w:tc>
        <w:tc>
          <w:tcPr>
            <w:tcW w:w="1468" w:type="dxa"/>
            <w:vAlign w:val="center"/>
          </w:tcPr>
          <w:p>
            <w:pPr>
              <w:spacing w:line="240" w:lineRule="auto"/>
              <w:ind w:firstLine="0" w:firstLineChars="0"/>
              <w:jc w:val="center"/>
              <w:rPr>
                <w:sz w:val="21"/>
                <w:szCs w:val="21"/>
                <w:vertAlign w:val="subscript"/>
              </w:rPr>
            </w:pPr>
            <w:r>
              <w:rPr>
                <w:sz w:val="21"/>
                <w:szCs w:val="21"/>
              </w:rPr>
              <w:t>D</w:t>
            </w:r>
            <w:r>
              <w:rPr>
                <w:sz w:val="21"/>
                <w:szCs w:val="21"/>
                <w:vertAlign w:val="subscript"/>
              </w:rPr>
              <w:t>10%</w:t>
            </w:r>
          </w:p>
          <w:p>
            <w:pPr>
              <w:spacing w:line="240" w:lineRule="auto"/>
              <w:ind w:firstLine="0" w:firstLineChars="0"/>
              <w:jc w:val="center"/>
              <w:rPr>
                <w:sz w:val="21"/>
                <w:szCs w:val="21"/>
              </w:rPr>
            </w:pPr>
            <w:r>
              <w:rPr>
                <w:sz w:val="21"/>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restart"/>
            <w:vAlign w:val="center"/>
          </w:tcPr>
          <w:p>
            <w:pPr>
              <w:spacing w:line="240" w:lineRule="auto"/>
              <w:ind w:firstLine="0" w:firstLineChars="0"/>
              <w:jc w:val="center"/>
              <w:rPr>
                <w:sz w:val="21"/>
                <w:szCs w:val="21"/>
              </w:rPr>
            </w:pPr>
            <w:r>
              <w:rPr>
                <w:rFonts w:hint="eastAsia"/>
                <w:sz w:val="21"/>
                <w:szCs w:val="21"/>
              </w:rPr>
              <w:t>有组织</w:t>
            </w:r>
          </w:p>
        </w:tc>
        <w:tc>
          <w:tcPr>
            <w:tcW w:w="1552" w:type="dxa"/>
            <w:vAlign w:val="center"/>
          </w:tcPr>
          <w:p>
            <w:pPr>
              <w:spacing w:line="240" w:lineRule="auto"/>
              <w:ind w:firstLine="0" w:firstLineChars="0"/>
              <w:jc w:val="center"/>
              <w:rPr>
                <w:sz w:val="21"/>
                <w:szCs w:val="21"/>
              </w:rPr>
            </w:pPr>
            <w:r>
              <w:rPr>
                <w:rFonts w:hint="eastAsia"/>
                <w:sz w:val="21"/>
                <w:szCs w:val="21"/>
              </w:rPr>
              <w:t>初</w:t>
            </w:r>
            <w:r>
              <w:rPr>
                <w:sz w:val="21"/>
                <w:szCs w:val="21"/>
              </w:rPr>
              <w:t>清排气筒P1</w:t>
            </w:r>
          </w:p>
        </w:tc>
        <w:tc>
          <w:tcPr>
            <w:tcW w:w="1009" w:type="dxa"/>
            <w:vAlign w:val="center"/>
          </w:tcPr>
          <w:p>
            <w:pPr>
              <w:spacing w:line="240" w:lineRule="auto"/>
              <w:ind w:firstLine="0" w:firstLineChars="0"/>
              <w:jc w:val="center"/>
              <w:rPr>
                <w:sz w:val="21"/>
                <w:szCs w:val="21"/>
              </w:rPr>
            </w:pPr>
            <w:r>
              <w:rPr>
                <w:rFonts w:hint="eastAsia"/>
                <w:sz w:val="21"/>
                <w:szCs w:val="21"/>
              </w:rPr>
              <w:t>粉尘</w:t>
            </w:r>
          </w:p>
        </w:tc>
        <w:tc>
          <w:tcPr>
            <w:tcW w:w="1470" w:type="dxa"/>
            <w:vAlign w:val="center"/>
          </w:tcPr>
          <w:p>
            <w:pPr>
              <w:pStyle w:val="92"/>
            </w:pPr>
            <w:r>
              <w:rPr>
                <w:rFonts w:hint="eastAsia"/>
              </w:rPr>
              <w:t>2.0971</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450</w:t>
            </w:r>
          </w:p>
        </w:tc>
        <w:tc>
          <w:tcPr>
            <w:tcW w:w="1470" w:type="dxa"/>
            <w:vAlign w:val="center"/>
          </w:tcPr>
          <w:p>
            <w:pPr>
              <w:pStyle w:val="92"/>
            </w:pPr>
            <w:r>
              <w:rPr>
                <w:rFonts w:hint="eastAsia"/>
              </w:rPr>
              <w:t>0.4660</w:t>
            </w:r>
          </w:p>
        </w:tc>
        <w:tc>
          <w:tcPr>
            <w:tcW w:w="1468"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Align w:val="center"/>
          </w:tcPr>
          <w:p>
            <w:pPr>
              <w:spacing w:line="240" w:lineRule="auto"/>
              <w:ind w:firstLine="0" w:firstLineChars="0"/>
              <w:jc w:val="center"/>
              <w:rPr>
                <w:sz w:val="21"/>
                <w:szCs w:val="21"/>
              </w:rPr>
            </w:pPr>
            <w:r>
              <w:rPr>
                <w:rFonts w:hint="eastAsia"/>
                <w:sz w:val="21"/>
                <w:szCs w:val="21"/>
              </w:rPr>
              <w:t>粗粉</w:t>
            </w:r>
            <w:r>
              <w:rPr>
                <w:sz w:val="21"/>
                <w:szCs w:val="21"/>
              </w:rPr>
              <w:t>排气筒P2</w:t>
            </w:r>
          </w:p>
        </w:tc>
        <w:tc>
          <w:tcPr>
            <w:tcW w:w="1009" w:type="dxa"/>
            <w:vAlign w:val="center"/>
          </w:tcPr>
          <w:p>
            <w:pPr>
              <w:spacing w:line="240" w:lineRule="auto"/>
              <w:ind w:firstLine="0" w:firstLineChars="0"/>
              <w:jc w:val="center"/>
              <w:rPr>
                <w:sz w:val="21"/>
                <w:szCs w:val="21"/>
              </w:rPr>
            </w:pPr>
            <w:r>
              <w:rPr>
                <w:rFonts w:hint="eastAsia"/>
                <w:sz w:val="21"/>
                <w:szCs w:val="21"/>
              </w:rPr>
              <w:t>粉尘</w:t>
            </w:r>
          </w:p>
        </w:tc>
        <w:tc>
          <w:tcPr>
            <w:tcW w:w="1470" w:type="dxa"/>
            <w:vAlign w:val="center"/>
          </w:tcPr>
          <w:p>
            <w:pPr>
              <w:pStyle w:val="92"/>
            </w:pPr>
            <w:r>
              <w:rPr>
                <w:rFonts w:hint="eastAsia"/>
              </w:rPr>
              <w:t>2.097</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450</w:t>
            </w:r>
          </w:p>
        </w:tc>
        <w:tc>
          <w:tcPr>
            <w:tcW w:w="1470" w:type="dxa"/>
            <w:vAlign w:val="center"/>
          </w:tcPr>
          <w:p>
            <w:pPr>
              <w:pStyle w:val="92"/>
            </w:pPr>
            <w:r>
              <w:rPr>
                <w:rFonts w:hint="eastAsia"/>
              </w:rPr>
              <w:t>0.4660</w:t>
            </w:r>
          </w:p>
        </w:tc>
        <w:tc>
          <w:tcPr>
            <w:tcW w:w="1468"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Align w:val="center"/>
          </w:tcPr>
          <w:p>
            <w:pPr>
              <w:spacing w:line="240" w:lineRule="auto"/>
              <w:ind w:firstLine="0" w:firstLineChars="0"/>
              <w:jc w:val="center"/>
              <w:rPr>
                <w:sz w:val="21"/>
                <w:szCs w:val="21"/>
              </w:rPr>
            </w:pPr>
            <w:r>
              <w:rPr>
                <w:rFonts w:hint="eastAsia"/>
                <w:sz w:val="21"/>
                <w:szCs w:val="21"/>
              </w:rPr>
              <w:t>微粉</w:t>
            </w:r>
            <w:r>
              <w:rPr>
                <w:sz w:val="21"/>
                <w:szCs w:val="21"/>
              </w:rPr>
              <w:t>排气筒P3</w:t>
            </w:r>
          </w:p>
        </w:tc>
        <w:tc>
          <w:tcPr>
            <w:tcW w:w="1009" w:type="dxa"/>
            <w:vAlign w:val="center"/>
          </w:tcPr>
          <w:p>
            <w:pPr>
              <w:spacing w:line="240" w:lineRule="auto"/>
              <w:ind w:firstLine="0" w:firstLineChars="0"/>
              <w:jc w:val="center"/>
              <w:rPr>
                <w:sz w:val="21"/>
                <w:szCs w:val="21"/>
              </w:rPr>
            </w:pPr>
            <w:r>
              <w:rPr>
                <w:rFonts w:hint="eastAsia"/>
                <w:sz w:val="21"/>
                <w:szCs w:val="21"/>
              </w:rPr>
              <w:t>粉尘</w:t>
            </w:r>
          </w:p>
        </w:tc>
        <w:tc>
          <w:tcPr>
            <w:tcW w:w="1470" w:type="dxa"/>
            <w:vAlign w:val="center"/>
          </w:tcPr>
          <w:p>
            <w:pPr>
              <w:pStyle w:val="92"/>
            </w:pPr>
            <w:r>
              <w:rPr>
                <w:rFonts w:hint="eastAsia"/>
              </w:rPr>
              <w:t>1.3527</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450</w:t>
            </w:r>
          </w:p>
        </w:tc>
        <w:tc>
          <w:tcPr>
            <w:tcW w:w="1470" w:type="dxa"/>
            <w:vAlign w:val="center"/>
          </w:tcPr>
          <w:p>
            <w:pPr>
              <w:pStyle w:val="92"/>
            </w:pPr>
            <w:r>
              <w:rPr>
                <w:rFonts w:hint="eastAsia"/>
              </w:rPr>
              <w:t>0.3006</w:t>
            </w:r>
          </w:p>
        </w:tc>
        <w:tc>
          <w:tcPr>
            <w:tcW w:w="1468"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Align w:val="center"/>
          </w:tcPr>
          <w:p>
            <w:pPr>
              <w:spacing w:line="240" w:lineRule="auto"/>
              <w:ind w:firstLine="0" w:firstLineChars="0"/>
              <w:jc w:val="center"/>
              <w:rPr>
                <w:sz w:val="21"/>
                <w:szCs w:val="21"/>
              </w:rPr>
            </w:pPr>
            <w:r>
              <w:rPr>
                <w:rFonts w:hint="eastAsia"/>
                <w:sz w:val="21"/>
                <w:szCs w:val="21"/>
              </w:rPr>
              <w:t>微粉</w:t>
            </w:r>
            <w:r>
              <w:rPr>
                <w:sz w:val="21"/>
                <w:szCs w:val="21"/>
              </w:rPr>
              <w:t>排气筒P4</w:t>
            </w:r>
          </w:p>
        </w:tc>
        <w:tc>
          <w:tcPr>
            <w:tcW w:w="1009" w:type="dxa"/>
            <w:vAlign w:val="center"/>
          </w:tcPr>
          <w:p>
            <w:pPr>
              <w:spacing w:line="240" w:lineRule="auto"/>
              <w:ind w:firstLine="0" w:firstLineChars="0"/>
              <w:jc w:val="center"/>
              <w:rPr>
                <w:sz w:val="21"/>
                <w:szCs w:val="21"/>
              </w:rPr>
            </w:pPr>
            <w:r>
              <w:rPr>
                <w:rFonts w:hint="eastAsia"/>
                <w:sz w:val="21"/>
                <w:szCs w:val="21"/>
              </w:rPr>
              <w:t>粉尘</w:t>
            </w:r>
          </w:p>
        </w:tc>
        <w:tc>
          <w:tcPr>
            <w:tcW w:w="1470" w:type="dxa"/>
            <w:vAlign w:val="center"/>
          </w:tcPr>
          <w:p>
            <w:pPr>
              <w:pStyle w:val="92"/>
            </w:pPr>
            <w:r>
              <w:rPr>
                <w:rFonts w:hint="eastAsia"/>
              </w:rPr>
              <w:t>1.3527</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450</w:t>
            </w:r>
          </w:p>
        </w:tc>
        <w:tc>
          <w:tcPr>
            <w:tcW w:w="1470" w:type="dxa"/>
            <w:vAlign w:val="center"/>
          </w:tcPr>
          <w:p>
            <w:pPr>
              <w:pStyle w:val="92"/>
            </w:pPr>
            <w:r>
              <w:rPr>
                <w:rFonts w:hint="eastAsia"/>
              </w:rPr>
              <w:t>0.3006</w:t>
            </w:r>
          </w:p>
        </w:tc>
        <w:tc>
          <w:tcPr>
            <w:tcW w:w="1468" w:type="dxa"/>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Align w:val="center"/>
          </w:tcPr>
          <w:p>
            <w:pPr>
              <w:spacing w:line="240" w:lineRule="auto"/>
              <w:ind w:firstLine="0" w:firstLineChars="0"/>
              <w:jc w:val="center"/>
              <w:rPr>
                <w:sz w:val="21"/>
                <w:szCs w:val="21"/>
              </w:rPr>
            </w:pPr>
            <w:r>
              <w:rPr>
                <w:rFonts w:hint="eastAsia"/>
                <w:sz w:val="21"/>
                <w:szCs w:val="21"/>
              </w:rPr>
              <w:t>甲醇</w:t>
            </w:r>
            <w:r>
              <w:rPr>
                <w:sz w:val="21"/>
                <w:szCs w:val="21"/>
              </w:rPr>
              <w:t>回收排气筒P5</w:t>
            </w:r>
          </w:p>
        </w:tc>
        <w:tc>
          <w:tcPr>
            <w:tcW w:w="1009" w:type="dxa"/>
            <w:vAlign w:val="center"/>
          </w:tcPr>
          <w:p>
            <w:pPr>
              <w:spacing w:line="240" w:lineRule="auto"/>
              <w:ind w:firstLine="0" w:firstLineChars="0"/>
              <w:jc w:val="center"/>
              <w:rPr>
                <w:sz w:val="21"/>
                <w:szCs w:val="21"/>
              </w:rPr>
            </w:pPr>
            <w:r>
              <w:rPr>
                <w:rFonts w:hint="eastAsia"/>
                <w:sz w:val="21"/>
                <w:szCs w:val="21"/>
              </w:rPr>
              <w:t>甲醇</w:t>
            </w:r>
          </w:p>
        </w:tc>
        <w:tc>
          <w:tcPr>
            <w:tcW w:w="1470" w:type="dxa"/>
            <w:vAlign w:val="center"/>
          </w:tcPr>
          <w:p>
            <w:pPr>
              <w:pStyle w:val="92"/>
            </w:pPr>
            <w:r>
              <w:t>13.8630</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3000.0</w:t>
            </w:r>
          </w:p>
        </w:tc>
        <w:tc>
          <w:tcPr>
            <w:tcW w:w="1470" w:type="dxa"/>
            <w:vAlign w:val="center"/>
          </w:tcPr>
          <w:p>
            <w:pPr>
              <w:pStyle w:val="92"/>
            </w:pPr>
            <w:r>
              <w:rPr>
                <w:rFonts w:hint="eastAsia"/>
              </w:rPr>
              <w:t>0.4</w:t>
            </w:r>
            <w:r>
              <w:t>621</w:t>
            </w:r>
          </w:p>
        </w:tc>
        <w:tc>
          <w:tcPr>
            <w:tcW w:w="1468"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Merge w:val="restart"/>
            <w:vAlign w:val="center"/>
          </w:tcPr>
          <w:p>
            <w:pPr>
              <w:spacing w:line="240" w:lineRule="auto"/>
              <w:ind w:firstLine="0" w:firstLineChars="0"/>
              <w:jc w:val="center"/>
              <w:rPr>
                <w:sz w:val="21"/>
                <w:szCs w:val="21"/>
              </w:rPr>
            </w:pPr>
            <w:r>
              <w:rPr>
                <w:rFonts w:hint="eastAsia"/>
                <w:sz w:val="21"/>
                <w:szCs w:val="21"/>
              </w:rPr>
              <w:t>天然气</w:t>
            </w:r>
            <w:r>
              <w:rPr>
                <w:sz w:val="21"/>
                <w:szCs w:val="21"/>
              </w:rPr>
              <w:t>锅炉排气筒P6</w:t>
            </w:r>
          </w:p>
        </w:tc>
        <w:tc>
          <w:tcPr>
            <w:tcW w:w="1009" w:type="dxa"/>
            <w:vAlign w:val="center"/>
          </w:tcPr>
          <w:p>
            <w:pPr>
              <w:spacing w:line="240" w:lineRule="auto"/>
              <w:ind w:firstLine="0" w:firstLineChars="0"/>
              <w:jc w:val="center"/>
              <w:rPr>
                <w:sz w:val="21"/>
                <w:szCs w:val="21"/>
              </w:rPr>
            </w:pPr>
            <w:r>
              <w:rPr>
                <w:rFonts w:hint="eastAsia"/>
                <w:sz w:val="21"/>
                <w:szCs w:val="21"/>
              </w:rPr>
              <w:t>颗粒物</w:t>
            </w:r>
          </w:p>
        </w:tc>
        <w:tc>
          <w:tcPr>
            <w:tcW w:w="1470" w:type="dxa"/>
            <w:vAlign w:val="center"/>
          </w:tcPr>
          <w:p>
            <w:pPr>
              <w:pStyle w:val="92"/>
            </w:pPr>
            <w:r>
              <w:rPr>
                <w:rFonts w:hint="eastAsia"/>
              </w:rPr>
              <w:t>30.9700</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450.0</w:t>
            </w:r>
          </w:p>
        </w:tc>
        <w:tc>
          <w:tcPr>
            <w:tcW w:w="1470" w:type="dxa"/>
            <w:vAlign w:val="center"/>
          </w:tcPr>
          <w:p>
            <w:pPr>
              <w:pStyle w:val="92"/>
            </w:pPr>
            <w:r>
              <w:rPr>
                <w:rFonts w:hint="eastAsia"/>
              </w:rPr>
              <w:t>6.8822</w:t>
            </w:r>
          </w:p>
        </w:tc>
        <w:tc>
          <w:tcPr>
            <w:tcW w:w="1468"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Merge w:val="continue"/>
            <w:vAlign w:val="center"/>
          </w:tcPr>
          <w:p>
            <w:pPr>
              <w:spacing w:line="240" w:lineRule="auto"/>
              <w:ind w:firstLine="0" w:firstLineChars="0"/>
              <w:jc w:val="center"/>
              <w:rPr>
                <w:sz w:val="21"/>
                <w:szCs w:val="21"/>
              </w:rPr>
            </w:pPr>
          </w:p>
        </w:tc>
        <w:tc>
          <w:tcPr>
            <w:tcW w:w="1009" w:type="dxa"/>
            <w:vAlign w:val="center"/>
          </w:tcPr>
          <w:p>
            <w:pPr>
              <w:spacing w:line="240" w:lineRule="auto"/>
              <w:ind w:firstLine="0" w:firstLineChars="0"/>
              <w:jc w:val="center"/>
              <w:rPr>
                <w:sz w:val="21"/>
                <w:szCs w:val="21"/>
              </w:rPr>
            </w:pPr>
            <w:r>
              <w:rPr>
                <w:rFonts w:hint="eastAsia"/>
                <w:sz w:val="21"/>
                <w:szCs w:val="21"/>
              </w:rPr>
              <w:t>SO</w:t>
            </w:r>
            <w:r>
              <w:rPr>
                <w:rFonts w:hint="eastAsia"/>
                <w:sz w:val="21"/>
                <w:szCs w:val="21"/>
                <w:vertAlign w:val="subscript"/>
              </w:rPr>
              <w:t>2</w:t>
            </w:r>
          </w:p>
        </w:tc>
        <w:tc>
          <w:tcPr>
            <w:tcW w:w="1470" w:type="dxa"/>
            <w:vAlign w:val="center"/>
          </w:tcPr>
          <w:p>
            <w:pPr>
              <w:pStyle w:val="92"/>
            </w:pPr>
            <w:r>
              <w:rPr>
                <w:rFonts w:hint="eastAsia"/>
              </w:rPr>
              <w:t>25.8083</w:t>
            </w:r>
          </w:p>
        </w:tc>
        <w:tc>
          <w:tcPr>
            <w:tcW w:w="14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500.0</w:t>
            </w:r>
          </w:p>
        </w:tc>
        <w:tc>
          <w:tcPr>
            <w:tcW w:w="1470" w:type="dxa"/>
            <w:vAlign w:val="center"/>
          </w:tcPr>
          <w:p>
            <w:pPr>
              <w:pStyle w:val="92"/>
            </w:pPr>
            <w:r>
              <w:rPr>
                <w:rFonts w:hint="eastAsia"/>
              </w:rPr>
              <w:t>5.1617</w:t>
            </w:r>
          </w:p>
        </w:tc>
        <w:tc>
          <w:tcPr>
            <w:tcW w:w="1468"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highlight w:val="yellow"/>
              </w:rPr>
            </w:pPr>
          </w:p>
        </w:tc>
        <w:tc>
          <w:tcPr>
            <w:tcW w:w="1552" w:type="dxa"/>
            <w:vMerge w:val="continue"/>
            <w:vAlign w:val="center"/>
          </w:tcPr>
          <w:p>
            <w:pPr>
              <w:spacing w:line="240" w:lineRule="auto"/>
              <w:ind w:firstLine="0" w:firstLineChars="0"/>
              <w:jc w:val="center"/>
              <w:rPr>
                <w:sz w:val="21"/>
                <w:szCs w:val="21"/>
              </w:rPr>
            </w:pPr>
          </w:p>
        </w:tc>
        <w:tc>
          <w:tcPr>
            <w:tcW w:w="1009" w:type="dxa"/>
            <w:vAlign w:val="center"/>
          </w:tcPr>
          <w:p>
            <w:pPr>
              <w:spacing w:line="240" w:lineRule="auto"/>
              <w:ind w:firstLine="0" w:firstLineChars="0"/>
              <w:jc w:val="center"/>
              <w:rPr>
                <w:b/>
                <w:sz w:val="21"/>
                <w:szCs w:val="21"/>
              </w:rPr>
            </w:pPr>
            <w:r>
              <w:rPr>
                <w:rFonts w:hint="eastAsia"/>
                <w:b/>
                <w:sz w:val="21"/>
                <w:szCs w:val="21"/>
              </w:rPr>
              <w:t>NO</w:t>
            </w:r>
            <w:r>
              <w:rPr>
                <w:rFonts w:hint="eastAsia"/>
                <w:b/>
                <w:sz w:val="21"/>
                <w:szCs w:val="21"/>
                <w:vertAlign w:val="subscript"/>
              </w:rPr>
              <w:t>x</w:t>
            </w:r>
          </w:p>
        </w:tc>
        <w:tc>
          <w:tcPr>
            <w:tcW w:w="1470" w:type="dxa"/>
            <w:vAlign w:val="center"/>
          </w:tcPr>
          <w:p>
            <w:pPr>
              <w:pStyle w:val="92"/>
              <w:rPr>
                <w:b/>
              </w:rPr>
            </w:pPr>
            <w:r>
              <w:rPr>
                <w:rFonts w:hint="eastAsia"/>
                <w:b/>
              </w:rPr>
              <w:t>24.0878</w:t>
            </w:r>
          </w:p>
        </w:tc>
        <w:tc>
          <w:tcPr>
            <w:tcW w:w="1470" w:type="dxa"/>
            <w:vAlign w:val="center"/>
          </w:tcPr>
          <w:p>
            <w:pPr>
              <w:autoSpaceDE w:val="0"/>
              <w:autoSpaceDN w:val="0"/>
              <w:snapToGrid/>
              <w:spacing w:line="240" w:lineRule="auto"/>
              <w:ind w:firstLine="0" w:firstLineChars="0"/>
              <w:jc w:val="center"/>
              <w:textAlignment w:val="bottom"/>
              <w:rPr>
                <w:b/>
                <w:kern w:val="0"/>
                <w:sz w:val="21"/>
                <w:szCs w:val="20"/>
              </w:rPr>
            </w:pPr>
            <w:r>
              <w:rPr>
                <w:rFonts w:hint="eastAsia"/>
                <w:b/>
                <w:kern w:val="0"/>
                <w:sz w:val="21"/>
                <w:szCs w:val="20"/>
              </w:rPr>
              <w:t>250.0</w:t>
            </w:r>
          </w:p>
        </w:tc>
        <w:tc>
          <w:tcPr>
            <w:tcW w:w="1470" w:type="dxa"/>
            <w:vAlign w:val="center"/>
          </w:tcPr>
          <w:p>
            <w:pPr>
              <w:pStyle w:val="92"/>
              <w:rPr>
                <w:b/>
              </w:rPr>
            </w:pPr>
            <w:r>
              <w:rPr>
                <w:rFonts w:hint="eastAsia"/>
                <w:b/>
              </w:rPr>
              <w:t>9.6351</w:t>
            </w:r>
          </w:p>
        </w:tc>
        <w:tc>
          <w:tcPr>
            <w:tcW w:w="1468"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restart"/>
            <w:vAlign w:val="center"/>
          </w:tcPr>
          <w:p>
            <w:pPr>
              <w:spacing w:line="240" w:lineRule="auto"/>
              <w:ind w:firstLine="0" w:firstLineChars="0"/>
              <w:jc w:val="center"/>
              <w:rPr>
                <w:sz w:val="21"/>
                <w:szCs w:val="21"/>
              </w:rPr>
            </w:pPr>
            <w:r>
              <w:rPr>
                <w:rFonts w:hint="eastAsia"/>
                <w:sz w:val="21"/>
                <w:szCs w:val="21"/>
              </w:rPr>
              <w:t>无组织</w:t>
            </w:r>
          </w:p>
        </w:tc>
        <w:tc>
          <w:tcPr>
            <w:tcW w:w="1552" w:type="dxa"/>
            <w:vMerge w:val="restart"/>
            <w:vAlign w:val="center"/>
          </w:tcPr>
          <w:p>
            <w:pPr>
              <w:spacing w:line="240" w:lineRule="auto"/>
              <w:ind w:firstLine="0" w:firstLineChars="0"/>
              <w:jc w:val="center"/>
              <w:rPr>
                <w:sz w:val="21"/>
                <w:szCs w:val="21"/>
              </w:rPr>
            </w:pPr>
            <w:r>
              <w:rPr>
                <w:rFonts w:hint="eastAsia"/>
                <w:sz w:val="21"/>
                <w:szCs w:val="21"/>
              </w:rPr>
              <w:t>储罐区</w:t>
            </w:r>
          </w:p>
        </w:tc>
        <w:tc>
          <w:tcPr>
            <w:tcW w:w="1009" w:type="dxa"/>
            <w:vAlign w:val="center"/>
          </w:tcPr>
          <w:p>
            <w:pPr>
              <w:spacing w:line="240" w:lineRule="auto"/>
              <w:ind w:firstLine="0" w:firstLineChars="0"/>
              <w:jc w:val="center"/>
              <w:rPr>
                <w:sz w:val="21"/>
                <w:szCs w:val="21"/>
              </w:rPr>
            </w:pPr>
            <w:r>
              <w:rPr>
                <w:rFonts w:hint="eastAsia"/>
                <w:sz w:val="21"/>
                <w:szCs w:val="21"/>
              </w:rPr>
              <w:t>甲醇</w:t>
            </w:r>
          </w:p>
        </w:tc>
        <w:tc>
          <w:tcPr>
            <w:tcW w:w="1470" w:type="dxa"/>
            <w:vAlign w:val="center"/>
          </w:tcPr>
          <w:p>
            <w:pPr>
              <w:pStyle w:val="92"/>
            </w:pPr>
            <w:r>
              <w:rPr>
                <w:rFonts w:hint="eastAsia"/>
              </w:rPr>
              <w:t>0.8240</w:t>
            </w:r>
          </w:p>
        </w:tc>
        <w:tc>
          <w:tcPr>
            <w:tcW w:w="1470" w:type="dxa"/>
            <w:vAlign w:val="center"/>
          </w:tcPr>
          <w:p>
            <w:pPr>
              <w:pStyle w:val="92"/>
            </w:pPr>
            <w:r>
              <w:rPr>
                <w:rFonts w:hint="eastAsia"/>
              </w:rPr>
              <w:t>3000.0</w:t>
            </w:r>
          </w:p>
        </w:tc>
        <w:tc>
          <w:tcPr>
            <w:tcW w:w="1470" w:type="dxa"/>
            <w:vAlign w:val="center"/>
          </w:tcPr>
          <w:p>
            <w:pPr>
              <w:pStyle w:val="92"/>
            </w:pPr>
            <w:r>
              <w:rPr>
                <w:rFonts w:hint="eastAsia"/>
              </w:rPr>
              <w:t>0.0275</w:t>
            </w:r>
          </w:p>
        </w:tc>
        <w:tc>
          <w:tcPr>
            <w:tcW w:w="1468" w:type="dxa"/>
            <w:vAlign w:val="center"/>
          </w:tcPr>
          <w:p>
            <w:pPr>
              <w:spacing w:line="240" w:lineRule="auto"/>
              <w:ind w:firstLine="0" w:firstLineChars="0"/>
              <w:jc w:val="center"/>
              <w:textAlignment w:val="baseline"/>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1" w:type="dxa"/>
            <w:vMerge w:val="continue"/>
            <w:vAlign w:val="center"/>
          </w:tcPr>
          <w:p>
            <w:pPr>
              <w:spacing w:line="240" w:lineRule="auto"/>
              <w:ind w:firstLine="0" w:firstLineChars="0"/>
              <w:jc w:val="center"/>
              <w:rPr>
                <w:sz w:val="21"/>
                <w:szCs w:val="21"/>
              </w:rPr>
            </w:pPr>
          </w:p>
        </w:tc>
        <w:tc>
          <w:tcPr>
            <w:tcW w:w="1552" w:type="dxa"/>
            <w:vMerge w:val="continue"/>
            <w:vAlign w:val="center"/>
          </w:tcPr>
          <w:p>
            <w:pPr>
              <w:spacing w:line="240" w:lineRule="auto"/>
              <w:ind w:firstLine="0" w:firstLineChars="0"/>
              <w:jc w:val="center"/>
              <w:rPr>
                <w:sz w:val="21"/>
                <w:szCs w:val="21"/>
              </w:rPr>
            </w:pPr>
          </w:p>
        </w:tc>
        <w:tc>
          <w:tcPr>
            <w:tcW w:w="1009" w:type="dxa"/>
            <w:vAlign w:val="center"/>
          </w:tcPr>
          <w:p>
            <w:pPr>
              <w:spacing w:line="240" w:lineRule="auto"/>
              <w:ind w:firstLine="0" w:firstLineChars="0"/>
              <w:jc w:val="center"/>
              <w:rPr>
                <w:sz w:val="21"/>
                <w:szCs w:val="21"/>
              </w:rPr>
            </w:pPr>
            <w:r>
              <w:rPr>
                <w:rFonts w:hint="eastAsia"/>
                <w:sz w:val="21"/>
                <w:szCs w:val="21"/>
              </w:rPr>
              <w:t>非甲烷</w:t>
            </w:r>
            <w:r>
              <w:rPr>
                <w:sz w:val="21"/>
                <w:szCs w:val="21"/>
              </w:rPr>
              <w:t>总烃</w:t>
            </w:r>
          </w:p>
        </w:tc>
        <w:tc>
          <w:tcPr>
            <w:tcW w:w="1470" w:type="dxa"/>
            <w:vAlign w:val="center"/>
          </w:tcPr>
          <w:p>
            <w:pPr>
              <w:pStyle w:val="92"/>
            </w:pPr>
            <w:r>
              <w:rPr>
                <w:rFonts w:hint="eastAsia"/>
              </w:rPr>
              <w:t>1.6481</w:t>
            </w:r>
          </w:p>
        </w:tc>
        <w:tc>
          <w:tcPr>
            <w:tcW w:w="1470" w:type="dxa"/>
            <w:vAlign w:val="center"/>
          </w:tcPr>
          <w:p>
            <w:pPr>
              <w:pStyle w:val="92"/>
            </w:pPr>
            <w:r>
              <w:rPr>
                <w:rFonts w:hint="eastAsia"/>
              </w:rPr>
              <w:t>2000.0</w:t>
            </w:r>
          </w:p>
        </w:tc>
        <w:tc>
          <w:tcPr>
            <w:tcW w:w="1470" w:type="dxa"/>
            <w:vAlign w:val="center"/>
          </w:tcPr>
          <w:p>
            <w:pPr>
              <w:pStyle w:val="92"/>
            </w:pPr>
            <w:r>
              <w:rPr>
                <w:rFonts w:hint="eastAsia"/>
              </w:rPr>
              <w:t>0.0824</w:t>
            </w:r>
          </w:p>
        </w:tc>
        <w:tc>
          <w:tcPr>
            <w:tcW w:w="1468" w:type="dxa"/>
            <w:vAlign w:val="center"/>
          </w:tcPr>
          <w:p>
            <w:pPr>
              <w:spacing w:line="240" w:lineRule="auto"/>
              <w:ind w:firstLine="0" w:firstLineChars="0"/>
              <w:jc w:val="center"/>
              <w:textAlignment w:val="baseline"/>
              <w:rPr>
                <w:kern w:val="0"/>
                <w:sz w:val="21"/>
                <w:szCs w:val="21"/>
              </w:rPr>
            </w:pPr>
            <w:r>
              <w:rPr>
                <w:kern w:val="0"/>
                <w:sz w:val="21"/>
                <w:szCs w:val="21"/>
              </w:rPr>
              <w:t>/</w:t>
            </w:r>
          </w:p>
        </w:tc>
      </w:tr>
    </w:tbl>
    <w:p>
      <w:pPr>
        <w:ind w:firstLine="480"/>
        <w:rPr>
          <w:rFonts w:cstheme="minorBidi"/>
        </w:rPr>
      </w:pPr>
      <w:r>
        <w:rPr>
          <w:rStyle w:val="88"/>
        </w:rPr>
        <w:t>根据</w:t>
      </w:r>
      <w:r>
        <w:rPr>
          <w:rStyle w:val="88"/>
          <w:rFonts w:hint="eastAsia"/>
        </w:rPr>
        <w:t>上表</w:t>
      </w:r>
      <w:r>
        <w:rPr>
          <w:rStyle w:val="88"/>
        </w:rPr>
        <w:t>可知</w:t>
      </w:r>
      <w:r>
        <w:t>，项目</w:t>
      </w:r>
      <w:r>
        <w:rPr>
          <w:rFonts w:hint="eastAsia"/>
        </w:rPr>
        <w:t>建成</w:t>
      </w:r>
      <w:r>
        <w:t>后，各污染源排放的污染物下风向最大落地浓度Pmax</w:t>
      </w:r>
      <w:r>
        <w:rPr>
          <w:rFonts w:hint="eastAsia"/>
        </w:rPr>
        <w:t>为天然气</w:t>
      </w:r>
      <w:r>
        <w:t>锅炉</w:t>
      </w:r>
      <w:r>
        <w:rPr>
          <w:rFonts w:hint="eastAsia"/>
        </w:rPr>
        <w:t>P5</w:t>
      </w:r>
      <w:r>
        <w:t>排放的NO</w:t>
      </w:r>
      <w:r>
        <w:rPr>
          <w:vertAlign w:val="subscript"/>
        </w:rPr>
        <w:t>x</w:t>
      </w:r>
      <w:r>
        <w:rPr>
          <w:rFonts w:hint="eastAsia"/>
        </w:rPr>
        <w:t>，</w:t>
      </w:r>
      <w:r>
        <w:t>Pmax=9.6351%&lt;10%。根据表2.5-1的评价工作等级评定依据，确定本次环境空气评价工作等级为二级。</w:t>
      </w:r>
    </w:p>
    <w:p>
      <w:pPr>
        <w:pStyle w:val="5"/>
      </w:pPr>
      <w:r>
        <w:rPr>
          <w:rFonts w:hint="eastAsia"/>
        </w:rPr>
        <w:t>地表水环境评价等级划分</w:t>
      </w:r>
    </w:p>
    <w:p>
      <w:pPr>
        <w:pStyle w:val="87"/>
        <w:ind w:firstLine="480"/>
      </w:pPr>
      <w:r>
        <w:rPr>
          <w:rFonts w:hint="eastAsia"/>
        </w:rPr>
        <w:t>本项目运营期排放的污水主要为生活污水，生活污水经化粪池处理后经市政</w:t>
      </w:r>
      <w:r>
        <w:t>管网排入吕河镇镇区污水处理厂</w:t>
      </w:r>
      <w:r>
        <w:rPr>
          <w:rFonts w:hint="eastAsia"/>
        </w:rPr>
        <w:t>。</w:t>
      </w:r>
    </w:p>
    <w:p>
      <w:pPr>
        <w:pStyle w:val="87"/>
        <w:ind w:firstLine="480"/>
      </w:pPr>
      <w:r>
        <w:rPr>
          <w:rFonts w:hint="eastAsia"/>
        </w:rPr>
        <w:t>根据《环境影响评价技术导则地面水环境》（</w:t>
      </w:r>
      <w:r>
        <w:t>HJ2.3-2018</w:t>
      </w:r>
      <w:r>
        <w:rPr>
          <w:rFonts w:hint="eastAsia"/>
        </w:rPr>
        <w:t>）中相关环境影响评价工作等级划分原则，确定本项目地表水环境评价等级为三级</w:t>
      </w:r>
      <w:r>
        <w:t>B</w:t>
      </w:r>
      <w:r>
        <w:rPr>
          <w:rFonts w:hint="eastAsia"/>
        </w:rPr>
        <w:t>，</w:t>
      </w:r>
      <w:r>
        <w:t>评价等级判定见表</w:t>
      </w:r>
      <w:r>
        <w:rPr>
          <w:rFonts w:hint="eastAsia"/>
        </w:rPr>
        <w:t>2.</w:t>
      </w:r>
      <w:r>
        <w:t>5</w:t>
      </w:r>
      <w:r>
        <w:rPr>
          <w:rFonts w:hint="eastAsia"/>
        </w:rPr>
        <w:t>-</w:t>
      </w:r>
      <w:r>
        <w:t>3</w:t>
      </w:r>
      <w:r>
        <w:rPr>
          <w:rFonts w:hint="eastAsia"/>
        </w:rPr>
        <w:t>。</w:t>
      </w:r>
    </w:p>
    <w:p>
      <w:pPr>
        <w:tabs>
          <w:tab w:val="left" w:pos="6840"/>
        </w:tabs>
        <w:topLinePunct/>
        <w:snapToGrid/>
        <w:spacing w:line="240" w:lineRule="auto"/>
        <w:ind w:firstLine="0" w:firstLineChars="0"/>
        <w:jc w:val="center"/>
        <w:rPr>
          <w:b/>
          <w:kern w:val="24"/>
          <w:szCs w:val="28"/>
        </w:rPr>
      </w:pPr>
      <w:r>
        <w:rPr>
          <w:b/>
          <w:kern w:val="24"/>
          <w:szCs w:val="28"/>
          <w:highlight w:val="yellow"/>
        </w:rPr>
        <w:br w:type="column"/>
      </w: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2.5</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3</w:t>
      </w:r>
      <w:r>
        <w:rPr>
          <w:b/>
          <w:sz w:val="21"/>
          <w:szCs w:val="24"/>
        </w:rPr>
        <w:fldChar w:fldCharType="end"/>
      </w:r>
      <w:r>
        <w:rPr>
          <w:b/>
          <w:kern w:val="24"/>
          <w:szCs w:val="28"/>
        </w:rPr>
        <w:t xml:space="preserve">  水污染影响型建设项目评价等级判定表</w:t>
      </w:r>
    </w:p>
    <w:tbl>
      <w:tblPr>
        <w:tblStyle w:val="112"/>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7"/>
        <w:gridCol w:w="3542"/>
        <w:gridCol w:w="34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vMerge w:val="restart"/>
            <w:shd w:val="clear" w:color="auto" w:fill="auto"/>
            <w:vAlign w:val="center"/>
          </w:tcPr>
          <w:p>
            <w:pPr>
              <w:snapToGrid/>
              <w:spacing w:line="240" w:lineRule="auto"/>
              <w:ind w:firstLine="0" w:firstLineChars="0"/>
              <w:jc w:val="center"/>
              <w:rPr>
                <w:b/>
                <w:bCs/>
                <w:sz w:val="21"/>
              </w:rPr>
            </w:pPr>
            <w:r>
              <w:rPr>
                <w:b/>
                <w:bCs/>
                <w:sz w:val="21"/>
              </w:rPr>
              <w:t>评价等级</w:t>
            </w:r>
          </w:p>
        </w:tc>
        <w:tc>
          <w:tcPr>
            <w:tcW w:w="7003" w:type="dxa"/>
            <w:gridSpan w:val="2"/>
            <w:shd w:val="clear" w:color="auto" w:fill="auto"/>
            <w:vAlign w:val="center"/>
          </w:tcPr>
          <w:p>
            <w:pPr>
              <w:snapToGrid/>
              <w:spacing w:line="240" w:lineRule="auto"/>
              <w:ind w:firstLine="0" w:firstLineChars="0"/>
              <w:jc w:val="center"/>
              <w:rPr>
                <w:b/>
                <w:bCs/>
                <w:sz w:val="21"/>
              </w:rPr>
            </w:pPr>
            <w:r>
              <w:rPr>
                <w:b/>
                <w:bCs/>
                <w:sz w:val="21"/>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vMerge w:val="continue"/>
            <w:shd w:val="clear" w:color="auto" w:fill="auto"/>
            <w:vAlign w:val="center"/>
          </w:tcPr>
          <w:p>
            <w:pPr>
              <w:snapToGrid/>
              <w:spacing w:line="240" w:lineRule="auto"/>
              <w:ind w:firstLine="420" w:firstLineChars="0"/>
              <w:jc w:val="center"/>
              <w:rPr>
                <w:b/>
                <w:bCs/>
                <w:sz w:val="21"/>
              </w:rPr>
            </w:pPr>
          </w:p>
        </w:tc>
        <w:tc>
          <w:tcPr>
            <w:tcW w:w="3542" w:type="dxa"/>
            <w:shd w:val="clear" w:color="auto" w:fill="auto"/>
            <w:vAlign w:val="center"/>
          </w:tcPr>
          <w:p>
            <w:pPr>
              <w:snapToGrid/>
              <w:spacing w:line="240" w:lineRule="auto"/>
              <w:ind w:firstLine="0" w:firstLineChars="0"/>
              <w:jc w:val="center"/>
              <w:rPr>
                <w:b/>
                <w:bCs/>
                <w:sz w:val="21"/>
              </w:rPr>
            </w:pPr>
            <w:r>
              <w:rPr>
                <w:b/>
                <w:bCs/>
                <w:sz w:val="21"/>
              </w:rPr>
              <w:t>排放方式</w:t>
            </w:r>
          </w:p>
        </w:tc>
        <w:tc>
          <w:tcPr>
            <w:tcW w:w="3461" w:type="dxa"/>
            <w:shd w:val="clear" w:color="auto" w:fill="auto"/>
            <w:vAlign w:val="center"/>
          </w:tcPr>
          <w:p>
            <w:pPr>
              <w:snapToGrid/>
              <w:spacing w:line="240" w:lineRule="auto"/>
              <w:ind w:firstLine="0" w:firstLineChars="0"/>
              <w:jc w:val="center"/>
              <w:rPr>
                <w:b/>
                <w:bCs/>
                <w:sz w:val="21"/>
              </w:rPr>
            </w:pPr>
            <w:r>
              <w:rPr>
                <w:b/>
                <w:bCs/>
                <w:sz w:val="21"/>
              </w:rPr>
              <w:t>废水排放量Q/（m</w:t>
            </w:r>
            <w:r>
              <w:rPr>
                <w:b/>
                <w:bCs/>
                <w:sz w:val="21"/>
                <w:vertAlign w:val="superscript"/>
              </w:rPr>
              <w:t>3</w:t>
            </w:r>
            <w:r>
              <w:rPr>
                <w:b/>
                <w:bCs/>
                <w:sz w:val="21"/>
              </w:rPr>
              <w:t>/d）;</w:t>
            </w:r>
          </w:p>
          <w:p>
            <w:pPr>
              <w:snapToGrid/>
              <w:spacing w:line="240" w:lineRule="auto"/>
              <w:ind w:firstLine="0" w:firstLineChars="0"/>
              <w:jc w:val="center"/>
              <w:rPr>
                <w:b/>
                <w:bCs/>
                <w:sz w:val="21"/>
              </w:rPr>
            </w:pPr>
            <w:r>
              <w:rPr>
                <w:b/>
                <w:bCs/>
                <w:sz w:val="21"/>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shd w:val="clear" w:color="auto" w:fill="auto"/>
            <w:vAlign w:val="center"/>
          </w:tcPr>
          <w:p>
            <w:pPr>
              <w:snapToGrid/>
              <w:spacing w:line="240" w:lineRule="auto"/>
              <w:ind w:firstLine="0" w:firstLineChars="0"/>
              <w:jc w:val="center"/>
              <w:rPr>
                <w:bCs/>
                <w:sz w:val="21"/>
              </w:rPr>
            </w:pPr>
            <w:r>
              <w:rPr>
                <w:bCs/>
                <w:sz w:val="21"/>
              </w:rPr>
              <w:t>一级</w:t>
            </w:r>
          </w:p>
        </w:tc>
        <w:tc>
          <w:tcPr>
            <w:tcW w:w="3542" w:type="dxa"/>
            <w:shd w:val="clear" w:color="auto" w:fill="auto"/>
            <w:vAlign w:val="center"/>
          </w:tcPr>
          <w:p>
            <w:pPr>
              <w:snapToGrid/>
              <w:spacing w:line="240" w:lineRule="auto"/>
              <w:ind w:firstLine="0" w:firstLineChars="0"/>
              <w:jc w:val="center"/>
              <w:rPr>
                <w:bCs/>
                <w:sz w:val="21"/>
              </w:rPr>
            </w:pPr>
            <w:r>
              <w:rPr>
                <w:bCs/>
                <w:sz w:val="21"/>
              </w:rPr>
              <w:t>直接排放</w:t>
            </w:r>
          </w:p>
        </w:tc>
        <w:tc>
          <w:tcPr>
            <w:tcW w:w="3461" w:type="dxa"/>
            <w:shd w:val="clear" w:color="auto" w:fill="auto"/>
            <w:vAlign w:val="center"/>
          </w:tcPr>
          <w:p>
            <w:pPr>
              <w:snapToGrid/>
              <w:spacing w:line="240" w:lineRule="auto"/>
              <w:ind w:firstLine="0" w:firstLineChars="0"/>
              <w:jc w:val="center"/>
              <w:rPr>
                <w:bCs/>
                <w:sz w:val="21"/>
              </w:rPr>
            </w:pPr>
            <w:r>
              <w:rPr>
                <w:bCs/>
                <w:sz w:val="21"/>
              </w:rPr>
              <w:t>Q≥20000或W≥600000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shd w:val="clear" w:color="auto" w:fill="auto"/>
            <w:vAlign w:val="center"/>
          </w:tcPr>
          <w:p>
            <w:pPr>
              <w:snapToGrid/>
              <w:spacing w:line="240" w:lineRule="auto"/>
              <w:ind w:firstLine="0" w:firstLineChars="0"/>
              <w:jc w:val="center"/>
              <w:rPr>
                <w:bCs/>
                <w:sz w:val="21"/>
              </w:rPr>
            </w:pPr>
            <w:r>
              <w:rPr>
                <w:bCs/>
                <w:sz w:val="21"/>
              </w:rPr>
              <w:t>二级</w:t>
            </w:r>
          </w:p>
        </w:tc>
        <w:tc>
          <w:tcPr>
            <w:tcW w:w="3542" w:type="dxa"/>
            <w:shd w:val="clear" w:color="auto" w:fill="auto"/>
            <w:vAlign w:val="center"/>
          </w:tcPr>
          <w:p>
            <w:pPr>
              <w:snapToGrid/>
              <w:spacing w:line="240" w:lineRule="auto"/>
              <w:ind w:firstLine="0" w:firstLineChars="0"/>
              <w:jc w:val="center"/>
              <w:rPr>
                <w:bCs/>
                <w:sz w:val="21"/>
              </w:rPr>
            </w:pPr>
            <w:r>
              <w:rPr>
                <w:bCs/>
                <w:sz w:val="21"/>
              </w:rPr>
              <w:t>直接排放</w:t>
            </w:r>
          </w:p>
        </w:tc>
        <w:tc>
          <w:tcPr>
            <w:tcW w:w="3461" w:type="dxa"/>
            <w:shd w:val="clear" w:color="auto" w:fill="auto"/>
            <w:vAlign w:val="center"/>
          </w:tcPr>
          <w:p>
            <w:pPr>
              <w:snapToGrid/>
              <w:spacing w:line="240" w:lineRule="auto"/>
              <w:ind w:firstLine="0" w:firstLineChars="0"/>
              <w:jc w:val="center"/>
              <w:rPr>
                <w:bCs/>
                <w:sz w:val="21"/>
              </w:rPr>
            </w:pPr>
            <w:r>
              <w:rPr>
                <w:bCs/>
                <w:sz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shd w:val="clear" w:color="auto" w:fill="auto"/>
            <w:vAlign w:val="center"/>
          </w:tcPr>
          <w:p>
            <w:pPr>
              <w:snapToGrid/>
              <w:spacing w:line="240" w:lineRule="auto"/>
              <w:ind w:firstLine="0" w:firstLineChars="0"/>
              <w:jc w:val="center"/>
              <w:rPr>
                <w:bCs/>
                <w:sz w:val="21"/>
              </w:rPr>
            </w:pPr>
            <w:r>
              <w:rPr>
                <w:bCs/>
                <w:sz w:val="21"/>
              </w:rPr>
              <w:t>三级A</w:t>
            </w:r>
          </w:p>
        </w:tc>
        <w:tc>
          <w:tcPr>
            <w:tcW w:w="3542" w:type="dxa"/>
            <w:shd w:val="clear" w:color="auto" w:fill="auto"/>
            <w:vAlign w:val="center"/>
          </w:tcPr>
          <w:p>
            <w:pPr>
              <w:snapToGrid/>
              <w:spacing w:line="240" w:lineRule="auto"/>
              <w:ind w:firstLine="0" w:firstLineChars="0"/>
              <w:jc w:val="center"/>
              <w:rPr>
                <w:bCs/>
                <w:sz w:val="21"/>
              </w:rPr>
            </w:pPr>
            <w:r>
              <w:rPr>
                <w:bCs/>
                <w:sz w:val="21"/>
              </w:rPr>
              <w:t>直接排放</w:t>
            </w:r>
          </w:p>
        </w:tc>
        <w:tc>
          <w:tcPr>
            <w:tcW w:w="3461" w:type="dxa"/>
            <w:shd w:val="clear" w:color="auto" w:fill="auto"/>
            <w:vAlign w:val="center"/>
          </w:tcPr>
          <w:p>
            <w:pPr>
              <w:snapToGrid/>
              <w:spacing w:line="240" w:lineRule="auto"/>
              <w:ind w:firstLine="0" w:firstLineChars="0"/>
              <w:jc w:val="center"/>
              <w:rPr>
                <w:bCs/>
                <w:sz w:val="21"/>
              </w:rPr>
            </w:pPr>
            <w:r>
              <w:rPr>
                <w:bCs/>
                <w:sz w:val="21"/>
              </w:rPr>
              <w:t>Q&lt;200且W&lt;6000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shd w:val="clear" w:color="auto" w:fill="auto"/>
            <w:vAlign w:val="center"/>
          </w:tcPr>
          <w:p>
            <w:pPr>
              <w:snapToGrid/>
              <w:spacing w:line="240" w:lineRule="auto"/>
              <w:ind w:firstLine="0" w:firstLineChars="0"/>
              <w:jc w:val="center"/>
              <w:rPr>
                <w:bCs/>
                <w:sz w:val="21"/>
              </w:rPr>
            </w:pPr>
            <w:r>
              <w:rPr>
                <w:bCs/>
                <w:sz w:val="21"/>
              </w:rPr>
              <w:t>三级B</w:t>
            </w:r>
          </w:p>
        </w:tc>
        <w:tc>
          <w:tcPr>
            <w:tcW w:w="3542" w:type="dxa"/>
            <w:shd w:val="clear" w:color="auto" w:fill="auto"/>
            <w:vAlign w:val="center"/>
          </w:tcPr>
          <w:p>
            <w:pPr>
              <w:snapToGrid/>
              <w:spacing w:line="240" w:lineRule="auto"/>
              <w:ind w:firstLine="0" w:firstLineChars="0"/>
              <w:jc w:val="center"/>
              <w:rPr>
                <w:bCs/>
                <w:sz w:val="21"/>
              </w:rPr>
            </w:pPr>
            <w:r>
              <w:rPr>
                <w:bCs/>
                <w:sz w:val="21"/>
              </w:rPr>
              <w:t>间接排放</w:t>
            </w:r>
          </w:p>
        </w:tc>
        <w:tc>
          <w:tcPr>
            <w:tcW w:w="3461" w:type="dxa"/>
            <w:shd w:val="clear" w:color="auto" w:fill="auto"/>
            <w:vAlign w:val="center"/>
          </w:tcPr>
          <w:p>
            <w:pPr>
              <w:snapToGrid/>
              <w:spacing w:line="240" w:lineRule="auto"/>
              <w:ind w:firstLine="0" w:firstLineChars="0"/>
              <w:jc w:val="center"/>
              <w:rPr>
                <w:bCs/>
                <w:sz w:val="21"/>
              </w:rPr>
            </w:pPr>
            <w:r>
              <w:rPr>
                <w:bCs/>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shd w:val="clear" w:color="auto" w:fill="auto"/>
            <w:vAlign w:val="center"/>
          </w:tcPr>
          <w:p>
            <w:pPr>
              <w:snapToGrid/>
              <w:spacing w:line="240" w:lineRule="auto"/>
              <w:ind w:firstLine="0" w:firstLineChars="0"/>
              <w:jc w:val="center"/>
              <w:rPr>
                <w:bCs/>
                <w:sz w:val="21"/>
              </w:rPr>
            </w:pPr>
            <w:r>
              <w:rPr>
                <w:bCs/>
                <w:sz w:val="21"/>
              </w:rPr>
              <w:t>本项目</w:t>
            </w:r>
          </w:p>
        </w:tc>
        <w:tc>
          <w:tcPr>
            <w:tcW w:w="7003" w:type="dxa"/>
            <w:gridSpan w:val="2"/>
            <w:shd w:val="clear" w:color="auto" w:fill="auto"/>
            <w:vAlign w:val="center"/>
          </w:tcPr>
          <w:p>
            <w:pPr>
              <w:snapToGrid/>
              <w:spacing w:line="240" w:lineRule="auto"/>
              <w:ind w:firstLine="0" w:firstLineChars="0"/>
              <w:jc w:val="center"/>
              <w:rPr>
                <w:bCs/>
                <w:sz w:val="21"/>
              </w:rPr>
            </w:pPr>
            <w:r>
              <w:rPr>
                <w:bCs/>
                <w:sz w:val="21"/>
              </w:rPr>
              <w:t>本项目</w:t>
            </w:r>
            <w:r>
              <w:rPr>
                <w:rFonts w:hint="eastAsia"/>
                <w:bCs/>
                <w:sz w:val="21"/>
              </w:rPr>
              <w:t>生活</w:t>
            </w:r>
            <w:r>
              <w:rPr>
                <w:bCs/>
                <w:sz w:val="21"/>
              </w:rPr>
              <w:t>废水</w:t>
            </w:r>
            <w:r>
              <w:rPr>
                <w:rFonts w:hint="eastAsia"/>
                <w:bCs/>
                <w:sz w:val="21"/>
              </w:rPr>
              <w:t>排放量</w:t>
            </w:r>
            <w:r>
              <w:rPr>
                <w:bCs/>
                <w:sz w:val="21"/>
              </w:rPr>
              <w:t>为0.89m</w:t>
            </w:r>
            <w:r>
              <w:rPr>
                <w:bCs/>
                <w:sz w:val="21"/>
                <w:vertAlign w:val="superscript"/>
              </w:rPr>
              <w:t>3</w:t>
            </w:r>
            <w:r>
              <w:rPr>
                <w:bCs/>
                <w:sz w:val="21"/>
              </w:rPr>
              <w:t>/d，</w:t>
            </w:r>
            <w:r>
              <w:rPr>
                <w:rFonts w:hint="eastAsia"/>
                <w:bCs/>
                <w:sz w:val="21"/>
              </w:rPr>
              <w:t>经</w:t>
            </w:r>
            <w:r>
              <w:rPr>
                <w:bCs/>
                <w:sz w:val="21"/>
              </w:rPr>
              <w:t>化粪池处理后，排入</w:t>
            </w:r>
            <w:r>
              <w:rPr>
                <w:rFonts w:hint="eastAsia"/>
                <w:bCs/>
                <w:sz w:val="21"/>
              </w:rPr>
              <w:t>吕河镇</w:t>
            </w:r>
            <w:r>
              <w:rPr>
                <w:bCs/>
                <w:sz w:val="21"/>
              </w:rPr>
              <w:t>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037" w:type="dxa"/>
            <w:shd w:val="clear" w:color="auto" w:fill="auto"/>
            <w:vAlign w:val="center"/>
          </w:tcPr>
          <w:p>
            <w:pPr>
              <w:snapToGrid/>
              <w:spacing w:line="240" w:lineRule="auto"/>
              <w:ind w:firstLine="0" w:firstLineChars="0"/>
              <w:jc w:val="center"/>
              <w:rPr>
                <w:bCs/>
                <w:sz w:val="21"/>
              </w:rPr>
            </w:pPr>
            <w:r>
              <w:rPr>
                <w:bCs/>
                <w:sz w:val="21"/>
              </w:rPr>
              <w:t>确定评价等级</w:t>
            </w:r>
          </w:p>
        </w:tc>
        <w:tc>
          <w:tcPr>
            <w:tcW w:w="7003" w:type="dxa"/>
            <w:gridSpan w:val="2"/>
            <w:shd w:val="clear" w:color="auto" w:fill="auto"/>
            <w:vAlign w:val="center"/>
          </w:tcPr>
          <w:p>
            <w:pPr>
              <w:snapToGrid/>
              <w:spacing w:line="240" w:lineRule="auto"/>
              <w:ind w:firstLine="420" w:firstLineChars="0"/>
              <w:jc w:val="center"/>
              <w:rPr>
                <w:bCs/>
                <w:sz w:val="21"/>
              </w:rPr>
            </w:pPr>
            <w:r>
              <w:rPr>
                <w:bCs/>
                <w:sz w:val="21"/>
              </w:rPr>
              <w:t>三级B评价</w:t>
            </w:r>
          </w:p>
        </w:tc>
      </w:tr>
    </w:tbl>
    <w:p>
      <w:pPr>
        <w:pStyle w:val="5"/>
      </w:pPr>
      <w:r>
        <w:rPr>
          <w:rFonts w:hint="eastAsia"/>
        </w:rPr>
        <w:t>地下水环境评价等级划分</w:t>
      </w:r>
    </w:p>
    <w:p>
      <w:pPr>
        <w:ind w:firstLine="600" w:firstLineChars="250"/>
        <w:rPr>
          <w:kern w:val="0"/>
        </w:rPr>
      </w:pPr>
      <w:r>
        <w:rPr>
          <w:rFonts w:hint="eastAsia"/>
          <w:kern w:val="0"/>
        </w:rPr>
        <w:t>（1）评价</w:t>
      </w:r>
      <w:r>
        <w:rPr>
          <w:kern w:val="0"/>
        </w:rPr>
        <w:t>等级</w:t>
      </w:r>
    </w:p>
    <w:p>
      <w:pPr>
        <w:ind w:firstLine="600" w:firstLineChars="250"/>
      </w:pPr>
      <w:r>
        <w:rPr>
          <w:kern w:val="0"/>
        </w:rPr>
        <w:t>本项目属于</w:t>
      </w:r>
      <w:r>
        <w:rPr>
          <w:rFonts w:hint="eastAsia"/>
          <w:kern w:val="0"/>
        </w:rPr>
        <w:t>黄姜提取</w:t>
      </w:r>
      <w:r>
        <w:rPr>
          <w:kern w:val="0"/>
        </w:rPr>
        <w:t>项目，根据</w:t>
      </w:r>
      <w:r>
        <w:t>《环境影响评价技术导则 地下水环境》（HJ610-2016）</w:t>
      </w:r>
      <w:r>
        <w:rPr>
          <w:rFonts w:hint="eastAsia"/>
        </w:rPr>
        <w:t>中的地下水环境影响评价项目类别，项目地下水环境影响评价行业属于“M</w:t>
      </w:r>
      <w:r>
        <w:t>医药</w:t>
      </w:r>
      <w:r>
        <w:rPr>
          <w:rFonts w:hint="eastAsia"/>
        </w:rPr>
        <w:t xml:space="preserve"> 90化学</w:t>
      </w:r>
      <w:r>
        <w:t>药品制造；生物、生化制品制造</w:t>
      </w:r>
      <w:r>
        <w:rPr>
          <w:rFonts w:hint="eastAsia"/>
        </w:rPr>
        <w:t>”—</w:t>
      </w:r>
      <w:r>
        <w:rPr>
          <w:rFonts w:asciiTheme="minorEastAsia" w:hAnsiTheme="minorEastAsia" w:eastAsiaTheme="minorEastAsia"/>
        </w:rPr>
        <w:t>“</w:t>
      </w:r>
      <w:r>
        <w:rPr>
          <w:rFonts w:hint="eastAsia"/>
        </w:rPr>
        <w:t>报告书</w:t>
      </w:r>
      <w:r>
        <w:rPr>
          <w:rFonts w:hint="eastAsia" w:ascii="宋体" w:hAnsi="宋体" w:cs="宋体"/>
          <w:sz w:val="21"/>
          <w:szCs w:val="21"/>
        </w:rPr>
        <w:t>Ⅰ</w:t>
      </w:r>
      <w:r>
        <w:rPr>
          <w:rFonts w:hint="eastAsia"/>
        </w:rPr>
        <w:t>类项目</w:t>
      </w:r>
      <w:r>
        <w:rPr>
          <w:rFonts w:asciiTheme="minorEastAsia" w:hAnsiTheme="minorEastAsia" w:eastAsiaTheme="minorEastAsia"/>
        </w:rPr>
        <w:t>”</w:t>
      </w:r>
      <w:r>
        <w:rPr>
          <w:rFonts w:hint="eastAsia" w:asciiTheme="minorEastAsia" w:hAnsiTheme="minorEastAsia" w:eastAsiaTheme="minorEastAsia"/>
        </w:rPr>
        <w:t>，</w:t>
      </w:r>
      <w:r>
        <w:rPr>
          <w:rFonts w:hint="eastAsia"/>
        </w:rPr>
        <w:t xml:space="preserve"> </w:t>
      </w:r>
      <w:r>
        <w:rPr>
          <w:rFonts w:hint="eastAsia" w:asciiTheme="minorEastAsia" w:hAnsiTheme="minorEastAsia" w:eastAsiaTheme="minorEastAsia"/>
        </w:rPr>
        <w:t>项目所在区域不属于集中式饮用水水源地准保护区和补给径流区，项目评价范围无居民饮用水井，</w:t>
      </w:r>
      <w:r>
        <w:rPr>
          <w:rFonts w:asciiTheme="minorEastAsia" w:hAnsiTheme="minorEastAsia" w:eastAsiaTheme="minorEastAsia"/>
        </w:rPr>
        <w:t>无</w:t>
      </w:r>
      <w:r>
        <w:rPr>
          <w:rFonts w:hint="eastAsia" w:asciiTheme="minorEastAsia" w:hAnsiTheme="minorEastAsia" w:eastAsiaTheme="minorEastAsia"/>
        </w:rPr>
        <w:t>分散式</w:t>
      </w:r>
      <w:r>
        <w:rPr>
          <w:rFonts w:asciiTheme="minorEastAsia" w:hAnsiTheme="minorEastAsia" w:eastAsiaTheme="minorEastAsia"/>
        </w:rPr>
        <w:t>水源地，</w:t>
      </w:r>
      <w:r>
        <w:t>项目所在区域地下水环境敏感程度为不敏感。以此判定项目地下水环境影响评价等级为</w:t>
      </w:r>
      <w:r>
        <w:rPr>
          <w:rFonts w:hint="eastAsia"/>
        </w:rPr>
        <w:t>二</w:t>
      </w:r>
      <w:r>
        <w:t>级。评价等级分级见</w:t>
      </w:r>
      <w:r>
        <w:rPr>
          <w:rFonts w:hint="eastAsia"/>
        </w:rPr>
        <w:t>表2.5-4。</w:t>
      </w:r>
    </w:p>
    <w:p>
      <w:pPr>
        <w:pStyle w:val="93"/>
        <w:rPr>
          <w:rFonts w:hAnsi="Times New Roman"/>
          <w:sz w:val="20"/>
          <w:szCs w:val="20"/>
        </w:rPr>
      </w:pPr>
      <w:r>
        <w:t>表</w:t>
      </w:r>
      <w:r>
        <w:fldChar w:fldCharType="begin"/>
      </w:r>
      <w:r>
        <w:instrText xml:space="preserve"> STYLEREF 2 \s </w:instrText>
      </w:r>
      <w:r>
        <w:fldChar w:fldCharType="separate"/>
      </w:r>
      <w:r>
        <w:t>2.5</w:t>
      </w:r>
      <w:r>
        <w:fldChar w:fldCharType="end"/>
      </w:r>
      <w:r>
        <w:noBreakHyphen/>
      </w:r>
      <w:r>
        <w:fldChar w:fldCharType="begin"/>
      </w:r>
      <w:r>
        <w:instrText xml:space="preserve"> SEQ 表 \* ARABIC \s 2 </w:instrText>
      </w:r>
      <w:r>
        <w:fldChar w:fldCharType="separate"/>
      </w:r>
      <w:r>
        <w:t>4</w:t>
      </w:r>
      <w:r>
        <w:fldChar w:fldCharType="end"/>
      </w:r>
      <w:r>
        <w:rPr>
          <w:rFonts w:hAnsi="Times New Roman"/>
          <w:szCs w:val="21"/>
        </w:rPr>
        <w:t xml:space="preserve">  评价工作等级分级表</w:t>
      </w:r>
    </w:p>
    <w:tbl>
      <w:tblPr>
        <w:tblStyle w:val="35"/>
        <w:tblW w:w="904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0"/>
        <w:gridCol w:w="2260"/>
        <w:gridCol w:w="2260"/>
        <w:gridCol w:w="2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60" w:type="dxa"/>
            <w:tcBorders>
              <w:top w:val="single" w:color="auto" w:sz="12" w:space="0"/>
              <w:left w:val="single" w:color="auto" w:sz="12" w:space="0"/>
              <w:tl2br w:val="single" w:color="auto" w:sz="4" w:space="0"/>
            </w:tcBorders>
            <w:vAlign w:val="center"/>
          </w:tcPr>
          <w:p>
            <w:pPr>
              <w:spacing w:line="240" w:lineRule="auto"/>
              <w:ind w:firstLine="420"/>
              <w:jc w:val="center"/>
              <w:rPr>
                <w:sz w:val="21"/>
                <w:szCs w:val="21"/>
              </w:rPr>
            </w:pPr>
            <w:r>
              <w:rPr>
                <w:sz w:val="21"/>
                <w:szCs w:val="21"/>
              </w:rPr>
              <w:t xml:space="preserve">     项目类别</w:t>
            </w:r>
          </w:p>
          <w:p>
            <w:pPr>
              <w:spacing w:line="240" w:lineRule="auto"/>
              <w:ind w:firstLine="0" w:firstLineChars="0"/>
              <w:rPr>
                <w:sz w:val="21"/>
                <w:szCs w:val="21"/>
              </w:rPr>
            </w:pPr>
            <w:r>
              <w:rPr>
                <w:sz w:val="21"/>
                <w:szCs w:val="21"/>
              </w:rPr>
              <w:t>环境敏感程度</w:t>
            </w:r>
          </w:p>
        </w:tc>
        <w:tc>
          <w:tcPr>
            <w:tcW w:w="2260" w:type="dxa"/>
            <w:tcBorders>
              <w:top w:val="single" w:color="auto" w:sz="12" w:space="0"/>
            </w:tcBorders>
            <w:vAlign w:val="center"/>
          </w:tcPr>
          <w:p>
            <w:pPr>
              <w:spacing w:line="240" w:lineRule="auto"/>
              <w:ind w:firstLine="420"/>
              <w:jc w:val="center"/>
              <w:rPr>
                <w:sz w:val="21"/>
                <w:szCs w:val="21"/>
              </w:rPr>
            </w:pPr>
            <w:r>
              <w:rPr>
                <w:rFonts w:hint="eastAsia" w:ascii="宋体" w:hAnsi="宋体" w:cs="宋体"/>
                <w:sz w:val="21"/>
                <w:szCs w:val="21"/>
              </w:rPr>
              <w:t>Ⅰ</w:t>
            </w:r>
            <w:r>
              <w:rPr>
                <w:sz w:val="21"/>
                <w:szCs w:val="21"/>
              </w:rPr>
              <w:t>类项目</w:t>
            </w:r>
          </w:p>
        </w:tc>
        <w:tc>
          <w:tcPr>
            <w:tcW w:w="2260" w:type="dxa"/>
            <w:tcBorders>
              <w:top w:val="single" w:color="auto" w:sz="12" w:space="0"/>
            </w:tcBorders>
            <w:vAlign w:val="center"/>
          </w:tcPr>
          <w:p>
            <w:pPr>
              <w:spacing w:line="240" w:lineRule="auto"/>
              <w:ind w:firstLine="420"/>
              <w:jc w:val="center"/>
              <w:rPr>
                <w:sz w:val="21"/>
                <w:szCs w:val="21"/>
              </w:rPr>
            </w:pPr>
            <w:r>
              <w:rPr>
                <w:rFonts w:hint="eastAsia" w:ascii="宋体" w:hAnsi="宋体" w:cs="宋体"/>
                <w:sz w:val="21"/>
                <w:szCs w:val="21"/>
              </w:rPr>
              <w:t>Ⅱ</w:t>
            </w:r>
            <w:r>
              <w:rPr>
                <w:sz w:val="21"/>
                <w:szCs w:val="21"/>
              </w:rPr>
              <w:t>类项目</w:t>
            </w:r>
          </w:p>
        </w:tc>
        <w:tc>
          <w:tcPr>
            <w:tcW w:w="2260" w:type="dxa"/>
            <w:tcBorders>
              <w:top w:val="single" w:color="auto" w:sz="12" w:space="0"/>
              <w:right w:val="single" w:color="auto" w:sz="12" w:space="0"/>
            </w:tcBorders>
            <w:vAlign w:val="center"/>
          </w:tcPr>
          <w:p>
            <w:pPr>
              <w:spacing w:line="240" w:lineRule="auto"/>
              <w:ind w:firstLine="420"/>
              <w:jc w:val="center"/>
              <w:rPr>
                <w:sz w:val="21"/>
                <w:szCs w:val="21"/>
              </w:rPr>
            </w:pPr>
            <w:r>
              <w:rPr>
                <w:rFonts w:hint="eastAsia" w:ascii="宋体" w:hAnsi="宋体" w:cs="宋体"/>
                <w:sz w:val="21"/>
                <w:szCs w:val="21"/>
              </w:rPr>
              <w:t>Ⅲ</w:t>
            </w:r>
            <w:r>
              <w:rPr>
                <w:sz w:val="21"/>
                <w:szCs w:val="21"/>
              </w:rPr>
              <w:t>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60" w:type="dxa"/>
            <w:tcBorders>
              <w:left w:val="single" w:color="auto" w:sz="12" w:space="0"/>
            </w:tcBorders>
            <w:vAlign w:val="center"/>
          </w:tcPr>
          <w:p>
            <w:pPr>
              <w:spacing w:line="240" w:lineRule="auto"/>
              <w:ind w:firstLine="420"/>
              <w:jc w:val="center"/>
              <w:rPr>
                <w:sz w:val="21"/>
                <w:szCs w:val="21"/>
              </w:rPr>
            </w:pPr>
            <w:r>
              <w:rPr>
                <w:sz w:val="21"/>
                <w:szCs w:val="21"/>
              </w:rPr>
              <w:t>敏感</w:t>
            </w:r>
          </w:p>
        </w:tc>
        <w:tc>
          <w:tcPr>
            <w:tcW w:w="2260" w:type="dxa"/>
            <w:vAlign w:val="center"/>
          </w:tcPr>
          <w:p>
            <w:pPr>
              <w:spacing w:line="240" w:lineRule="auto"/>
              <w:ind w:firstLine="420"/>
              <w:jc w:val="center"/>
              <w:rPr>
                <w:sz w:val="21"/>
                <w:szCs w:val="21"/>
              </w:rPr>
            </w:pPr>
            <w:r>
              <w:rPr>
                <w:sz w:val="21"/>
                <w:szCs w:val="21"/>
              </w:rPr>
              <w:t>一</w:t>
            </w:r>
          </w:p>
        </w:tc>
        <w:tc>
          <w:tcPr>
            <w:tcW w:w="2260" w:type="dxa"/>
            <w:vAlign w:val="center"/>
          </w:tcPr>
          <w:p>
            <w:pPr>
              <w:spacing w:line="240" w:lineRule="auto"/>
              <w:ind w:firstLine="420"/>
              <w:jc w:val="center"/>
              <w:rPr>
                <w:sz w:val="21"/>
                <w:szCs w:val="21"/>
              </w:rPr>
            </w:pPr>
            <w:r>
              <w:rPr>
                <w:sz w:val="21"/>
                <w:szCs w:val="21"/>
              </w:rPr>
              <w:t>一</w:t>
            </w:r>
          </w:p>
        </w:tc>
        <w:tc>
          <w:tcPr>
            <w:tcW w:w="2260" w:type="dxa"/>
            <w:tcBorders>
              <w:right w:val="single" w:color="auto" w:sz="12" w:space="0"/>
            </w:tcBorders>
            <w:vAlign w:val="center"/>
          </w:tcPr>
          <w:p>
            <w:pPr>
              <w:spacing w:line="240" w:lineRule="auto"/>
              <w:ind w:firstLine="420"/>
              <w:jc w:val="center"/>
              <w:rPr>
                <w:sz w:val="21"/>
                <w:szCs w:val="21"/>
              </w:rPr>
            </w:pPr>
            <w:r>
              <w:rPr>
                <w:sz w:val="21"/>
                <w:szCs w:val="21"/>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60" w:type="dxa"/>
            <w:tcBorders>
              <w:left w:val="single" w:color="auto" w:sz="12" w:space="0"/>
            </w:tcBorders>
            <w:vAlign w:val="center"/>
          </w:tcPr>
          <w:p>
            <w:pPr>
              <w:spacing w:line="240" w:lineRule="auto"/>
              <w:ind w:firstLine="420"/>
              <w:jc w:val="center"/>
              <w:rPr>
                <w:sz w:val="21"/>
                <w:szCs w:val="21"/>
              </w:rPr>
            </w:pPr>
            <w:r>
              <w:rPr>
                <w:sz w:val="21"/>
                <w:szCs w:val="21"/>
              </w:rPr>
              <w:t>较敏感</w:t>
            </w:r>
          </w:p>
        </w:tc>
        <w:tc>
          <w:tcPr>
            <w:tcW w:w="2260" w:type="dxa"/>
            <w:vAlign w:val="center"/>
          </w:tcPr>
          <w:p>
            <w:pPr>
              <w:spacing w:line="240" w:lineRule="auto"/>
              <w:ind w:firstLine="420"/>
              <w:jc w:val="center"/>
              <w:rPr>
                <w:sz w:val="21"/>
                <w:szCs w:val="21"/>
              </w:rPr>
            </w:pPr>
            <w:r>
              <w:rPr>
                <w:sz w:val="21"/>
                <w:szCs w:val="21"/>
              </w:rPr>
              <w:t>一</w:t>
            </w:r>
          </w:p>
        </w:tc>
        <w:tc>
          <w:tcPr>
            <w:tcW w:w="2260" w:type="dxa"/>
            <w:vAlign w:val="center"/>
          </w:tcPr>
          <w:p>
            <w:pPr>
              <w:spacing w:line="240" w:lineRule="auto"/>
              <w:ind w:firstLine="420"/>
              <w:jc w:val="center"/>
              <w:rPr>
                <w:sz w:val="21"/>
                <w:szCs w:val="21"/>
              </w:rPr>
            </w:pPr>
            <w:r>
              <w:rPr>
                <w:sz w:val="21"/>
                <w:szCs w:val="21"/>
              </w:rPr>
              <w:t>二</w:t>
            </w:r>
          </w:p>
        </w:tc>
        <w:tc>
          <w:tcPr>
            <w:tcW w:w="2260" w:type="dxa"/>
            <w:tcBorders>
              <w:bottom w:val="single" w:color="000000" w:sz="4" w:space="0"/>
              <w:right w:val="single" w:color="auto" w:sz="12" w:space="0"/>
            </w:tcBorders>
            <w:shd w:val="clear" w:color="auto" w:fill="auto"/>
            <w:vAlign w:val="center"/>
          </w:tcPr>
          <w:p>
            <w:pPr>
              <w:spacing w:line="240" w:lineRule="auto"/>
              <w:ind w:firstLine="420"/>
              <w:jc w:val="center"/>
              <w:rPr>
                <w:sz w:val="21"/>
                <w:szCs w:val="21"/>
              </w:rPr>
            </w:pPr>
            <w:r>
              <w:rPr>
                <w:sz w:val="21"/>
                <w:szCs w:val="21"/>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2260" w:type="dxa"/>
            <w:tcBorders>
              <w:left w:val="single" w:color="auto" w:sz="12" w:space="0"/>
              <w:bottom w:val="single" w:color="auto" w:sz="12" w:space="0"/>
            </w:tcBorders>
            <w:vAlign w:val="center"/>
          </w:tcPr>
          <w:p>
            <w:pPr>
              <w:spacing w:line="240" w:lineRule="auto"/>
              <w:ind w:firstLine="420"/>
              <w:jc w:val="center"/>
              <w:rPr>
                <w:sz w:val="21"/>
                <w:szCs w:val="21"/>
              </w:rPr>
            </w:pPr>
            <w:r>
              <w:rPr>
                <w:sz w:val="21"/>
                <w:szCs w:val="21"/>
              </w:rPr>
              <w:t>不敏感</w:t>
            </w:r>
          </w:p>
        </w:tc>
        <w:tc>
          <w:tcPr>
            <w:tcW w:w="2260" w:type="dxa"/>
            <w:tcBorders>
              <w:bottom w:val="single" w:color="auto" w:sz="12" w:space="0"/>
            </w:tcBorders>
            <w:shd w:val="clear" w:color="auto" w:fill="EEECE1" w:themeFill="background2"/>
            <w:vAlign w:val="center"/>
          </w:tcPr>
          <w:p>
            <w:pPr>
              <w:spacing w:line="240" w:lineRule="auto"/>
              <w:ind w:firstLine="420"/>
              <w:jc w:val="center"/>
              <w:rPr>
                <w:sz w:val="21"/>
                <w:szCs w:val="21"/>
              </w:rPr>
            </w:pPr>
            <w:r>
              <w:rPr>
                <w:sz w:val="21"/>
                <w:szCs w:val="21"/>
              </w:rPr>
              <w:t>二</w:t>
            </w:r>
          </w:p>
        </w:tc>
        <w:tc>
          <w:tcPr>
            <w:tcW w:w="2260" w:type="dxa"/>
            <w:tcBorders>
              <w:bottom w:val="single" w:color="auto" w:sz="12" w:space="0"/>
            </w:tcBorders>
            <w:shd w:val="clear" w:color="auto" w:fill="auto"/>
            <w:vAlign w:val="center"/>
          </w:tcPr>
          <w:p>
            <w:pPr>
              <w:spacing w:line="240" w:lineRule="auto"/>
              <w:ind w:firstLine="420"/>
              <w:jc w:val="center"/>
              <w:rPr>
                <w:sz w:val="21"/>
                <w:szCs w:val="21"/>
              </w:rPr>
            </w:pPr>
            <w:r>
              <w:rPr>
                <w:sz w:val="21"/>
                <w:szCs w:val="21"/>
              </w:rPr>
              <w:t>三</w:t>
            </w:r>
          </w:p>
        </w:tc>
        <w:tc>
          <w:tcPr>
            <w:tcW w:w="2260" w:type="dxa"/>
            <w:tcBorders>
              <w:bottom w:val="single" w:color="auto" w:sz="12" w:space="0"/>
              <w:right w:val="single" w:color="auto" w:sz="12" w:space="0"/>
            </w:tcBorders>
            <w:shd w:val="clear" w:color="auto" w:fill="auto"/>
            <w:vAlign w:val="center"/>
          </w:tcPr>
          <w:p>
            <w:pPr>
              <w:spacing w:line="240" w:lineRule="auto"/>
              <w:ind w:firstLine="420"/>
              <w:jc w:val="center"/>
              <w:rPr>
                <w:b/>
                <w:sz w:val="21"/>
                <w:szCs w:val="21"/>
              </w:rPr>
            </w:pPr>
            <w:r>
              <w:rPr>
                <w:sz w:val="21"/>
                <w:szCs w:val="21"/>
              </w:rPr>
              <w:t>三</w:t>
            </w:r>
          </w:p>
        </w:tc>
      </w:tr>
    </w:tbl>
    <w:p>
      <w:pPr>
        <w:pStyle w:val="87"/>
        <w:ind w:firstLine="480"/>
      </w:pPr>
      <w:r>
        <w:rPr>
          <w:rFonts w:hint="eastAsia" w:cs="宋体"/>
        </w:rPr>
        <w:t>（2）</w:t>
      </w:r>
      <w:r>
        <w:t>评价范围</w:t>
      </w:r>
    </w:p>
    <w:p>
      <w:pPr>
        <w:ind w:firstLine="480"/>
      </w:pPr>
      <w:r>
        <w:t>项目所在地水文地质条件相对简单，地下水环境影响评价范围采用公式计算法和自定义法进行确定。</w:t>
      </w:r>
    </w:p>
    <w:p>
      <w:pPr>
        <w:ind w:firstLine="1200" w:firstLineChars="500"/>
        <w:jc w:val="center"/>
      </w:pPr>
      <w:r>
        <w:t>L=α×K×I×T/ne</w:t>
      </w:r>
    </w:p>
    <w:p>
      <w:pPr>
        <w:ind w:firstLine="480"/>
        <w:jc w:val="left"/>
      </w:pPr>
      <w:r>
        <w:t>式中：L——下游迁移距离，m；</w:t>
      </w:r>
    </w:p>
    <w:p>
      <w:pPr>
        <w:ind w:firstLine="480"/>
        <w:jc w:val="left"/>
      </w:pPr>
      <w:r>
        <w:t xml:space="preserve">      α——变化系数，一般取2；</w:t>
      </w:r>
    </w:p>
    <w:p>
      <w:pPr>
        <w:ind w:firstLine="480"/>
        <w:jc w:val="left"/>
      </w:pPr>
      <w:r>
        <w:t xml:space="preserve">      K——渗透系数，m/d，根据《环境影响评价技术导则地下水环境》（HJ610-2016）附录B中表B.1，</w:t>
      </w:r>
      <w:r>
        <w:rPr>
          <w:rFonts w:hint="eastAsia"/>
        </w:rPr>
        <w:t>项目</w:t>
      </w:r>
      <w:r>
        <w:t>所在地土壤为黄土，</w:t>
      </w:r>
      <w:r>
        <w:rPr>
          <w:rFonts w:hint="eastAsia"/>
        </w:rPr>
        <w:t>黄土</w:t>
      </w:r>
      <w:r>
        <w:t>类渗透系数为</w:t>
      </w:r>
      <w:r>
        <w:rPr>
          <w:rFonts w:hint="eastAsia"/>
        </w:rPr>
        <w:t>0.25</w:t>
      </w:r>
      <w:r>
        <w:t>~0.5</w:t>
      </w:r>
      <w:r>
        <w:rPr>
          <w:rFonts w:hint="eastAsia"/>
        </w:rPr>
        <w:t>，</w:t>
      </w:r>
      <w:r>
        <w:t>本次环评取0.5；</w:t>
      </w:r>
    </w:p>
    <w:p>
      <w:pPr>
        <w:ind w:firstLine="480"/>
        <w:jc w:val="left"/>
      </w:pPr>
      <w:r>
        <w:t xml:space="preserve">      I——水力坡度，无量纲，取0.0617；</w:t>
      </w:r>
    </w:p>
    <w:p>
      <w:pPr>
        <w:ind w:firstLine="480"/>
        <w:jc w:val="left"/>
      </w:pPr>
      <w:r>
        <w:t xml:space="preserve">      T——质点迁移天数，取值不小于5000d，取5000d；</w:t>
      </w:r>
    </w:p>
    <w:p>
      <w:pPr>
        <w:ind w:firstLine="480"/>
        <w:jc w:val="left"/>
      </w:pPr>
      <w:r>
        <w:t xml:space="preserve">      n</w:t>
      </w:r>
      <w:r>
        <w:rPr>
          <w:vertAlign w:val="subscript"/>
        </w:rPr>
        <w:t>e</w:t>
      </w:r>
      <w:r>
        <w:t>——有效孔隙度，无量纲，取0.3。</w:t>
      </w:r>
    </w:p>
    <w:p>
      <w:pPr>
        <w:ind w:firstLine="480"/>
        <w:jc w:val="left"/>
      </w:pPr>
      <w:r>
        <w:t>计算得，L=1028.3m。</w:t>
      </w:r>
    </w:p>
    <w:p>
      <w:pPr>
        <w:ind w:firstLine="480"/>
      </w:pPr>
      <w:r>
        <w:t>项目所在地区周边地势</w:t>
      </w:r>
      <w:r>
        <w:rPr>
          <w:rFonts w:hint="eastAsia"/>
        </w:rPr>
        <w:t>起伏，</w:t>
      </w:r>
      <w:r>
        <w:t>高差较大，地下水总体由</w:t>
      </w:r>
      <w:r>
        <w:rPr>
          <w:rFonts w:hint="eastAsia"/>
        </w:rPr>
        <w:t>东北</w:t>
      </w:r>
      <w:r>
        <w:t>向</w:t>
      </w:r>
      <w:r>
        <w:rPr>
          <w:rFonts w:hint="eastAsia"/>
        </w:rPr>
        <w:t>西</w:t>
      </w:r>
      <w:r>
        <w:t>南方向径流，地下水评价范围确定为以项目场地为中心，</w:t>
      </w:r>
      <w:r>
        <w:rPr>
          <w:rFonts w:hint="eastAsia"/>
        </w:rPr>
        <w:t>东</w:t>
      </w:r>
      <w:r>
        <w:t>北侧（地下水上游）514m、</w:t>
      </w:r>
      <w:r>
        <w:rPr>
          <w:rFonts w:hint="eastAsia"/>
        </w:rPr>
        <w:t>西南</w:t>
      </w:r>
      <w:r>
        <w:t>侧</w:t>
      </w:r>
      <w:r>
        <w:rPr>
          <w:rFonts w:hint="eastAsia"/>
        </w:rPr>
        <w:t>以</w:t>
      </w:r>
      <w:r>
        <w:t>平定河为界（</w:t>
      </w:r>
      <w:r>
        <w:rPr>
          <w:rFonts w:hint="eastAsia"/>
        </w:rPr>
        <w:t>地下水</w:t>
      </w:r>
      <w:r>
        <w:t>下游）920m，东西厂界514m，面积1.2km</w:t>
      </w:r>
      <w:r>
        <w:rPr>
          <w:vertAlign w:val="superscript"/>
        </w:rPr>
        <w:t>2</w:t>
      </w:r>
      <w:r>
        <w:t>。</w:t>
      </w:r>
    </w:p>
    <w:p>
      <w:pPr>
        <w:pStyle w:val="5"/>
      </w:pPr>
      <w:r>
        <w:t>声环境评价等级</w:t>
      </w:r>
    </w:p>
    <w:p>
      <w:pPr>
        <w:ind w:firstLine="480"/>
        <w:rPr>
          <w:szCs w:val="24"/>
        </w:rPr>
      </w:pPr>
      <w:r>
        <w:rPr>
          <w:szCs w:val="24"/>
        </w:rPr>
        <w:t>本项目位于</w:t>
      </w:r>
      <w:r>
        <w:rPr>
          <w:rFonts w:hint="eastAsia"/>
          <w:szCs w:val="24"/>
        </w:rPr>
        <w:t>旬阳高新区吕河工业园</w:t>
      </w:r>
      <w:r>
        <w:rPr>
          <w:szCs w:val="24"/>
        </w:rPr>
        <w:t>，属于《声环境质量标准》（GB3096-2008）规定的3类区，</w:t>
      </w:r>
      <w:r>
        <w:rPr>
          <w:rFonts w:hint="eastAsia"/>
          <w:szCs w:val="24"/>
        </w:rPr>
        <w:t>项目建设前后，周围环境敏感目标噪声增加值小于3dB（A），且受影响的人口数量均变化不大。</w:t>
      </w:r>
      <w:r>
        <w:rPr>
          <w:szCs w:val="24"/>
        </w:rPr>
        <w:t>依据《环境影响评价技术导则—声环境》（HJ2.4-2009）中的有关规定，</w:t>
      </w:r>
      <w:r>
        <w:rPr>
          <w:rFonts w:hint="eastAsia"/>
          <w:szCs w:val="24"/>
        </w:rPr>
        <w:t>判定</w:t>
      </w:r>
      <w:r>
        <w:rPr>
          <w:szCs w:val="24"/>
        </w:rPr>
        <w:t>声环境评价等级为三级，见</w:t>
      </w:r>
      <w:r>
        <w:rPr>
          <w:rFonts w:hint="eastAsia"/>
          <w:szCs w:val="24"/>
        </w:rPr>
        <w:t>表2.5-5</w:t>
      </w:r>
      <w:r>
        <w:rPr>
          <w:szCs w:val="24"/>
        </w:rPr>
        <w:t>。</w:t>
      </w:r>
    </w:p>
    <w:p>
      <w:pPr>
        <w:pStyle w:val="93"/>
        <w:ind w:firstLine="480"/>
        <w:rPr>
          <w:kern w:val="0"/>
          <w:szCs w:val="20"/>
        </w:rPr>
      </w:pPr>
      <w:bookmarkStart w:id="37" w:name="_Ref27042202"/>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bookmarkEnd w:id="37"/>
      <w:r>
        <w:rPr>
          <w:kern w:val="0"/>
          <w:szCs w:val="20"/>
        </w:rPr>
        <w:t xml:space="preserve">  声环境影响评价等级判定结果</w:t>
      </w:r>
    </w:p>
    <w:tbl>
      <w:tblPr>
        <w:tblStyle w:val="35"/>
        <w:tblW w:w="904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997"/>
        <w:gridCol w:w="1240"/>
        <w:gridCol w:w="1258"/>
        <w:gridCol w:w="1681"/>
        <w:gridCol w:w="28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1997" w:type="dxa"/>
            <w:tcBorders>
              <w:top w:val="single" w:color="auto" w:sz="12" w:space="0"/>
              <w:left w:val="single" w:color="auto" w:sz="12" w:space="0"/>
              <w:bottom w:val="single" w:color="auto" w:sz="4" w:space="0"/>
              <w:right w:val="single" w:color="auto" w:sz="6" w:space="0"/>
            </w:tcBorders>
            <w:vAlign w:val="center"/>
          </w:tcPr>
          <w:p>
            <w:pPr>
              <w:pStyle w:val="48"/>
            </w:pPr>
            <w:r>
              <w:rPr>
                <w:rFonts w:hint="eastAsia"/>
              </w:rPr>
              <w:t>判别依据</w:t>
            </w:r>
          </w:p>
        </w:tc>
        <w:tc>
          <w:tcPr>
            <w:tcW w:w="1240" w:type="dxa"/>
            <w:tcBorders>
              <w:top w:val="single" w:color="auto" w:sz="12" w:space="0"/>
              <w:left w:val="single" w:color="auto" w:sz="6" w:space="0"/>
              <w:bottom w:val="single" w:color="auto" w:sz="4" w:space="0"/>
              <w:right w:val="single" w:color="auto" w:sz="6" w:space="0"/>
            </w:tcBorders>
            <w:vAlign w:val="center"/>
          </w:tcPr>
          <w:p>
            <w:pPr>
              <w:pStyle w:val="48"/>
            </w:pPr>
            <w:r>
              <w:rPr>
                <w:rFonts w:hint="eastAsia"/>
              </w:rPr>
              <w:t>声环境功能区</w:t>
            </w:r>
          </w:p>
        </w:tc>
        <w:tc>
          <w:tcPr>
            <w:tcW w:w="1258" w:type="dxa"/>
            <w:tcBorders>
              <w:top w:val="single" w:color="auto" w:sz="12" w:space="0"/>
              <w:left w:val="single" w:color="auto" w:sz="6" w:space="0"/>
              <w:bottom w:val="single" w:color="auto" w:sz="4" w:space="0"/>
              <w:right w:val="single" w:color="auto" w:sz="6" w:space="0"/>
            </w:tcBorders>
            <w:vAlign w:val="center"/>
          </w:tcPr>
          <w:p>
            <w:pPr>
              <w:pStyle w:val="48"/>
            </w:pPr>
            <w:r>
              <w:rPr>
                <w:rFonts w:hint="eastAsia"/>
              </w:rPr>
              <w:t>敏感目标噪声级增量</w:t>
            </w:r>
          </w:p>
        </w:tc>
        <w:tc>
          <w:tcPr>
            <w:tcW w:w="1681" w:type="dxa"/>
            <w:tcBorders>
              <w:top w:val="single" w:color="auto" w:sz="12" w:space="0"/>
              <w:left w:val="single" w:color="auto" w:sz="6" w:space="0"/>
              <w:bottom w:val="single" w:color="auto" w:sz="4" w:space="0"/>
              <w:right w:val="single" w:color="auto" w:sz="6" w:space="0"/>
            </w:tcBorders>
            <w:vAlign w:val="center"/>
          </w:tcPr>
          <w:p>
            <w:pPr>
              <w:pStyle w:val="48"/>
            </w:pPr>
            <w:r>
              <w:rPr>
                <w:rFonts w:hint="eastAsia"/>
              </w:rPr>
              <w:t>受噪声影响范围内的人口数量</w:t>
            </w:r>
          </w:p>
        </w:tc>
        <w:tc>
          <w:tcPr>
            <w:tcW w:w="2864" w:type="dxa"/>
            <w:tcBorders>
              <w:top w:val="single" w:color="auto" w:sz="12" w:space="0"/>
              <w:left w:val="single" w:color="auto" w:sz="6" w:space="0"/>
              <w:bottom w:val="single" w:color="auto" w:sz="4" w:space="0"/>
              <w:right w:val="single" w:color="auto" w:sz="12" w:space="0"/>
            </w:tcBorders>
            <w:vAlign w:val="center"/>
          </w:tcPr>
          <w:p>
            <w:pPr>
              <w:pStyle w:val="48"/>
            </w:pPr>
            <w:r>
              <w:rPr>
                <w:rFonts w:hint="eastAsia"/>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1997" w:type="dxa"/>
            <w:tcBorders>
              <w:top w:val="single" w:color="auto" w:sz="4" w:space="0"/>
              <w:left w:val="single" w:color="auto" w:sz="12" w:space="0"/>
              <w:bottom w:val="single" w:color="auto" w:sz="6" w:space="0"/>
              <w:right w:val="single" w:color="auto" w:sz="6" w:space="0"/>
            </w:tcBorders>
            <w:vAlign w:val="center"/>
          </w:tcPr>
          <w:p>
            <w:pPr>
              <w:pStyle w:val="48"/>
            </w:pPr>
            <w:r>
              <w:rPr>
                <w:rFonts w:hint="eastAsia"/>
              </w:rPr>
              <w:t>一级评价标准判据</w:t>
            </w:r>
          </w:p>
        </w:tc>
        <w:tc>
          <w:tcPr>
            <w:tcW w:w="1240" w:type="dxa"/>
            <w:tcBorders>
              <w:top w:val="single" w:color="auto" w:sz="4" w:space="0"/>
              <w:left w:val="single" w:color="auto" w:sz="6" w:space="0"/>
              <w:bottom w:val="single" w:color="auto" w:sz="6" w:space="0"/>
              <w:right w:val="single" w:color="auto" w:sz="6" w:space="0"/>
            </w:tcBorders>
            <w:vAlign w:val="center"/>
          </w:tcPr>
          <w:p>
            <w:pPr>
              <w:pStyle w:val="48"/>
            </w:pPr>
            <w:r>
              <w:t>0</w:t>
            </w:r>
            <w:r>
              <w:rPr>
                <w:rFonts w:hint="eastAsia"/>
              </w:rPr>
              <w:t>类及以上</w:t>
            </w:r>
          </w:p>
        </w:tc>
        <w:tc>
          <w:tcPr>
            <w:tcW w:w="1258" w:type="dxa"/>
            <w:tcBorders>
              <w:top w:val="single" w:color="auto" w:sz="4" w:space="0"/>
              <w:left w:val="single" w:color="auto" w:sz="6" w:space="0"/>
              <w:bottom w:val="single" w:color="auto" w:sz="6" w:space="0"/>
              <w:right w:val="single" w:color="auto" w:sz="6" w:space="0"/>
            </w:tcBorders>
            <w:vAlign w:val="center"/>
          </w:tcPr>
          <w:p>
            <w:pPr>
              <w:pStyle w:val="48"/>
            </w:pPr>
            <w:r>
              <w:t>≥5dB(A)</w:t>
            </w:r>
          </w:p>
        </w:tc>
        <w:tc>
          <w:tcPr>
            <w:tcW w:w="1681" w:type="dxa"/>
            <w:tcBorders>
              <w:top w:val="single" w:color="auto" w:sz="4" w:space="0"/>
              <w:left w:val="single" w:color="auto" w:sz="6" w:space="0"/>
              <w:bottom w:val="single" w:color="auto" w:sz="6" w:space="0"/>
              <w:right w:val="single" w:color="auto" w:sz="6" w:space="0"/>
            </w:tcBorders>
            <w:vAlign w:val="center"/>
          </w:tcPr>
          <w:p>
            <w:pPr>
              <w:pStyle w:val="48"/>
            </w:pPr>
            <w:r>
              <w:rPr>
                <w:rFonts w:hint="eastAsia"/>
              </w:rPr>
              <w:t>显着增多</w:t>
            </w:r>
          </w:p>
        </w:tc>
        <w:tc>
          <w:tcPr>
            <w:tcW w:w="2864" w:type="dxa"/>
            <w:vMerge w:val="restart"/>
            <w:tcBorders>
              <w:top w:val="single" w:color="auto" w:sz="4" w:space="0"/>
              <w:left w:val="single" w:color="auto" w:sz="6" w:space="0"/>
              <w:bottom w:val="single" w:color="auto" w:sz="6" w:space="0"/>
              <w:right w:val="single" w:color="auto" w:sz="12" w:space="0"/>
            </w:tcBorders>
            <w:vAlign w:val="center"/>
          </w:tcPr>
          <w:p>
            <w:pPr>
              <w:pStyle w:val="48"/>
            </w:pPr>
            <w:r>
              <w:t>1</w:t>
            </w:r>
            <w:r>
              <w:rPr>
                <w:rFonts w:hint="eastAsia"/>
              </w:rPr>
              <w:t>、判断项目建设后声级增高的具体地点为距该项目声源最近的敏感目标处。</w:t>
            </w:r>
          </w:p>
          <w:p>
            <w:pPr>
              <w:pStyle w:val="48"/>
            </w:pPr>
            <w:r>
              <w:t>2</w:t>
            </w:r>
            <w:r>
              <w:rPr>
                <w:rFonts w:hint="eastAsia"/>
              </w:rPr>
              <w:t>、符合两个以上的划分原则时，按较高级别执行。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1997" w:type="dxa"/>
            <w:tcBorders>
              <w:top w:val="single" w:color="auto" w:sz="6" w:space="0"/>
              <w:left w:val="single" w:color="auto" w:sz="12" w:space="0"/>
              <w:bottom w:val="single" w:color="auto" w:sz="6" w:space="0"/>
              <w:right w:val="single" w:color="auto" w:sz="6" w:space="0"/>
            </w:tcBorders>
            <w:vAlign w:val="center"/>
          </w:tcPr>
          <w:p>
            <w:pPr>
              <w:pStyle w:val="48"/>
            </w:pPr>
            <w:r>
              <w:rPr>
                <w:rFonts w:hint="eastAsia"/>
              </w:rPr>
              <w:t>二级评价标准判据</w:t>
            </w:r>
          </w:p>
        </w:tc>
        <w:tc>
          <w:tcPr>
            <w:tcW w:w="1240" w:type="dxa"/>
            <w:tcBorders>
              <w:top w:val="single" w:color="auto" w:sz="6" w:space="0"/>
              <w:left w:val="single" w:color="auto" w:sz="6" w:space="0"/>
              <w:bottom w:val="single" w:color="auto" w:sz="6" w:space="0"/>
              <w:right w:val="single" w:color="auto" w:sz="6" w:space="0"/>
            </w:tcBorders>
            <w:vAlign w:val="center"/>
          </w:tcPr>
          <w:p>
            <w:pPr>
              <w:pStyle w:val="48"/>
            </w:pPr>
            <w:r>
              <w:t>1</w:t>
            </w:r>
            <w:r>
              <w:rPr>
                <w:rFonts w:hint="eastAsia"/>
              </w:rPr>
              <w:t>类、</w:t>
            </w:r>
            <w:r>
              <w:t>2</w:t>
            </w:r>
            <w:r>
              <w:rPr>
                <w:rFonts w:hint="eastAsia"/>
              </w:rPr>
              <w:t>类</w:t>
            </w:r>
          </w:p>
        </w:tc>
        <w:tc>
          <w:tcPr>
            <w:tcW w:w="1258" w:type="dxa"/>
            <w:tcBorders>
              <w:top w:val="single" w:color="auto" w:sz="6" w:space="0"/>
              <w:left w:val="single" w:color="auto" w:sz="6" w:space="0"/>
              <w:bottom w:val="single" w:color="auto" w:sz="6" w:space="0"/>
              <w:right w:val="single" w:color="auto" w:sz="6" w:space="0"/>
            </w:tcBorders>
            <w:vAlign w:val="center"/>
          </w:tcPr>
          <w:p>
            <w:pPr>
              <w:pStyle w:val="48"/>
            </w:pPr>
            <w:r>
              <w:t>3~5dB(A)</w:t>
            </w:r>
          </w:p>
        </w:tc>
        <w:tc>
          <w:tcPr>
            <w:tcW w:w="1681" w:type="dxa"/>
            <w:tcBorders>
              <w:top w:val="single" w:color="auto" w:sz="6" w:space="0"/>
              <w:left w:val="single" w:color="auto" w:sz="6" w:space="0"/>
              <w:bottom w:val="single" w:color="auto" w:sz="6" w:space="0"/>
              <w:right w:val="single" w:color="auto" w:sz="6" w:space="0"/>
            </w:tcBorders>
            <w:vAlign w:val="center"/>
          </w:tcPr>
          <w:p>
            <w:pPr>
              <w:pStyle w:val="48"/>
            </w:pPr>
            <w:r>
              <w:rPr>
                <w:rFonts w:hint="eastAsia"/>
              </w:rPr>
              <w:t>增加较多</w:t>
            </w:r>
          </w:p>
        </w:tc>
        <w:tc>
          <w:tcPr>
            <w:tcW w:w="2864" w:type="dxa"/>
            <w:vMerge w:val="continue"/>
            <w:tcBorders>
              <w:top w:val="single" w:color="auto" w:sz="4" w:space="0"/>
              <w:left w:val="single" w:color="auto" w:sz="6" w:space="0"/>
              <w:bottom w:val="single" w:color="auto" w:sz="6" w:space="0"/>
              <w:right w:val="single" w:color="auto" w:sz="12" w:space="0"/>
            </w:tcBorders>
            <w:vAlign w:val="center"/>
          </w:tcPr>
          <w:p>
            <w:pPr>
              <w:pStyle w:val="48"/>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1997" w:type="dxa"/>
            <w:tcBorders>
              <w:top w:val="single" w:color="auto" w:sz="6" w:space="0"/>
              <w:left w:val="single" w:color="auto" w:sz="12" w:space="0"/>
              <w:bottom w:val="single" w:color="auto" w:sz="6" w:space="0"/>
              <w:right w:val="single" w:color="auto" w:sz="6" w:space="0"/>
            </w:tcBorders>
            <w:vAlign w:val="center"/>
          </w:tcPr>
          <w:p>
            <w:pPr>
              <w:pStyle w:val="48"/>
            </w:pPr>
            <w:r>
              <w:rPr>
                <w:rFonts w:hint="eastAsia"/>
              </w:rPr>
              <w:t>三级评价标准判据</w:t>
            </w:r>
          </w:p>
        </w:tc>
        <w:tc>
          <w:tcPr>
            <w:tcW w:w="1240" w:type="dxa"/>
            <w:tcBorders>
              <w:top w:val="single" w:color="auto" w:sz="6" w:space="0"/>
              <w:left w:val="single" w:color="auto" w:sz="6" w:space="0"/>
              <w:bottom w:val="single" w:color="auto" w:sz="6" w:space="0"/>
              <w:right w:val="single" w:color="auto" w:sz="6" w:space="0"/>
            </w:tcBorders>
            <w:vAlign w:val="center"/>
          </w:tcPr>
          <w:p>
            <w:pPr>
              <w:pStyle w:val="48"/>
            </w:pPr>
            <w:r>
              <w:t>3</w:t>
            </w:r>
            <w:r>
              <w:rPr>
                <w:rFonts w:hint="eastAsia"/>
              </w:rPr>
              <w:t>类、</w:t>
            </w:r>
            <w:r>
              <w:t>4a</w:t>
            </w:r>
            <w:r>
              <w:rPr>
                <w:rFonts w:hint="eastAsia"/>
              </w:rPr>
              <w:t>类</w:t>
            </w:r>
          </w:p>
        </w:tc>
        <w:tc>
          <w:tcPr>
            <w:tcW w:w="1258" w:type="dxa"/>
            <w:tcBorders>
              <w:top w:val="single" w:color="auto" w:sz="6" w:space="0"/>
              <w:left w:val="single" w:color="auto" w:sz="6" w:space="0"/>
              <w:bottom w:val="single" w:color="auto" w:sz="6" w:space="0"/>
              <w:right w:val="single" w:color="auto" w:sz="6" w:space="0"/>
            </w:tcBorders>
            <w:vAlign w:val="center"/>
          </w:tcPr>
          <w:p>
            <w:pPr>
              <w:pStyle w:val="48"/>
            </w:pPr>
            <w:r>
              <w:t>≤3dB(A)</w:t>
            </w:r>
          </w:p>
        </w:tc>
        <w:tc>
          <w:tcPr>
            <w:tcW w:w="1681" w:type="dxa"/>
            <w:tcBorders>
              <w:top w:val="single" w:color="auto" w:sz="6" w:space="0"/>
              <w:left w:val="single" w:color="auto" w:sz="6" w:space="0"/>
              <w:bottom w:val="single" w:color="auto" w:sz="6" w:space="0"/>
              <w:right w:val="single" w:color="auto" w:sz="6" w:space="0"/>
            </w:tcBorders>
            <w:vAlign w:val="center"/>
          </w:tcPr>
          <w:p>
            <w:pPr>
              <w:pStyle w:val="48"/>
            </w:pPr>
            <w:r>
              <w:rPr>
                <w:rFonts w:hint="eastAsia"/>
              </w:rPr>
              <w:t>变化不大</w:t>
            </w:r>
          </w:p>
        </w:tc>
        <w:tc>
          <w:tcPr>
            <w:tcW w:w="2864" w:type="dxa"/>
            <w:vMerge w:val="continue"/>
            <w:tcBorders>
              <w:top w:val="single" w:color="auto" w:sz="4" w:space="0"/>
              <w:left w:val="single" w:color="auto" w:sz="6" w:space="0"/>
              <w:bottom w:val="single" w:color="auto" w:sz="6" w:space="0"/>
              <w:right w:val="single" w:color="auto" w:sz="12" w:space="0"/>
            </w:tcBorders>
            <w:vAlign w:val="center"/>
          </w:tcPr>
          <w:p>
            <w:pPr>
              <w:pStyle w:val="48"/>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1997" w:type="dxa"/>
            <w:tcBorders>
              <w:top w:val="single" w:color="auto" w:sz="6" w:space="0"/>
              <w:left w:val="single" w:color="auto" w:sz="12" w:space="0"/>
              <w:bottom w:val="single" w:color="auto" w:sz="6" w:space="0"/>
              <w:right w:val="single" w:color="auto" w:sz="6" w:space="0"/>
            </w:tcBorders>
            <w:vAlign w:val="center"/>
          </w:tcPr>
          <w:p>
            <w:pPr>
              <w:pStyle w:val="48"/>
            </w:pPr>
            <w:r>
              <w:rPr>
                <w:rFonts w:hint="eastAsia"/>
              </w:rPr>
              <w:t>本项目</w:t>
            </w:r>
          </w:p>
        </w:tc>
        <w:tc>
          <w:tcPr>
            <w:tcW w:w="1240" w:type="dxa"/>
            <w:tcBorders>
              <w:top w:val="single" w:color="auto" w:sz="6" w:space="0"/>
              <w:left w:val="single" w:color="auto" w:sz="6" w:space="0"/>
              <w:bottom w:val="single" w:color="auto" w:sz="6" w:space="0"/>
              <w:right w:val="single" w:color="auto" w:sz="6" w:space="0"/>
            </w:tcBorders>
            <w:vAlign w:val="center"/>
          </w:tcPr>
          <w:p>
            <w:pPr>
              <w:pStyle w:val="48"/>
            </w:pPr>
            <w:r>
              <w:t>3</w:t>
            </w:r>
            <w:r>
              <w:rPr>
                <w:rFonts w:hint="eastAsia"/>
              </w:rPr>
              <w:t>类</w:t>
            </w:r>
          </w:p>
        </w:tc>
        <w:tc>
          <w:tcPr>
            <w:tcW w:w="1258" w:type="dxa"/>
            <w:tcBorders>
              <w:top w:val="single" w:color="auto" w:sz="6" w:space="0"/>
              <w:left w:val="single" w:color="auto" w:sz="6" w:space="0"/>
              <w:bottom w:val="single" w:color="auto" w:sz="6" w:space="0"/>
              <w:right w:val="single" w:color="auto" w:sz="6" w:space="0"/>
            </w:tcBorders>
            <w:vAlign w:val="center"/>
          </w:tcPr>
          <w:p>
            <w:pPr>
              <w:pStyle w:val="48"/>
            </w:pPr>
            <w:r>
              <w:t>≤3dB(A)</w:t>
            </w:r>
          </w:p>
        </w:tc>
        <w:tc>
          <w:tcPr>
            <w:tcW w:w="1681" w:type="dxa"/>
            <w:tcBorders>
              <w:top w:val="single" w:color="auto" w:sz="6" w:space="0"/>
              <w:left w:val="single" w:color="auto" w:sz="6" w:space="0"/>
              <w:bottom w:val="single" w:color="auto" w:sz="6" w:space="0"/>
              <w:right w:val="single" w:color="auto" w:sz="6" w:space="0"/>
            </w:tcBorders>
            <w:vAlign w:val="center"/>
          </w:tcPr>
          <w:p>
            <w:pPr>
              <w:pStyle w:val="48"/>
            </w:pPr>
            <w:r>
              <w:rPr>
                <w:rFonts w:hint="eastAsia"/>
              </w:rPr>
              <w:t>变化不大</w:t>
            </w:r>
          </w:p>
        </w:tc>
        <w:tc>
          <w:tcPr>
            <w:tcW w:w="2864" w:type="dxa"/>
            <w:tcBorders>
              <w:top w:val="single" w:color="auto" w:sz="6" w:space="0"/>
              <w:left w:val="single" w:color="auto" w:sz="6" w:space="0"/>
              <w:bottom w:val="single" w:color="auto" w:sz="6" w:space="0"/>
              <w:right w:val="single" w:color="auto" w:sz="12" w:space="0"/>
            </w:tcBorders>
            <w:vAlign w:val="center"/>
          </w:tcPr>
          <w:p>
            <w:pPr>
              <w:pStyle w:val="48"/>
            </w:pPr>
            <w: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1997" w:type="dxa"/>
            <w:tcBorders>
              <w:top w:val="single" w:color="auto" w:sz="6" w:space="0"/>
              <w:left w:val="single" w:color="auto" w:sz="12" w:space="0"/>
              <w:bottom w:val="single" w:color="auto" w:sz="12" w:space="0"/>
              <w:right w:val="single" w:color="auto" w:sz="4" w:space="0"/>
            </w:tcBorders>
            <w:vAlign w:val="center"/>
          </w:tcPr>
          <w:p>
            <w:pPr>
              <w:pStyle w:val="48"/>
            </w:pPr>
            <w:r>
              <w:rPr>
                <w:rFonts w:hint="eastAsia"/>
              </w:rPr>
              <w:t>评价等级</w:t>
            </w:r>
          </w:p>
        </w:tc>
        <w:tc>
          <w:tcPr>
            <w:tcW w:w="7043" w:type="dxa"/>
            <w:gridSpan w:val="4"/>
            <w:tcBorders>
              <w:top w:val="single" w:color="auto" w:sz="6" w:space="0"/>
              <w:left w:val="single" w:color="auto" w:sz="4" w:space="0"/>
              <w:bottom w:val="single" w:color="auto" w:sz="12" w:space="0"/>
              <w:right w:val="single" w:color="auto" w:sz="12" w:space="0"/>
            </w:tcBorders>
            <w:vAlign w:val="center"/>
          </w:tcPr>
          <w:p>
            <w:pPr>
              <w:pStyle w:val="48"/>
            </w:pPr>
            <w:r>
              <w:rPr>
                <w:rFonts w:hint="eastAsia"/>
              </w:rPr>
              <w:t>三级</w:t>
            </w:r>
          </w:p>
        </w:tc>
      </w:tr>
    </w:tbl>
    <w:p>
      <w:pPr>
        <w:pStyle w:val="5"/>
      </w:pPr>
      <w:r>
        <w:rPr>
          <w:rFonts w:hint="eastAsia"/>
        </w:rPr>
        <w:t>生态环境</w:t>
      </w:r>
      <w:r>
        <w:t>评价等级</w:t>
      </w:r>
    </w:p>
    <w:p>
      <w:pPr>
        <w:pStyle w:val="87"/>
        <w:ind w:firstLine="480"/>
      </w:pPr>
      <w:r>
        <w:rPr>
          <w:rStyle w:val="88"/>
        </w:rPr>
        <w:t>项目位于</w:t>
      </w:r>
      <w:r>
        <w:rPr>
          <w:rStyle w:val="88"/>
          <w:rFonts w:hint="eastAsia"/>
        </w:rPr>
        <w:t>旬阳高新区吕河工业园</w:t>
      </w:r>
      <w:r>
        <w:rPr>
          <w:rStyle w:val="88"/>
        </w:rPr>
        <w:t>，本项目用地面积为6088m</w:t>
      </w:r>
      <w:r>
        <w:rPr>
          <w:rStyle w:val="88"/>
          <w:vertAlign w:val="superscript"/>
        </w:rPr>
        <w:t>2</w:t>
      </w:r>
      <w:r>
        <w:rPr>
          <w:rStyle w:val="88"/>
        </w:rPr>
        <w:t>，即工程占地范围&lt;2km</w:t>
      </w:r>
      <w:r>
        <w:rPr>
          <w:rStyle w:val="88"/>
          <w:vertAlign w:val="superscript"/>
        </w:rPr>
        <w:t>2</w:t>
      </w:r>
      <w:r>
        <w:rPr>
          <w:rStyle w:val="88"/>
        </w:rPr>
        <w:t>，</w:t>
      </w:r>
      <w:r>
        <w:rPr>
          <w:rStyle w:val="88"/>
          <w:rFonts w:hint="eastAsia"/>
        </w:rPr>
        <w:t>用地范围内不涉及生态敏感地区，</w:t>
      </w:r>
      <w:r>
        <w:rPr>
          <w:rStyle w:val="88"/>
        </w:rPr>
        <w:t>所在区域为生态敏感性一般区域，</w:t>
      </w:r>
      <w:r>
        <w:t>按《环境影响评价技术导则  生态影响》（HJ 19-2011）要求，确定本项目生态环境影响评价工作等级为三级。</w:t>
      </w:r>
    </w:p>
    <w:p>
      <w:pPr>
        <w:pStyle w:val="49"/>
      </w:pPr>
      <w:r>
        <w:rPr>
          <w:rFonts w:hint="eastAsia" w:ascii="宋体" w:hAnsi="宋体" w:eastAsia="宋体" w:cs="宋体"/>
        </w:rPr>
        <w:t>表</w:t>
      </w:r>
      <w:r>
        <w:rPr>
          <w:rFonts w:hint="eastAsia"/>
        </w:rPr>
        <w:t xml:space="preserve"> </w:t>
      </w:r>
      <w:r>
        <w:fldChar w:fldCharType="begin"/>
      </w:r>
      <w:r>
        <w:instrText xml:space="preserve"> </w:instrText>
      </w:r>
      <w:r>
        <w:rPr>
          <w:rFonts w:hint="eastAsia"/>
        </w:rPr>
        <w:instrText xml:space="preserve">STYLEREF 2 \s</w:instrText>
      </w:r>
      <w:r>
        <w:instrText xml:space="preserve"> </w:instrText>
      </w:r>
      <w:r>
        <w:fldChar w:fldCharType="separate"/>
      </w:r>
      <w:r>
        <w:t>2.5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t xml:space="preserve">  </w:t>
      </w:r>
      <w:r>
        <w:rPr>
          <w:rFonts w:hint="eastAsia" w:ascii="宋体" w:hAnsi="宋体" w:eastAsia="宋体" w:cs="宋体"/>
        </w:rPr>
        <w:t>生态环境影响评价工作等级划分表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0"/>
        <w:gridCol w:w="2260"/>
        <w:gridCol w:w="2669"/>
        <w:gridCol w:w="1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60" w:type="dxa"/>
            <w:vMerge w:val="restart"/>
            <w:vAlign w:val="center"/>
          </w:tcPr>
          <w:p>
            <w:pPr>
              <w:pStyle w:val="48"/>
            </w:pPr>
            <w:r>
              <w:rPr>
                <w:rFonts w:hint="eastAsia"/>
              </w:rPr>
              <w:t>影响区域</w:t>
            </w:r>
            <w:r>
              <w:t>生态敏感性</w:t>
            </w:r>
          </w:p>
        </w:tc>
        <w:tc>
          <w:tcPr>
            <w:tcW w:w="6780" w:type="dxa"/>
            <w:gridSpan w:val="3"/>
            <w:vAlign w:val="center"/>
          </w:tcPr>
          <w:p>
            <w:pPr>
              <w:pStyle w:val="48"/>
            </w:pPr>
            <w:r>
              <w:rPr>
                <w:rFonts w:hint="eastAsia"/>
              </w:rPr>
              <w:t>工程</w:t>
            </w:r>
            <w:r>
              <w:t>占地（</w:t>
            </w:r>
            <w:r>
              <w:rPr>
                <w:rFonts w:hint="eastAsia"/>
              </w:rPr>
              <w:t>水域</w:t>
            </w:r>
            <w:r>
              <w:t>）</w:t>
            </w:r>
            <w:r>
              <w:rPr>
                <w:rFonts w:hint="eastAsia"/>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60" w:type="dxa"/>
            <w:vMerge w:val="continue"/>
            <w:vAlign w:val="center"/>
          </w:tcPr>
          <w:p>
            <w:pPr>
              <w:pStyle w:val="48"/>
            </w:pPr>
          </w:p>
        </w:tc>
        <w:tc>
          <w:tcPr>
            <w:tcW w:w="2260" w:type="dxa"/>
            <w:vAlign w:val="center"/>
          </w:tcPr>
          <w:p>
            <w:pPr>
              <w:pStyle w:val="48"/>
            </w:pPr>
            <w:r>
              <w:t>面积≥20km</w:t>
            </w:r>
            <w:r>
              <w:rPr>
                <w:vertAlign w:val="superscript"/>
              </w:rPr>
              <w:t>2</w:t>
            </w:r>
          </w:p>
          <w:p>
            <w:pPr>
              <w:pStyle w:val="48"/>
            </w:pPr>
            <w:r>
              <w:t>或长度≥100km</w:t>
            </w:r>
          </w:p>
        </w:tc>
        <w:tc>
          <w:tcPr>
            <w:tcW w:w="2669" w:type="dxa"/>
            <w:vAlign w:val="center"/>
          </w:tcPr>
          <w:p>
            <w:pPr>
              <w:pStyle w:val="48"/>
            </w:pPr>
            <w:r>
              <w:t>面积2km</w:t>
            </w:r>
            <w:r>
              <w:rPr>
                <w:vertAlign w:val="superscript"/>
              </w:rPr>
              <w:t>2</w:t>
            </w:r>
            <w:r>
              <w:t>~20km</w:t>
            </w:r>
            <w:r>
              <w:rPr>
                <w:vertAlign w:val="superscript"/>
              </w:rPr>
              <w:t>2</w:t>
            </w:r>
          </w:p>
          <w:p>
            <w:pPr>
              <w:pStyle w:val="48"/>
            </w:pPr>
            <w:r>
              <w:t>或长度50km~100km</w:t>
            </w:r>
          </w:p>
        </w:tc>
        <w:tc>
          <w:tcPr>
            <w:tcW w:w="1851" w:type="dxa"/>
            <w:vAlign w:val="center"/>
          </w:tcPr>
          <w:p>
            <w:pPr>
              <w:pStyle w:val="48"/>
            </w:pPr>
            <w:r>
              <w:t>面积≤2km</w:t>
            </w:r>
            <w:r>
              <w:rPr>
                <w:vertAlign w:val="superscript"/>
              </w:rPr>
              <w:t>2</w:t>
            </w:r>
          </w:p>
          <w:p>
            <w:pPr>
              <w:pStyle w:val="48"/>
            </w:pPr>
            <w: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60" w:type="dxa"/>
            <w:vAlign w:val="center"/>
          </w:tcPr>
          <w:p>
            <w:pPr>
              <w:pStyle w:val="48"/>
            </w:pPr>
            <w:r>
              <w:rPr>
                <w:rFonts w:hint="eastAsia"/>
              </w:rPr>
              <w:t>特殊</w:t>
            </w:r>
            <w:r>
              <w:t>生态敏感区</w:t>
            </w:r>
          </w:p>
        </w:tc>
        <w:tc>
          <w:tcPr>
            <w:tcW w:w="2260" w:type="dxa"/>
            <w:vAlign w:val="center"/>
          </w:tcPr>
          <w:p>
            <w:pPr>
              <w:pStyle w:val="48"/>
            </w:pPr>
            <w:r>
              <w:rPr>
                <w:rFonts w:hint="eastAsia"/>
              </w:rPr>
              <w:t>一级</w:t>
            </w:r>
          </w:p>
        </w:tc>
        <w:tc>
          <w:tcPr>
            <w:tcW w:w="2669" w:type="dxa"/>
            <w:vAlign w:val="center"/>
          </w:tcPr>
          <w:p>
            <w:pPr>
              <w:pStyle w:val="48"/>
            </w:pPr>
            <w:r>
              <w:rPr>
                <w:rFonts w:hint="eastAsia"/>
              </w:rPr>
              <w:t>一级</w:t>
            </w:r>
          </w:p>
        </w:tc>
        <w:tc>
          <w:tcPr>
            <w:tcW w:w="1851" w:type="dxa"/>
            <w:vAlign w:val="center"/>
          </w:tcPr>
          <w:p>
            <w:pPr>
              <w:pStyle w:val="48"/>
            </w:pPr>
            <w:r>
              <w:rPr>
                <w:rFonts w:hint="eastAsia"/>
              </w:rPr>
              <w:t>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60" w:type="dxa"/>
            <w:vAlign w:val="center"/>
          </w:tcPr>
          <w:p>
            <w:pPr>
              <w:pStyle w:val="48"/>
            </w:pPr>
            <w:r>
              <w:rPr>
                <w:rFonts w:hint="eastAsia"/>
              </w:rPr>
              <w:t>重要</w:t>
            </w:r>
            <w:r>
              <w:t>生态敏感区</w:t>
            </w:r>
          </w:p>
        </w:tc>
        <w:tc>
          <w:tcPr>
            <w:tcW w:w="2260" w:type="dxa"/>
            <w:vAlign w:val="center"/>
          </w:tcPr>
          <w:p>
            <w:pPr>
              <w:pStyle w:val="48"/>
            </w:pPr>
            <w:r>
              <w:rPr>
                <w:rFonts w:hint="eastAsia"/>
              </w:rPr>
              <w:t>一级</w:t>
            </w:r>
          </w:p>
        </w:tc>
        <w:tc>
          <w:tcPr>
            <w:tcW w:w="2669" w:type="dxa"/>
            <w:vAlign w:val="center"/>
          </w:tcPr>
          <w:p>
            <w:pPr>
              <w:pStyle w:val="48"/>
            </w:pPr>
            <w:r>
              <w:t>二</w:t>
            </w:r>
            <w:r>
              <w:rPr>
                <w:rFonts w:hint="eastAsia"/>
              </w:rPr>
              <w:t>级</w:t>
            </w:r>
          </w:p>
        </w:tc>
        <w:tc>
          <w:tcPr>
            <w:tcW w:w="1851" w:type="dxa"/>
            <w:vAlign w:val="center"/>
          </w:tcPr>
          <w:p>
            <w:pPr>
              <w:pStyle w:val="48"/>
            </w:pPr>
            <w:r>
              <w:t>三</w:t>
            </w:r>
            <w:r>
              <w:rPr>
                <w:rFonts w:hint="eastAsia"/>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60" w:type="dxa"/>
            <w:vAlign w:val="center"/>
          </w:tcPr>
          <w:p>
            <w:pPr>
              <w:pStyle w:val="48"/>
            </w:pPr>
            <w:r>
              <w:rPr>
                <w:rFonts w:hint="eastAsia"/>
              </w:rPr>
              <w:t>一般</w:t>
            </w:r>
            <w:r>
              <w:t>区域</w:t>
            </w:r>
          </w:p>
        </w:tc>
        <w:tc>
          <w:tcPr>
            <w:tcW w:w="2260" w:type="dxa"/>
            <w:vAlign w:val="center"/>
          </w:tcPr>
          <w:p>
            <w:pPr>
              <w:pStyle w:val="48"/>
            </w:pPr>
            <w:r>
              <w:t>二</w:t>
            </w:r>
            <w:r>
              <w:rPr>
                <w:rFonts w:hint="eastAsia"/>
              </w:rPr>
              <w:t>级</w:t>
            </w:r>
          </w:p>
        </w:tc>
        <w:tc>
          <w:tcPr>
            <w:tcW w:w="2669" w:type="dxa"/>
            <w:vAlign w:val="center"/>
          </w:tcPr>
          <w:p>
            <w:pPr>
              <w:pStyle w:val="48"/>
            </w:pPr>
            <w:r>
              <w:t>三</w:t>
            </w:r>
            <w:r>
              <w:rPr>
                <w:rFonts w:hint="eastAsia"/>
              </w:rPr>
              <w:t>级</w:t>
            </w:r>
          </w:p>
        </w:tc>
        <w:tc>
          <w:tcPr>
            <w:tcW w:w="1851" w:type="dxa"/>
            <w:shd w:val="clear" w:color="auto" w:fill="auto"/>
            <w:vAlign w:val="center"/>
          </w:tcPr>
          <w:p>
            <w:pPr>
              <w:pStyle w:val="48"/>
              <w:rPr>
                <w:b/>
              </w:rPr>
            </w:pPr>
            <w:r>
              <w:rPr>
                <w:rFonts w:hint="eastAsia"/>
              </w:rPr>
              <w:t>三级</w:t>
            </w:r>
          </w:p>
        </w:tc>
      </w:tr>
    </w:tbl>
    <w:p>
      <w:pPr>
        <w:pStyle w:val="5"/>
      </w:pPr>
      <w:r>
        <w:rPr>
          <w:rFonts w:hint="eastAsia"/>
        </w:rPr>
        <w:t>土壤</w:t>
      </w:r>
      <w:r>
        <w:t>环境</w:t>
      </w:r>
      <w:r>
        <w:rPr>
          <w:rFonts w:hint="eastAsia"/>
        </w:rPr>
        <w:t>评价等级</w:t>
      </w:r>
    </w:p>
    <w:p>
      <w:pPr>
        <w:ind w:firstLine="480"/>
      </w:pPr>
      <w:r>
        <w:rPr>
          <w:rFonts w:hint="eastAsia"/>
        </w:rPr>
        <w:t>本项目</w:t>
      </w:r>
      <w:r>
        <w:t>属于</w:t>
      </w:r>
      <w:r>
        <w:rPr>
          <w:rFonts w:hint="eastAsia"/>
        </w:rPr>
        <w:t>黄姜提取</w:t>
      </w:r>
      <w:r>
        <w:t>物项目，根据《环境影响评价技术导则土壤环境（试行）》（HJ964-2018）附录A 中土壤环境影响评价项目类别中的</w:t>
      </w:r>
      <w:r>
        <w:rPr>
          <w:rFonts w:hint="eastAsia"/>
        </w:rPr>
        <w:t>“制造业 石油</w:t>
      </w:r>
      <w:r>
        <w:t>、化工</w:t>
      </w:r>
      <w:r>
        <w:rPr>
          <w:rFonts w:hint="eastAsia"/>
        </w:rPr>
        <w:t>”、</w:t>
      </w:r>
      <w:r>
        <w:rPr>
          <w:rFonts w:asciiTheme="minorEastAsia" w:hAnsiTheme="minorEastAsia" w:eastAsiaTheme="minorEastAsia"/>
        </w:rPr>
        <w:t>“</w:t>
      </w:r>
      <w:r>
        <w:rPr>
          <w:rFonts w:hint="eastAsia" w:asciiTheme="minorEastAsia" w:hAnsiTheme="minorEastAsia" w:eastAsiaTheme="minorEastAsia"/>
        </w:rPr>
        <w:t>生物</w:t>
      </w:r>
      <w:r>
        <w:rPr>
          <w:rFonts w:asciiTheme="minorEastAsia" w:hAnsiTheme="minorEastAsia" w:eastAsiaTheme="minorEastAsia"/>
        </w:rPr>
        <w:t>、生化制品制造”</w:t>
      </w:r>
      <w:r>
        <w:rPr>
          <w:rFonts w:hint="eastAsia" w:asciiTheme="minorEastAsia" w:hAnsiTheme="minorEastAsia" w:eastAsiaTheme="minorEastAsia"/>
        </w:rPr>
        <w:t>，</w:t>
      </w:r>
      <w:r>
        <w:t>属于</w:t>
      </w:r>
      <w:r>
        <w:rPr>
          <w:rFonts w:hint="eastAsia" w:ascii="宋体" w:cs="宋体"/>
        </w:rPr>
        <w:t>Ⅰ</w:t>
      </w:r>
      <w:r>
        <w:t>类项目。</w:t>
      </w:r>
    </w:p>
    <w:p>
      <w:pPr>
        <w:pStyle w:val="87"/>
        <w:ind w:firstLine="480"/>
        <w:rPr>
          <w:rFonts w:cs="Times New Roman"/>
        </w:rPr>
      </w:pPr>
      <w:r>
        <w:rPr>
          <w:rFonts w:cs="Times New Roman"/>
        </w:rPr>
        <w:t>根据《环境影响评价技术导则土壤环境（试行）》（HJ964-2018），土壤环境影响评价工作等级判定</w:t>
      </w:r>
      <w:r>
        <w:rPr>
          <w:rFonts w:hint="eastAsia" w:cs="Times New Roman"/>
        </w:rPr>
        <w:t>见</w:t>
      </w:r>
      <w:r>
        <w:rPr>
          <w:rFonts w:cs="Times New Roman"/>
        </w:rPr>
        <w:t>表</w:t>
      </w:r>
      <w:r>
        <w:rPr>
          <w:rFonts w:hint="eastAsia" w:cs="Times New Roman"/>
        </w:rPr>
        <w:t>2.5-7</w:t>
      </w:r>
      <w:r>
        <w:rPr>
          <w:rFonts w:cs="Times New Roman"/>
        </w:rPr>
        <w:t>。</w:t>
      </w:r>
    </w:p>
    <w:p>
      <w:pPr>
        <w:pStyle w:val="93"/>
        <w:rPr>
          <w:rFonts w:hAnsi="Times New Roman"/>
        </w:rPr>
      </w:pPr>
      <w:bookmarkStart w:id="38" w:name="_Ref26797701"/>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7</w:t>
      </w:r>
      <w:r>
        <w:rPr>
          <w:rFonts w:hAnsi="Times New Roman"/>
        </w:rPr>
        <w:fldChar w:fldCharType="end"/>
      </w:r>
      <w:bookmarkEnd w:id="38"/>
      <w:r>
        <w:rPr>
          <w:rFonts w:hAnsi="Times New Roman"/>
        </w:rPr>
        <w:t xml:space="preserve">  污染影响型评价工作等级划分表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931"/>
        <w:gridCol w:w="776"/>
        <w:gridCol w:w="774"/>
        <w:gridCol w:w="774"/>
        <w:gridCol w:w="776"/>
        <w:gridCol w:w="776"/>
        <w:gridCol w:w="772"/>
        <w:gridCol w:w="774"/>
        <w:gridCol w:w="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3" w:type="dxa"/>
            <w:vMerge w:val="restart"/>
            <w:vAlign w:val="center"/>
          </w:tcPr>
          <w:p>
            <w:pPr>
              <w:pStyle w:val="97"/>
            </w:pPr>
            <w:r>
              <w:t xml:space="preserve">      占地规模</w:t>
            </w:r>
          </w:p>
          <w:p>
            <w:pPr>
              <w:pStyle w:val="97"/>
              <w:jc w:val="both"/>
            </w:pPr>
            <w:r>
              <w:t>评价工作等级</w:t>
            </w:r>
          </w:p>
          <w:p>
            <w:pPr>
              <w:pStyle w:val="97"/>
            </w:pPr>
            <w:r>
              <w:t>敏感程度</w:t>
            </w:r>
          </w:p>
        </w:tc>
        <w:tc>
          <w:tcPr>
            <w:tcW w:w="2481" w:type="dxa"/>
            <w:gridSpan w:val="3"/>
            <w:vAlign w:val="center"/>
          </w:tcPr>
          <w:p>
            <w:pPr>
              <w:pStyle w:val="97"/>
            </w:pPr>
            <w:r>
              <w:rPr>
                <w:rFonts w:hint="eastAsia" w:ascii="宋体" w:cs="宋体"/>
              </w:rPr>
              <w:t>Ⅰ</w:t>
            </w:r>
            <w:r>
              <w:t>类</w:t>
            </w:r>
          </w:p>
        </w:tc>
        <w:tc>
          <w:tcPr>
            <w:tcW w:w="2326" w:type="dxa"/>
            <w:gridSpan w:val="3"/>
            <w:vAlign w:val="center"/>
          </w:tcPr>
          <w:p>
            <w:pPr>
              <w:pStyle w:val="97"/>
            </w:pPr>
            <w:r>
              <w:rPr>
                <w:rFonts w:hint="eastAsia" w:ascii="宋体" w:cs="宋体"/>
              </w:rPr>
              <w:t>Ⅱ</w:t>
            </w:r>
          </w:p>
        </w:tc>
        <w:tc>
          <w:tcPr>
            <w:tcW w:w="2390" w:type="dxa"/>
            <w:gridSpan w:val="3"/>
            <w:vAlign w:val="center"/>
          </w:tcPr>
          <w:p>
            <w:pPr>
              <w:pStyle w:val="97"/>
            </w:pPr>
            <w:r>
              <w:rPr>
                <w:rFonts w:hint="eastAsia" w:ascii="宋体" w:cs="宋体"/>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3" w:type="dxa"/>
            <w:vMerge w:val="continue"/>
            <w:vAlign w:val="center"/>
          </w:tcPr>
          <w:p>
            <w:pPr>
              <w:pStyle w:val="97"/>
            </w:pPr>
          </w:p>
        </w:tc>
        <w:tc>
          <w:tcPr>
            <w:tcW w:w="931" w:type="dxa"/>
            <w:vAlign w:val="center"/>
          </w:tcPr>
          <w:p>
            <w:pPr>
              <w:pStyle w:val="97"/>
            </w:pPr>
            <w:r>
              <w:t>大</w:t>
            </w:r>
          </w:p>
        </w:tc>
        <w:tc>
          <w:tcPr>
            <w:tcW w:w="776" w:type="dxa"/>
            <w:vAlign w:val="center"/>
          </w:tcPr>
          <w:p>
            <w:pPr>
              <w:pStyle w:val="97"/>
            </w:pPr>
            <w:r>
              <w:t>中</w:t>
            </w:r>
          </w:p>
        </w:tc>
        <w:tc>
          <w:tcPr>
            <w:tcW w:w="774" w:type="dxa"/>
            <w:vAlign w:val="center"/>
          </w:tcPr>
          <w:p>
            <w:pPr>
              <w:pStyle w:val="97"/>
            </w:pPr>
            <w:r>
              <w:t>小</w:t>
            </w:r>
          </w:p>
        </w:tc>
        <w:tc>
          <w:tcPr>
            <w:tcW w:w="774" w:type="dxa"/>
            <w:vAlign w:val="center"/>
          </w:tcPr>
          <w:p>
            <w:pPr>
              <w:pStyle w:val="97"/>
            </w:pPr>
            <w:r>
              <w:t>大</w:t>
            </w:r>
          </w:p>
        </w:tc>
        <w:tc>
          <w:tcPr>
            <w:tcW w:w="776" w:type="dxa"/>
            <w:vAlign w:val="center"/>
          </w:tcPr>
          <w:p>
            <w:pPr>
              <w:pStyle w:val="97"/>
            </w:pPr>
            <w:r>
              <w:t>中</w:t>
            </w:r>
          </w:p>
        </w:tc>
        <w:tc>
          <w:tcPr>
            <w:tcW w:w="776" w:type="dxa"/>
            <w:vAlign w:val="center"/>
          </w:tcPr>
          <w:p>
            <w:pPr>
              <w:pStyle w:val="97"/>
            </w:pPr>
            <w:r>
              <w:t>小</w:t>
            </w:r>
          </w:p>
        </w:tc>
        <w:tc>
          <w:tcPr>
            <w:tcW w:w="772" w:type="dxa"/>
            <w:vAlign w:val="center"/>
          </w:tcPr>
          <w:p>
            <w:pPr>
              <w:pStyle w:val="97"/>
            </w:pPr>
            <w:r>
              <w:t>大</w:t>
            </w:r>
          </w:p>
        </w:tc>
        <w:tc>
          <w:tcPr>
            <w:tcW w:w="774" w:type="dxa"/>
            <w:vAlign w:val="center"/>
          </w:tcPr>
          <w:p>
            <w:pPr>
              <w:pStyle w:val="97"/>
            </w:pPr>
            <w:r>
              <w:t>中</w:t>
            </w:r>
          </w:p>
        </w:tc>
        <w:tc>
          <w:tcPr>
            <w:tcW w:w="844" w:type="dxa"/>
            <w:vAlign w:val="center"/>
          </w:tcPr>
          <w:p>
            <w:pPr>
              <w:pStyle w:val="97"/>
            </w:pPr>
            <w: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pStyle w:val="97"/>
            </w:pPr>
            <w:r>
              <mc:AlternateContent>
                <mc:Choice Requires="wps">
                  <w:drawing>
                    <wp:anchor distT="0" distB="0" distL="114300" distR="114300" simplePos="0" relativeHeight="252314624" behindDoc="0" locked="0" layoutInCell="1" allowOverlap="1">
                      <wp:simplePos x="0" y="0"/>
                      <wp:positionH relativeFrom="column">
                        <wp:posOffset>324485</wp:posOffset>
                      </wp:positionH>
                      <wp:positionV relativeFrom="paragraph">
                        <wp:posOffset>-621030</wp:posOffset>
                      </wp:positionV>
                      <wp:extent cx="659765" cy="610870"/>
                      <wp:effectExtent l="0" t="0" r="26035" b="17780"/>
                      <wp:wrapNone/>
                      <wp:docPr id="1004" name="直接连接符 7"/>
                      <wp:cNvGraphicFramePr/>
                      <a:graphic xmlns:a="http://schemas.openxmlformats.org/drawingml/2006/main">
                        <a:graphicData uri="http://schemas.microsoft.com/office/word/2010/wordprocessingShape">
                          <wps:wsp>
                            <wps:cNvCnPr/>
                            <wps:spPr>
                              <a:xfrm flipH="1" flipV="1">
                                <a:off x="0" y="0"/>
                                <a:ext cx="659958" cy="6113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 o:spid="_x0000_s1026" o:spt="20" style="position:absolute;left:0pt;flip:x y;margin-left:25.55pt;margin-top:-48.9pt;height:48.1pt;width:51.95pt;z-index:252314624;mso-width-relative:page;mso-height-relative:page;" filled="f" stroked="t" coordsize="21600,21600" o:gfxdata="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sU6StMAAAAJAQAADwAAAAAAAAABACAAAAAiAAAAZHJzL2Rv&#10;d25yZXYueG1sUEsBAhQAFAAAAAgAh07iQNi/dJfNAQAAZwMAAA4AAAAAAAAAAQAgAAAAIgEAAGRy&#10;cy9lMm9Eb2MueG1sUEsFBgAAAAAGAAYAWQEAAGEFAAAAAA==&#10;">
                      <v:fill on="f" focussize="0,0"/>
                      <v:stroke color="#000000 [3213]" joinstyle="round"/>
                      <v:imagedata o:title=""/>
                      <o:lock v:ext="edit" aspectratio="f"/>
                    </v:line>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-68580</wp:posOffset>
                      </wp:positionH>
                      <wp:positionV relativeFrom="paragraph">
                        <wp:posOffset>-313690</wp:posOffset>
                      </wp:positionV>
                      <wp:extent cx="1073150" cy="309245"/>
                      <wp:effectExtent l="0" t="0" r="12700" b="33655"/>
                      <wp:wrapNone/>
                      <wp:docPr id="1003" name="直接连接符 9"/>
                      <wp:cNvGraphicFramePr/>
                      <a:graphic xmlns:a="http://schemas.openxmlformats.org/drawingml/2006/main">
                        <a:graphicData uri="http://schemas.microsoft.com/office/word/2010/wordprocessingShape">
                          <wps:wsp>
                            <wps:cNvCnPr/>
                            <wps:spPr>
                              <a:xfrm flipH="1" flipV="1">
                                <a:off x="0" y="0"/>
                                <a:ext cx="1073150" cy="309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9" o:spid="_x0000_s1026" o:spt="20" style="position:absolute;left:0pt;flip:x y;margin-left:-5.4pt;margin-top:-24.7pt;height:24.35pt;width:84.5pt;z-index:252315648;mso-width-relative:page;mso-height-relative:page;" filled="f" stroked="t" coordsize="21600,21600" o:gfxdata="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bFmDs1AAAAAkBAAAPAAAAAAAAAAEAIAAAACIAAABkcnMv&#10;ZG93bnJldi54bWxQSwECFAAUAAAACACHTuJAIqdf684BAABoAwAADgAAAAAAAAABACAAAAAjAQAA&#10;ZHJzL2Uyb0RvYy54bWxQSwUGAAAAAAYABgBZAQAAYwUAAAAA&#10;">
                      <v:fill on="f" focussize="0,0"/>
                      <v:stroke color="#000000 [3213]" joinstyle="round"/>
                      <v:imagedata o:title=""/>
                      <o:lock v:ext="edit" aspectratio="f"/>
                    </v:line>
                  </w:pict>
                </mc:Fallback>
              </mc:AlternateContent>
            </w:r>
            <w:r>
              <w:t>敏感</w:t>
            </w:r>
          </w:p>
        </w:tc>
        <w:tc>
          <w:tcPr>
            <w:tcW w:w="931" w:type="dxa"/>
            <w:vAlign w:val="center"/>
          </w:tcPr>
          <w:p>
            <w:pPr>
              <w:pStyle w:val="97"/>
            </w:pPr>
            <w:r>
              <w:t>一级</w:t>
            </w:r>
          </w:p>
        </w:tc>
        <w:tc>
          <w:tcPr>
            <w:tcW w:w="776" w:type="dxa"/>
            <w:vAlign w:val="center"/>
          </w:tcPr>
          <w:p>
            <w:pPr>
              <w:pStyle w:val="97"/>
            </w:pPr>
            <w:r>
              <w:t>一级</w:t>
            </w:r>
          </w:p>
        </w:tc>
        <w:tc>
          <w:tcPr>
            <w:tcW w:w="774" w:type="dxa"/>
            <w:vAlign w:val="center"/>
          </w:tcPr>
          <w:p>
            <w:pPr>
              <w:pStyle w:val="97"/>
            </w:pPr>
            <w:r>
              <w:t>一级</w:t>
            </w:r>
          </w:p>
        </w:tc>
        <w:tc>
          <w:tcPr>
            <w:tcW w:w="774" w:type="dxa"/>
            <w:vAlign w:val="center"/>
          </w:tcPr>
          <w:p>
            <w:pPr>
              <w:pStyle w:val="97"/>
            </w:pPr>
            <w:r>
              <w:t>二级</w:t>
            </w:r>
          </w:p>
        </w:tc>
        <w:tc>
          <w:tcPr>
            <w:tcW w:w="776" w:type="dxa"/>
            <w:vAlign w:val="center"/>
          </w:tcPr>
          <w:p>
            <w:pPr>
              <w:pStyle w:val="97"/>
            </w:pPr>
            <w:r>
              <w:t>二级</w:t>
            </w:r>
          </w:p>
        </w:tc>
        <w:tc>
          <w:tcPr>
            <w:tcW w:w="776" w:type="dxa"/>
            <w:vAlign w:val="center"/>
          </w:tcPr>
          <w:p>
            <w:pPr>
              <w:pStyle w:val="97"/>
            </w:pPr>
            <w:r>
              <w:t>二级</w:t>
            </w:r>
          </w:p>
        </w:tc>
        <w:tc>
          <w:tcPr>
            <w:tcW w:w="772" w:type="dxa"/>
            <w:vAlign w:val="center"/>
          </w:tcPr>
          <w:p>
            <w:pPr>
              <w:pStyle w:val="97"/>
            </w:pPr>
            <w:r>
              <w:t>三级</w:t>
            </w:r>
          </w:p>
        </w:tc>
        <w:tc>
          <w:tcPr>
            <w:tcW w:w="774" w:type="dxa"/>
            <w:vAlign w:val="center"/>
          </w:tcPr>
          <w:p>
            <w:pPr>
              <w:pStyle w:val="97"/>
            </w:pPr>
            <w:r>
              <w:t>三级</w:t>
            </w:r>
          </w:p>
        </w:tc>
        <w:tc>
          <w:tcPr>
            <w:tcW w:w="844" w:type="dxa"/>
            <w:vAlign w:val="center"/>
          </w:tcPr>
          <w:p>
            <w:pPr>
              <w:pStyle w:val="97"/>
            </w:pPr>
            <w: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pStyle w:val="97"/>
            </w:pPr>
            <w:r>
              <w:t>较敏感</w:t>
            </w:r>
          </w:p>
        </w:tc>
        <w:tc>
          <w:tcPr>
            <w:tcW w:w="931" w:type="dxa"/>
            <w:vAlign w:val="center"/>
          </w:tcPr>
          <w:p>
            <w:pPr>
              <w:pStyle w:val="97"/>
            </w:pPr>
            <w:r>
              <w:t>一级</w:t>
            </w:r>
          </w:p>
        </w:tc>
        <w:tc>
          <w:tcPr>
            <w:tcW w:w="776" w:type="dxa"/>
            <w:vAlign w:val="center"/>
          </w:tcPr>
          <w:p>
            <w:pPr>
              <w:pStyle w:val="97"/>
            </w:pPr>
            <w:r>
              <w:t>一级</w:t>
            </w:r>
          </w:p>
        </w:tc>
        <w:tc>
          <w:tcPr>
            <w:tcW w:w="774" w:type="dxa"/>
            <w:vAlign w:val="center"/>
          </w:tcPr>
          <w:p>
            <w:pPr>
              <w:pStyle w:val="97"/>
            </w:pPr>
            <w:r>
              <w:t>二级</w:t>
            </w:r>
          </w:p>
        </w:tc>
        <w:tc>
          <w:tcPr>
            <w:tcW w:w="774" w:type="dxa"/>
            <w:vAlign w:val="center"/>
          </w:tcPr>
          <w:p>
            <w:pPr>
              <w:pStyle w:val="97"/>
            </w:pPr>
            <w:r>
              <w:t>二级</w:t>
            </w:r>
          </w:p>
        </w:tc>
        <w:tc>
          <w:tcPr>
            <w:tcW w:w="776" w:type="dxa"/>
            <w:vAlign w:val="center"/>
          </w:tcPr>
          <w:p>
            <w:pPr>
              <w:pStyle w:val="97"/>
            </w:pPr>
            <w:r>
              <w:t>二级</w:t>
            </w:r>
          </w:p>
        </w:tc>
        <w:tc>
          <w:tcPr>
            <w:tcW w:w="776" w:type="dxa"/>
            <w:vAlign w:val="center"/>
          </w:tcPr>
          <w:p>
            <w:pPr>
              <w:pStyle w:val="97"/>
            </w:pPr>
            <w:r>
              <w:t>三级</w:t>
            </w:r>
          </w:p>
        </w:tc>
        <w:tc>
          <w:tcPr>
            <w:tcW w:w="772" w:type="dxa"/>
            <w:vAlign w:val="center"/>
          </w:tcPr>
          <w:p>
            <w:pPr>
              <w:pStyle w:val="97"/>
            </w:pPr>
            <w:r>
              <w:t>三级</w:t>
            </w:r>
          </w:p>
        </w:tc>
        <w:tc>
          <w:tcPr>
            <w:tcW w:w="774" w:type="dxa"/>
            <w:vAlign w:val="center"/>
          </w:tcPr>
          <w:p>
            <w:pPr>
              <w:pStyle w:val="97"/>
            </w:pPr>
            <w:r>
              <w:t>三级</w:t>
            </w:r>
          </w:p>
        </w:tc>
        <w:tc>
          <w:tcPr>
            <w:tcW w:w="844" w:type="dxa"/>
            <w:vAlign w:val="center"/>
          </w:tcPr>
          <w:p>
            <w:pPr>
              <w:pStyle w:val="97"/>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843" w:type="dxa"/>
            <w:vAlign w:val="center"/>
          </w:tcPr>
          <w:p>
            <w:pPr>
              <w:pStyle w:val="97"/>
            </w:pPr>
            <w:r>
              <w:t>不敏感</w:t>
            </w:r>
          </w:p>
        </w:tc>
        <w:tc>
          <w:tcPr>
            <w:tcW w:w="931" w:type="dxa"/>
            <w:vAlign w:val="center"/>
          </w:tcPr>
          <w:p>
            <w:pPr>
              <w:pStyle w:val="97"/>
            </w:pPr>
            <w:r>
              <w:t>一级</w:t>
            </w:r>
          </w:p>
        </w:tc>
        <w:tc>
          <w:tcPr>
            <w:tcW w:w="776" w:type="dxa"/>
            <w:vAlign w:val="center"/>
          </w:tcPr>
          <w:p>
            <w:pPr>
              <w:pStyle w:val="97"/>
            </w:pPr>
            <w:r>
              <w:t>二级</w:t>
            </w:r>
          </w:p>
        </w:tc>
        <w:tc>
          <w:tcPr>
            <w:tcW w:w="774" w:type="dxa"/>
            <w:vAlign w:val="center"/>
          </w:tcPr>
          <w:p>
            <w:pPr>
              <w:pStyle w:val="97"/>
            </w:pPr>
            <w:r>
              <w:t>二级</w:t>
            </w:r>
          </w:p>
        </w:tc>
        <w:tc>
          <w:tcPr>
            <w:tcW w:w="774" w:type="dxa"/>
            <w:vAlign w:val="center"/>
          </w:tcPr>
          <w:p>
            <w:pPr>
              <w:pStyle w:val="97"/>
            </w:pPr>
            <w:r>
              <w:t>二级</w:t>
            </w:r>
          </w:p>
        </w:tc>
        <w:tc>
          <w:tcPr>
            <w:tcW w:w="776" w:type="dxa"/>
            <w:vAlign w:val="center"/>
          </w:tcPr>
          <w:p>
            <w:pPr>
              <w:pStyle w:val="97"/>
            </w:pPr>
            <w:r>
              <w:t>三级</w:t>
            </w:r>
          </w:p>
        </w:tc>
        <w:tc>
          <w:tcPr>
            <w:tcW w:w="776" w:type="dxa"/>
            <w:vAlign w:val="center"/>
          </w:tcPr>
          <w:p>
            <w:pPr>
              <w:pStyle w:val="97"/>
            </w:pPr>
            <w:r>
              <w:t>三级</w:t>
            </w:r>
          </w:p>
        </w:tc>
        <w:tc>
          <w:tcPr>
            <w:tcW w:w="772" w:type="dxa"/>
            <w:vAlign w:val="center"/>
          </w:tcPr>
          <w:p>
            <w:pPr>
              <w:pStyle w:val="97"/>
            </w:pPr>
            <w:r>
              <w:t>三级</w:t>
            </w:r>
          </w:p>
        </w:tc>
        <w:tc>
          <w:tcPr>
            <w:tcW w:w="774" w:type="dxa"/>
            <w:vAlign w:val="center"/>
          </w:tcPr>
          <w:p>
            <w:pPr>
              <w:pStyle w:val="97"/>
            </w:pPr>
            <w:r>
              <w:t>-</w:t>
            </w:r>
          </w:p>
        </w:tc>
        <w:tc>
          <w:tcPr>
            <w:tcW w:w="844" w:type="dxa"/>
            <w:shd w:val="clear" w:color="auto" w:fill="auto"/>
            <w:vAlign w:val="center"/>
          </w:tcPr>
          <w:p>
            <w:pPr>
              <w:pStyle w:val="97"/>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40" w:type="dxa"/>
            <w:gridSpan w:val="10"/>
            <w:vAlign w:val="center"/>
          </w:tcPr>
          <w:p>
            <w:pPr>
              <w:pStyle w:val="97"/>
            </w:pPr>
            <w:r>
              <w:t>注：“-”表示可不开展环境影响评价工作</w:t>
            </w:r>
          </w:p>
        </w:tc>
      </w:tr>
    </w:tbl>
    <w:p>
      <w:pPr>
        <w:pStyle w:val="87"/>
        <w:ind w:firstLine="480"/>
        <w:rPr>
          <w:rFonts w:cs="Times New Roman"/>
        </w:rPr>
      </w:pPr>
      <w:r>
        <w:rPr>
          <w:rFonts w:cs="Times New Roman"/>
        </w:rPr>
        <w:t>建设项目所在地周边的土壤环境敏感程度分为敏感、较敏感、不敏感，判别依据见</w:t>
      </w:r>
      <w:r>
        <w:rPr>
          <w:rFonts w:hint="eastAsia" w:cs="Times New Roman"/>
        </w:rPr>
        <w:t>表2.5-8。</w:t>
      </w:r>
    </w:p>
    <w:p>
      <w:pPr>
        <w:pStyle w:val="93"/>
        <w:rPr>
          <w:rFonts w:hAnsi="Times New Roman"/>
        </w:rPr>
      </w:pPr>
      <w:bookmarkStart w:id="39" w:name="_Ref26797424"/>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8</w:t>
      </w:r>
      <w:r>
        <w:rPr>
          <w:rFonts w:hAnsi="Times New Roman"/>
        </w:rPr>
        <w:fldChar w:fldCharType="end"/>
      </w:r>
      <w:bookmarkEnd w:id="39"/>
      <w:r>
        <w:rPr>
          <w:rFonts w:hAnsi="Times New Roman"/>
        </w:rPr>
        <w:t xml:space="preserve">  污染影响型敏感程度分级表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73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7" w:type="dxa"/>
            <w:vAlign w:val="center"/>
          </w:tcPr>
          <w:p>
            <w:pPr>
              <w:pStyle w:val="48"/>
              <w:ind w:left="115" w:right="170"/>
            </w:pPr>
            <w:r>
              <w:t>敏感程度</w:t>
            </w:r>
          </w:p>
        </w:tc>
        <w:tc>
          <w:tcPr>
            <w:tcW w:w="7353" w:type="dxa"/>
            <w:vAlign w:val="center"/>
          </w:tcPr>
          <w:p>
            <w:pPr>
              <w:pStyle w:val="48"/>
              <w:ind w:left="115" w:right="170"/>
            </w:pPr>
            <w:r>
              <w:t>判别依据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7" w:type="dxa"/>
            <w:vAlign w:val="center"/>
          </w:tcPr>
          <w:p>
            <w:pPr>
              <w:pStyle w:val="48"/>
              <w:ind w:left="115" w:right="170"/>
            </w:pPr>
            <w:r>
              <w:t>敏感</w:t>
            </w:r>
          </w:p>
        </w:tc>
        <w:tc>
          <w:tcPr>
            <w:tcW w:w="7353" w:type="dxa"/>
            <w:vAlign w:val="center"/>
          </w:tcPr>
          <w:p>
            <w:pPr>
              <w:pStyle w:val="48"/>
              <w:ind w:left="115" w:right="170"/>
            </w:pPr>
            <w: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7" w:type="dxa"/>
            <w:vAlign w:val="center"/>
          </w:tcPr>
          <w:p>
            <w:pPr>
              <w:pStyle w:val="48"/>
              <w:ind w:left="115" w:right="170"/>
            </w:pPr>
            <w:r>
              <w:t>较敏感</w:t>
            </w:r>
          </w:p>
        </w:tc>
        <w:tc>
          <w:tcPr>
            <w:tcW w:w="7353" w:type="dxa"/>
            <w:vAlign w:val="center"/>
          </w:tcPr>
          <w:p>
            <w:pPr>
              <w:pStyle w:val="48"/>
              <w:ind w:left="115" w:right="170"/>
            </w:pPr>
            <w: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87" w:type="dxa"/>
            <w:vAlign w:val="center"/>
          </w:tcPr>
          <w:p>
            <w:pPr>
              <w:pStyle w:val="48"/>
              <w:ind w:left="115" w:right="170"/>
            </w:pPr>
            <w:r>
              <w:t>不敏感</w:t>
            </w:r>
          </w:p>
        </w:tc>
        <w:tc>
          <w:tcPr>
            <w:tcW w:w="7353" w:type="dxa"/>
            <w:vAlign w:val="center"/>
          </w:tcPr>
          <w:p>
            <w:pPr>
              <w:pStyle w:val="48"/>
              <w:ind w:left="115" w:right="170"/>
            </w:pPr>
            <w:r>
              <w:t>其他情况</w:t>
            </w:r>
          </w:p>
        </w:tc>
      </w:tr>
    </w:tbl>
    <w:p>
      <w:pPr>
        <w:ind w:firstLine="480"/>
        <w:rPr>
          <w:rFonts w:asciiTheme="minorEastAsia" w:hAnsiTheme="minorEastAsia" w:eastAsiaTheme="minorEastAsia"/>
        </w:rPr>
      </w:pPr>
      <w:r>
        <w:rPr>
          <w:rFonts w:hint="eastAsia" w:asciiTheme="minorEastAsia" w:hAnsiTheme="minorEastAsia" w:eastAsiaTheme="minorEastAsia"/>
        </w:rPr>
        <w:t>本项目</w:t>
      </w:r>
      <w:r>
        <w:rPr>
          <w:rFonts w:asciiTheme="minorEastAsia" w:hAnsiTheme="minorEastAsia" w:eastAsiaTheme="minorEastAsia"/>
        </w:rPr>
        <w:t>占地面积</w:t>
      </w:r>
      <w:r>
        <w:rPr>
          <w:rStyle w:val="88"/>
        </w:rPr>
        <w:t>6088m</w:t>
      </w:r>
      <w:r>
        <w:rPr>
          <w:rStyle w:val="88"/>
          <w:vertAlign w:val="superscript"/>
        </w:rPr>
        <w:t>2</w:t>
      </w:r>
      <w:r>
        <w:rPr>
          <w:rStyle w:val="88"/>
          <w:rFonts w:hint="eastAsia"/>
        </w:rPr>
        <w:t>，</w:t>
      </w:r>
      <w:r>
        <w:rPr>
          <w:rFonts w:hint="eastAsia" w:asciiTheme="minorEastAsia" w:hAnsiTheme="minorEastAsia" w:eastAsiaTheme="minorEastAsia"/>
        </w:rPr>
        <w:t>占地</w:t>
      </w:r>
      <w:r>
        <w:rPr>
          <w:rFonts w:asciiTheme="minorEastAsia" w:hAnsiTheme="minorEastAsia" w:eastAsiaTheme="minorEastAsia"/>
        </w:rPr>
        <w:t>规模属于</w:t>
      </w:r>
      <w:r>
        <w:rPr>
          <w:rFonts w:hint="eastAsia" w:asciiTheme="minorEastAsia" w:hAnsiTheme="minorEastAsia" w:eastAsiaTheme="minorEastAsia"/>
        </w:rPr>
        <w:t>小</w:t>
      </w:r>
      <w:r>
        <w:rPr>
          <w:rFonts w:asciiTheme="minorEastAsia" w:hAnsiTheme="minorEastAsia" w:eastAsiaTheme="minorEastAsia"/>
        </w:rPr>
        <w:t>型，</w:t>
      </w:r>
      <w:r>
        <w:rPr>
          <w:rStyle w:val="88"/>
          <w:rFonts w:hint="eastAsia"/>
        </w:rPr>
        <w:t>根据</w:t>
      </w:r>
      <w:r>
        <w:rPr>
          <w:rStyle w:val="88"/>
        </w:rPr>
        <w:t>表</w:t>
      </w:r>
      <w:r>
        <w:rPr>
          <w:rStyle w:val="88"/>
          <w:rFonts w:hint="eastAsia"/>
        </w:rPr>
        <w:t>2.</w:t>
      </w:r>
      <w:r>
        <w:rPr>
          <w:rStyle w:val="88"/>
        </w:rPr>
        <w:t>5</w:t>
      </w:r>
      <w:r>
        <w:rPr>
          <w:rStyle w:val="88"/>
          <w:rFonts w:hint="eastAsia"/>
        </w:rPr>
        <w:t>-6，</w:t>
      </w:r>
      <w:r>
        <w:rPr>
          <w:rStyle w:val="88"/>
        </w:rPr>
        <w:t>表</w:t>
      </w:r>
      <w:r>
        <w:rPr>
          <w:rStyle w:val="88"/>
          <w:rFonts w:hint="eastAsia"/>
        </w:rPr>
        <w:t>2.5-7，</w:t>
      </w:r>
      <w:r>
        <w:rPr>
          <w:rStyle w:val="88"/>
        </w:rPr>
        <w:t>判定项目土壤评价等级为二级。</w:t>
      </w:r>
    </w:p>
    <w:p>
      <w:pPr>
        <w:pStyle w:val="5"/>
      </w:pPr>
      <w:r>
        <w:t>环境风险</w:t>
      </w:r>
      <w:r>
        <w:rPr>
          <w:rFonts w:hint="eastAsia"/>
        </w:rPr>
        <w:t>评价</w:t>
      </w:r>
      <w:r>
        <w:t>等级</w:t>
      </w:r>
    </w:p>
    <w:p>
      <w:pPr>
        <w:ind w:firstLine="480"/>
      </w:pPr>
      <w:r>
        <w:rPr>
          <w:rFonts w:hint="eastAsia"/>
        </w:rPr>
        <w:t>（1）Q值</w:t>
      </w:r>
    </w:p>
    <w:p>
      <w:pPr>
        <w:ind w:firstLine="480"/>
      </w:pPr>
      <w:r>
        <w:rPr>
          <w:rFonts w:hint="eastAsia"/>
        </w:rPr>
        <w:t>根据</w:t>
      </w:r>
      <w:r>
        <w:t>核对《建设项目环境风险评价技术导则》（HJ169-2018）附录B</w:t>
      </w:r>
      <w:r>
        <w:rPr>
          <w:rFonts w:hint="eastAsia"/>
        </w:rPr>
        <w:t>，本项目涉及的主要危险化学品Q</w:t>
      </w:r>
      <w:r>
        <w:t>值确定见表</w:t>
      </w:r>
      <w:r>
        <w:rPr>
          <w:rFonts w:hint="eastAsia"/>
        </w:rPr>
        <w:t>2.5-9。</w:t>
      </w:r>
    </w:p>
    <w:p>
      <w:pPr>
        <w:pStyle w:val="93"/>
        <w:rPr>
          <w:szCs w:val="21"/>
        </w:rPr>
      </w:pPr>
      <w:r>
        <w:rPr>
          <w:rFonts w:hint="eastAsia"/>
          <w:szCs w:val="21"/>
        </w:rPr>
        <w:t>表</w:t>
      </w:r>
      <w:r>
        <w:rPr>
          <w:szCs w:val="21"/>
        </w:rPr>
        <w:fldChar w:fldCharType="begin"/>
      </w:r>
      <w:r>
        <w:rPr>
          <w:szCs w:val="21"/>
        </w:rPr>
        <w:instrText xml:space="preserve"> </w:instrText>
      </w:r>
      <w:r>
        <w:rPr>
          <w:rFonts w:hint="eastAsia"/>
          <w:szCs w:val="21"/>
        </w:rPr>
        <w:instrText xml:space="preserve">STYLEREF 2 \s</w:instrText>
      </w:r>
      <w:r>
        <w:rPr>
          <w:szCs w:val="21"/>
        </w:rPr>
        <w:instrText xml:space="preserve"> </w:instrText>
      </w:r>
      <w:r>
        <w:rPr>
          <w:szCs w:val="21"/>
        </w:rPr>
        <w:fldChar w:fldCharType="separate"/>
      </w:r>
      <w:r>
        <w:rPr>
          <w:szCs w:val="21"/>
        </w:rPr>
        <w:t>2.5</w:t>
      </w:r>
      <w:r>
        <w:rPr>
          <w:szCs w:val="21"/>
        </w:rPr>
        <w:fldChar w:fldCharType="end"/>
      </w:r>
      <w:r>
        <w:rPr>
          <w:szCs w:val="21"/>
        </w:rPr>
        <w:noBreakHyphen/>
      </w:r>
      <w:r>
        <w:rPr>
          <w:szCs w:val="21"/>
        </w:rPr>
        <w:fldChar w:fldCharType="begin"/>
      </w:r>
      <w:r>
        <w:rPr>
          <w:szCs w:val="21"/>
        </w:rPr>
        <w:instrText xml:space="preserve"> </w:instrText>
      </w:r>
      <w:r>
        <w:rPr>
          <w:rFonts w:hint="eastAsia"/>
          <w:szCs w:val="21"/>
        </w:rPr>
        <w:instrText xml:space="preserve">SEQ 表 \* ARABIC \s 2</w:instrText>
      </w:r>
      <w:r>
        <w:rPr>
          <w:szCs w:val="21"/>
        </w:rPr>
        <w:instrText xml:space="preserve"> </w:instrText>
      </w:r>
      <w:r>
        <w:rPr>
          <w:szCs w:val="21"/>
        </w:rPr>
        <w:fldChar w:fldCharType="separate"/>
      </w:r>
      <w:r>
        <w:rPr>
          <w:szCs w:val="21"/>
        </w:rPr>
        <w:t>9</w:t>
      </w:r>
      <w:r>
        <w:rPr>
          <w:szCs w:val="21"/>
        </w:rPr>
        <w:fldChar w:fldCharType="end"/>
      </w:r>
      <w:r>
        <w:rPr>
          <w:rFonts w:hint="eastAsia"/>
          <w:szCs w:val="21"/>
        </w:rPr>
        <w:t xml:space="preserve">  本项目</w:t>
      </w:r>
      <w:r>
        <w:rPr>
          <w:szCs w:val="21"/>
        </w:rPr>
        <w:t>Q值计算</w:t>
      </w:r>
    </w:p>
    <w:tbl>
      <w:tblPr>
        <w:tblStyle w:val="106"/>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700"/>
        <w:gridCol w:w="1700"/>
        <w:gridCol w:w="1698"/>
        <w:gridCol w:w="1392"/>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危险物质名称</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CAS号</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最大存在总量（t）</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临界量（t）</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该种物质Q值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甲醇</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67-56-1</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46.62</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硫酸</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7664-</w:t>
            </w:r>
            <w:r>
              <w:rPr>
                <w:kern w:val="0"/>
                <w:sz w:val="21"/>
                <w:szCs w:val="20"/>
              </w:rPr>
              <w:t>93-9</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10</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石油醚</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8032-32-4</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39</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10</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56" w:type="dxa"/>
            <w:gridSpan w:val="5"/>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项目Q值∑</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8.66</w:t>
            </w:r>
          </w:p>
        </w:tc>
      </w:tr>
    </w:tbl>
    <w:p>
      <w:pPr>
        <w:pStyle w:val="93"/>
        <w:rPr>
          <w:szCs w:val="21"/>
          <w:highlight w:val="yellow"/>
        </w:rPr>
      </w:pPr>
    </w:p>
    <w:p>
      <w:pPr>
        <w:pStyle w:val="87"/>
        <w:tabs>
          <w:tab w:val="left" w:pos="1725"/>
        </w:tabs>
        <w:ind w:firstLine="480"/>
      </w:pPr>
      <w:r>
        <w:rPr>
          <w:rFonts w:hint="eastAsia"/>
        </w:rPr>
        <w:t>（2）M值</w:t>
      </w:r>
      <w:r>
        <w:t>确定</w:t>
      </w:r>
      <w:r>
        <w:tab/>
      </w:r>
    </w:p>
    <w:p>
      <w:pPr>
        <w:ind w:firstLine="480"/>
      </w:pPr>
      <w:r>
        <w:rPr>
          <w:rFonts w:hint="eastAsia"/>
        </w:rPr>
        <w:t>本项目M值</w:t>
      </w:r>
      <w:r>
        <w:t>确定表见表2.5-10</w:t>
      </w:r>
      <w:r>
        <w:rPr>
          <w:rFonts w:hint="eastAsia"/>
        </w:rPr>
        <w:t>。</w:t>
      </w:r>
    </w:p>
    <w:p>
      <w:pPr>
        <w:pStyle w:val="93"/>
      </w:pPr>
    </w:p>
    <w:p>
      <w:pPr>
        <w:pStyle w:val="93"/>
      </w:pPr>
    </w:p>
    <w:p>
      <w:pPr>
        <w:pStyle w:val="93"/>
        <w:rPr>
          <w:highlight w:val="yellow"/>
        </w:rPr>
      </w:pPr>
    </w:p>
    <w:p>
      <w:pPr>
        <w:pStyle w:val="93"/>
      </w:pPr>
      <w:r>
        <w:rPr>
          <w:rFonts w:hint="eastAsia"/>
        </w:rPr>
        <w:t>表</w:t>
      </w:r>
      <w:r>
        <w:t xml:space="preserve">2.5-10  </w:t>
      </w:r>
      <w:r>
        <w:rPr>
          <w:rFonts w:hint="eastAsia"/>
        </w:rPr>
        <w:t>项目</w:t>
      </w:r>
      <w:r>
        <w:rPr>
          <w:rStyle w:val="94"/>
          <w:b/>
        </w:rPr>
        <w:t>行业及生产工艺（</w:t>
      </w:r>
      <w:r>
        <w:rPr>
          <w:rStyle w:val="94"/>
          <w:rFonts w:hint="eastAsia"/>
          <w:b/>
        </w:rPr>
        <w:t>M</w:t>
      </w:r>
      <w:r>
        <w:rPr>
          <w:rStyle w:val="94"/>
          <w:b/>
        </w:rPr>
        <w:t>）</w:t>
      </w:r>
      <w:r>
        <w:rPr>
          <w:rStyle w:val="94"/>
          <w:rFonts w:hint="eastAsia"/>
          <w:b/>
        </w:rPr>
        <w:t>值</w:t>
      </w:r>
      <w:r>
        <w:rPr>
          <w:rStyle w:val="94"/>
          <w:b/>
        </w:rPr>
        <w:t>确定</w:t>
      </w:r>
    </w:p>
    <w:tbl>
      <w:tblPr>
        <w:tblStyle w:val="36"/>
        <w:tblW w:w="9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4527"/>
        <w:gridCol w:w="1130"/>
        <w:gridCol w:w="1132"/>
        <w:gridCol w:w="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行业</w:t>
            </w:r>
          </w:p>
        </w:tc>
        <w:tc>
          <w:tcPr>
            <w:tcW w:w="4527" w:type="dxa"/>
            <w:vMerge w:val="restart"/>
            <w:vAlign w:val="center"/>
          </w:tcPr>
          <w:p>
            <w:pPr>
              <w:pStyle w:val="97"/>
            </w:pPr>
            <w:r>
              <w:rPr>
                <w:rFonts w:hint="eastAsia"/>
              </w:rPr>
              <w:t>评估</w:t>
            </w:r>
            <w:r>
              <w:t>依据</w:t>
            </w:r>
          </w:p>
        </w:tc>
        <w:tc>
          <w:tcPr>
            <w:tcW w:w="1130" w:type="dxa"/>
            <w:vMerge w:val="restart"/>
            <w:vAlign w:val="center"/>
          </w:tcPr>
          <w:p>
            <w:pPr>
              <w:pStyle w:val="97"/>
            </w:pPr>
            <w:r>
              <w:rPr>
                <w:rFonts w:hint="eastAsia"/>
              </w:rPr>
              <w:t>分值</w:t>
            </w:r>
          </w:p>
        </w:tc>
        <w:tc>
          <w:tcPr>
            <w:tcW w:w="2104" w:type="dxa"/>
            <w:gridSpan w:val="2"/>
            <w:vAlign w:val="center"/>
          </w:tcPr>
          <w:p>
            <w:pPr>
              <w:pStyle w:val="97"/>
            </w:pPr>
            <w:r>
              <w:rPr>
                <w:rFonts w:hint="eastAsia"/>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4527" w:type="dxa"/>
            <w:vMerge w:val="continue"/>
            <w:vAlign w:val="center"/>
          </w:tcPr>
          <w:p>
            <w:pPr>
              <w:pStyle w:val="97"/>
            </w:pPr>
          </w:p>
        </w:tc>
        <w:tc>
          <w:tcPr>
            <w:tcW w:w="1130" w:type="dxa"/>
            <w:vMerge w:val="continue"/>
            <w:vAlign w:val="center"/>
          </w:tcPr>
          <w:p>
            <w:pPr>
              <w:pStyle w:val="97"/>
            </w:pPr>
          </w:p>
        </w:tc>
        <w:tc>
          <w:tcPr>
            <w:tcW w:w="1132" w:type="dxa"/>
            <w:vAlign w:val="center"/>
          </w:tcPr>
          <w:p>
            <w:pPr>
              <w:pStyle w:val="97"/>
            </w:pPr>
            <w:r>
              <w:rPr>
                <w:rFonts w:hint="eastAsia"/>
              </w:rPr>
              <w:t>依据</w:t>
            </w:r>
          </w:p>
        </w:tc>
        <w:tc>
          <w:tcPr>
            <w:tcW w:w="972" w:type="dxa"/>
            <w:vAlign w:val="center"/>
          </w:tcPr>
          <w:p>
            <w:pPr>
              <w:pStyle w:val="97"/>
            </w:pPr>
            <w:r>
              <w:rPr>
                <w:rFonts w:hint="eastAsia"/>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石化</w:t>
            </w:r>
            <w:r>
              <w:t>、化工、医药、轻工、化纤、有色冶炼等</w:t>
            </w:r>
          </w:p>
        </w:tc>
        <w:tc>
          <w:tcPr>
            <w:tcW w:w="4527" w:type="dxa"/>
            <w:vAlign w:val="center"/>
          </w:tcPr>
          <w:p>
            <w:pPr>
              <w:pStyle w:val="97"/>
              <w:jc w:val="both"/>
            </w:pPr>
            <w:r>
              <w:rPr>
                <w:rFonts w:hint="eastAsi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30" w:type="dxa"/>
            <w:vAlign w:val="center"/>
          </w:tcPr>
          <w:p>
            <w:pPr>
              <w:pStyle w:val="97"/>
            </w:pPr>
            <w:r>
              <w:rPr>
                <w:rFonts w:hint="eastAsia"/>
              </w:rPr>
              <w:t>10/套</w:t>
            </w:r>
          </w:p>
        </w:tc>
        <w:tc>
          <w:tcPr>
            <w:tcW w:w="1132" w:type="dxa"/>
            <w:vAlign w:val="center"/>
          </w:tcPr>
          <w:p>
            <w:pPr>
              <w:pStyle w:val="97"/>
            </w:pPr>
            <w:r>
              <w:rPr>
                <w:rFonts w:hint="eastAsia"/>
              </w:rPr>
              <w:t>/</w:t>
            </w:r>
          </w:p>
        </w:tc>
        <w:tc>
          <w:tcPr>
            <w:tcW w:w="972"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4527" w:type="dxa"/>
            <w:vAlign w:val="center"/>
          </w:tcPr>
          <w:p>
            <w:pPr>
              <w:pStyle w:val="97"/>
            </w:pPr>
            <w:r>
              <w:rPr>
                <w:rFonts w:hint="eastAsia"/>
              </w:rPr>
              <w:t>无机酸制酸工艺、焦化工艺</w:t>
            </w:r>
          </w:p>
        </w:tc>
        <w:tc>
          <w:tcPr>
            <w:tcW w:w="1130" w:type="dxa"/>
            <w:vAlign w:val="center"/>
          </w:tcPr>
          <w:p>
            <w:pPr>
              <w:pStyle w:val="97"/>
            </w:pPr>
            <w:r>
              <w:rPr>
                <w:rFonts w:hint="eastAsia"/>
              </w:rPr>
              <w:t>5</w:t>
            </w:r>
            <w:r>
              <w:t>/</w:t>
            </w:r>
            <w:r>
              <w:rPr>
                <w:rFonts w:hint="eastAsia"/>
              </w:rPr>
              <w:t>套</w:t>
            </w:r>
          </w:p>
        </w:tc>
        <w:tc>
          <w:tcPr>
            <w:tcW w:w="1132" w:type="dxa"/>
            <w:vAlign w:val="center"/>
          </w:tcPr>
          <w:p>
            <w:pPr>
              <w:pStyle w:val="97"/>
            </w:pPr>
            <w:r>
              <w:rPr>
                <w:rFonts w:hint="eastAsia"/>
              </w:rPr>
              <w:t>/</w:t>
            </w:r>
          </w:p>
        </w:tc>
        <w:tc>
          <w:tcPr>
            <w:tcW w:w="972"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4527" w:type="dxa"/>
            <w:vAlign w:val="center"/>
          </w:tcPr>
          <w:p>
            <w:pPr>
              <w:pStyle w:val="97"/>
            </w:pPr>
            <w:r>
              <w:rPr>
                <w:rFonts w:hint="eastAsia"/>
              </w:rPr>
              <w:t>其他高温或高压，且涉及危险物质的工艺过程</w:t>
            </w:r>
            <w:r>
              <w:rPr>
                <w:rFonts w:hint="eastAsia"/>
                <w:vertAlign w:val="superscript"/>
              </w:rPr>
              <w:t>a</w:t>
            </w:r>
            <w:r>
              <w:rPr>
                <w:rFonts w:hint="eastAsia"/>
              </w:rPr>
              <w:t>、危险物质贮存罐区</w:t>
            </w:r>
          </w:p>
        </w:tc>
        <w:tc>
          <w:tcPr>
            <w:tcW w:w="1130" w:type="dxa"/>
            <w:vAlign w:val="center"/>
          </w:tcPr>
          <w:p>
            <w:pPr>
              <w:pStyle w:val="97"/>
            </w:pPr>
            <w:r>
              <w:rPr>
                <w:rFonts w:hint="eastAsia"/>
              </w:rPr>
              <w:t>5/套</w:t>
            </w:r>
            <w:r>
              <w:t>（</w:t>
            </w:r>
            <w:r>
              <w:rPr>
                <w:rFonts w:hint="eastAsia"/>
              </w:rPr>
              <w:t>罐区</w:t>
            </w:r>
            <w:r>
              <w:t>）</w:t>
            </w:r>
          </w:p>
        </w:tc>
        <w:tc>
          <w:tcPr>
            <w:tcW w:w="1132" w:type="dxa"/>
            <w:vAlign w:val="center"/>
          </w:tcPr>
          <w:p>
            <w:pPr>
              <w:pStyle w:val="97"/>
            </w:pPr>
            <w:r>
              <w:rPr>
                <w:rFonts w:hint="eastAsia"/>
              </w:rPr>
              <w:t>危险</w:t>
            </w:r>
            <w:r>
              <w:t>物质贮存罐区</w:t>
            </w:r>
            <w:r>
              <w:rPr>
                <w:rFonts w:hint="eastAsia"/>
              </w:rPr>
              <w:t>1个</w:t>
            </w:r>
          </w:p>
        </w:tc>
        <w:tc>
          <w:tcPr>
            <w:tcW w:w="972" w:type="dxa"/>
            <w:vAlign w:val="center"/>
          </w:tcPr>
          <w:p>
            <w:pPr>
              <w:pStyle w:val="97"/>
            </w:pPr>
            <w:r>
              <w:rPr>
                <w:rFonts w:hint="eastAsi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Align w:val="center"/>
          </w:tcPr>
          <w:p>
            <w:pPr>
              <w:pStyle w:val="97"/>
            </w:pPr>
            <w:r>
              <w:rPr>
                <w:rFonts w:hint="eastAsia"/>
              </w:rPr>
              <w:t>管道</w:t>
            </w:r>
            <w:r>
              <w:t>、港口</w:t>
            </w:r>
            <w:r>
              <w:rPr>
                <w:rFonts w:hint="eastAsia"/>
              </w:rPr>
              <w:t>/码头</w:t>
            </w:r>
            <w:r>
              <w:t>等</w:t>
            </w:r>
          </w:p>
        </w:tc>
        <w:tc>
          <w:tcPr>
            <w:tcW w:w="4527" w:type="dxa"/>
            <w:vAlign w:val="center"/>
          </w:tcPr>
          <w:p>
            <w:pPr>
              <w:pStyle w:val="97"/>
            </w:pPr>
            <w:r>
              <w:rPr>
                <w:rFonts w:hint="eastAsia"/>
              </w:rPr>
              <w:t>涉及危险物质管道运输项目、港口/码头等</w:t>
            </w:r>
          </w:p>
        </w:tc>
        <w:tc>
          <w:tcPr>
            <w:tcW w:w="1130" w:type="dxa"/>
            <w:vAlign w:val="center"/>
          </w:tcPr>
          <w:p>
            <w:pPr>
              <w:pStyle w:val="97"/>
            </w:pPr>
            <w:r>
              <w:rPr>
                <w:rFonts w:hint="eastAsia"/>
              </w:rPr>
              <w:t>10</w:t>
            </w:r>
          </w:p>
        </w:tc>
        <w:tc>
          <w:tcPr>
            <w:tcW w:w="1132" w:type="dxa"/>
            <w:vAlign w:val="center"/>
          </w:tcPr>
          <w:p>
            <w:pPr>
              <w:pStyle w:val="97"/>
            </w:pPr>
            <w:r>
              <w:rPr>
                <w:rFonts w:hint="eastAsia"/>
              </w:rPr>
              <w:t>/</w:t>
            </w:r>
          </w:p>
        </w:tc>
        <w:tc>
          <w:tcPr>
            <w:tcW w:w="972"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Align w:val="center"/>
          </w:tcPr>
          <w:p>
            <w:pPr>
              <w:pStyle w:val="97"/>
            </w:pPr>
            <w:r>
              <w:rPr>
                <w:rFonts w:hint="eastAsia"/>
              </w:rPr>
              <w:t>石油</w:t>
            </w:r>
            <w:r>
              <w:t>天然气</w:t>
            </w:r>
          </w:p>
        </w:tc>
        <w:tc>
          <w:tcPr>
            <w:tcW w:w="4527" w:type="dxa"/>
            <w:vAlign w:val="center"/>
          </w:tcPr>
          <w:p>
            <w:pPr>
              <w:pStyle w:val="97"/>
              <w:jc w:val="both"/>
            </w:pPr>
            <w:r>
              <w:rPr>
                <w:szCs w:val="24"/>
                <w:lang w:val="zh-CN"/>
              </w:rPr>
              <w:t>石油、天然气、页岩气开采（含净化），气库（不含加气站的气库），油库（不含加气站的油库）、油气管线（不含城镇燃气管线）</w:t>
            </w:r>
          </w:p>
        </w:tc>
        <w:tc>
          <w:tcPr>
            <w:tcW w:w="1130" w:type="dxa"/>
            <w:vAlign w:val="center"/>
          </w:tcPr>
          <w:p>
            <w:pPr>
              <w:pStyle w:val="97"/>
            </w:pPr>
            <w:r>
              <w:rPr>
                <w:rFonts w:hint="eastAsia"/>
              </w:rPr>
              <w:t>10</w:t>
            </w:r>
          </w:p>
        </w:tc>
        <w:tc>
          <w:tcPr>
            <w:tcW w:w="1132" w:type="dxa"/>
            <w:vAlign w:val="center"/>
          </w:tcPr>
          <w:p>
            <w:pPr>
              <w:pStyle w:val="97"/>
            </w:pPr>
            <w:r>
              <w:rPr>
                <w:rFonts w:hint="eastAsia"/>
              </w:rPr>
              <w:t>/</w:t>
            </w:r>
          </w:p>
        </w:tc>
        <w:tc>
          <w:tcPr>
            <w:tcW w:w="972"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Align w:val="center"/>
          </w:tcPr>
          <w:p>
            <w:pPr>
              <w:pStyle w:val="97"/>
            </w:pPr>
            <w:r>
              <w:rPr>
                <w:rFonts w:hint="eastAsia"/>
              </w:rPr>
              <w:t>其他</w:t>
            </w:r>
          </w:p>
        </w:tc>
        <w:tc>
          <w:tcPr>
            <w:tcW w:w="4527" w:type="dxa"/>
            <w:vAlign w:val="center"/>
          </w:tcPr>
          <w:p>
            <w:pPr>
              <w:pStyle w:val="97"/>
            </w:pPr>
            <w:r>
              <w:rPr>
                <w:rFonts w:hint="eastAsia"/>
              </w:rPr>
              <w:t>涉及危险物质使用、贮存的项目</w:t>
            </w:r>
          </w:p>
        </w:tc>
        <w:tc>
          <w:tcPr>
            <w:tcW w:w="1130" w:type="dxa"/>
            <w:vAlign w:val="center"/>
          </w:tcPr>
          <w:p>
            <w:pPr>
              <w:pStyle w:val="97"/>
            </w:pPr>
            <w:r>
              <w:rPr>
                <w:rFonts w:hint="eastAsia"/>
              </w:rPr>
              <w:t>5</w:t>
            </w:r>
          </w:p>
        </w:tc>
        <w:tc>
          <w:tcPr>
            <w:tcW w:w="1132" w:type="dxa"/>
            <w:vAlign w:val="center"/>
          </w:tcPr>
          <w:p>
            <w:pPr>
              <w:pStyle w:val="97"/>
            </w:pPr>
            <w:r>
              <w:rPr>
                <w:rFonts w:hint="eastAsia"/>
              </w:rPr>
              <w:t>/</w:t>
            </w:r>
          </w:p>
        </w:tc>
        <w:tc>
          <w:tcPr>
            <w:tcW w:w="972"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057" w:type="dxa"/>
            <w:gridSpan w:val="4"/>
            <w:vAlign w:val="center"/>
          </w:tcPr>
          <w:p>
            <w:pPr>
              <w:pStyle w:val="97"/>
            </w:pPr>
            <w:r>
              <w:t xml:space="preserve">a </w:t>
            </w:r>
            <w:r>
              <w:rPr>
                <w:rFonts w:hint="eastAsia"/>
              </w:rPr>
              <w:t>高温指工艺温度≥</w:t>
            </w:r>
            <w:r>
              <w:t xml:space="preserve">300 </w:t>
            </w:r>
            <w:r>
              <w:rPr>
                <w:rFonts w:hint="eastAsia"/>
              </w:rPr>
              <w:t>℃，高压指压力容器的设计压力（</w:t>
            </w:r>
            <w:r>
              <w:rPr>
                <w:i/>
                <w:iCs/>
              </w:rPr>
              <w:t>P</w:t>
            </w:r>
            <w:r>
              <w:rPr>
                <w:rFonts w:hint="eastAsia"/>
              </w:rPr>
              <w:t>）≥</w:t>
            </w:r>
            <w:r>
              <w:t>10.0 MPa</w:t>
            </w:r>
            <w:r>
              <w:rPr>
                <w:rFonts w:hint="eastAsia"/>
              </w:rPr>
              <w:t>；</w:t>
            </w:r>
          </w:p>
          <w:p>
            <w:pPr>
              <w:pStyle w:val="97"/>
            </w:pPr>
            <w:r>
              <w:t xml:space="preserve">b </w:t>
            </w:r>
            <w:r>
              <w:rPr>
                <w:rFonts w:hint="eastAsia"/>
              </w:rPr>
              <w:t>长输管道运输项目应按站场、管线分段进行评价。</w:t>
            </w:r>
          </w:p>
        </w:tc>
        <w:tc>
          <w:tcPr>
            <w:tcW w:w="972" w:type="dxa"/>
            <w:vAlign w:val="center"/>
          </w:tcPr>
          <w:p>
            <w:pPr>
              <w:pStyle w:val="97"/>
            </w:pPr>
            <w:r>
              <w:t>M4</w:t>
            </w:r>
          </w:p>
        </w:tc>
      </w:tr>
    </w:tbl>
    <w:p>
      <w:pPr>
        <w:pStyle w:val="87"/>
        <w:ind w:firstLine="480"/>
      </w:pPr>
      <w:r>
        <w:rPr>
          <w:rFonts w:hint="eastAsia"/>
        </w:rPr>
        <w:t>本项目</w:t>
      </w:r>
      <w:r>
        <w:t>行业为医药，依据</w:t>
      </w:r>
      <w:r>
        <w:rPr>
          <w:rFonts w:hint="eastAsia"/>
        </w:rPr>
        <w:t>划分</w:t>
      </w:r>
      <w:r>
        <w:t>依据，项目M=5</w:t>
      </w:r>
      <w:r>
        <w:rPr>
          <w:rFonts w:hint="eastAsia"/>
        </w:rPr>
        <w:t>，</w:t>
      </w:r>
      <w:r>
        <w:t>属于划分的M4。</w:t>
      </w:r>
    </w:p>
    <w:p>
      <w:pPr>
        <w:pStyle w:val="87"/>
        <w:ind w:firstLine="480"/>
      </w:pPr>
      <w:r>
        <w:rPr>
          <w:rFonts w:hint="eastAsia"/>
        </w:rPr>
        <w:t>（3）</w:t>
      </w:r>
      <w:r>
        <w:t>P值确定</w:t>
      </w:r>
    </w:p>
    <w:p>
      <w:pPr>
        <w:ind w:firstLine="480"/>
        <w:rPr>
          <w:szCs w:val="20"/>
        </w:rPr>
      </w:pPr>
      <w:r>
        <w:rPr>
          <w:szCs w:val="20"/>
        </w:rPr>
        <w:t>项目危险物质及工艺系统危害见表2.5-11。</w:t>
      </w:r>
    </w:p>
    <w:p>
      <w:pPr>
        <w:pStyle w:val="93"/>
      </w:pPr>
      <w:r>
        <w:rPr>
          <w:rFonts w:hint="eastAsia"/>
        </w:rPr>
        <w:t>表</w:t>
      </w:r>
      <w:r>
        <w:t>2.5-11  危险物质及工艺系统危害性等级判断（P）</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08"/>
        <w:gridCol w:w="1808"/>
        <w:gridCol w:w="1808"/>
        <w:gridCol w:w="1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vMerge w:val="restart"/>
            <w:shd w:val="clear" w:color="auto" w:fill="auto"/>
            <w:vAlign w:val="center"/>
          </w:tcPr>
          <w:p>
            <w:pPr>
              <w:pStyle w:val="97"/>
            </w:pPr>
            <w:r>
              <w:t>危险物质数量与临界量比值（Q）</w:t>
            </w:r>
          </w:p>
        </w:tc>
        <w:tc>
          <w:tcPr>
            <w:tcW w:w="7232" w:type="dxa"/>
            <w:gridSpan w:val="4"/>
            <w:shd w:val="clear" w:color="auto" w:fill="auto"/>
            <w:vAlign w:val="center"/>
          </w:tcPr>
          <w:p>
            <w:pPr>
              <w:pStyle w:val="97"/>
            </w:pPr>
            <w: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vMerge w:val="continue"/>
            <w:shd w:val="clear" w:color="auto" w:fill="auto"/>
            <w:vAlign w:val="center"/>
          </w:tcPr>
          <w:p>
            <w:pPr>
              <w:pStyle w:val="97"/>
            </w:pPr>
          </w:p>
        </w:tc>
        <w:tc>
          <w:tcPr>
            <w:tcW w:w="1808" w:type="dxa"/>
            <w:shd w:val="clear" w:color="auto" w:fill="auto"/>
            <w:vAlign w:val="center"/>
          </w:tcPr>
          <w:p>
            <w:pPr>
              <w:pStyle w:val="97"/>
            </w:pPr>
            <w:r>
              <w:t>M1</w:t>
            </w:r>
          </w:p>
        </w:tc>
        <w:tc>
          <w:tcPr>
            <w:tcW w:w="1808" w:type="dxa"/>
            <w:shd w:val="clear" w:color="auto" w:fill="auto"/>
            <w:vAlign w:val="center"/>
          </w:tcPr>
          <w:p>
            <w:pPr>
              <w:pStyle w:val="97"/>
            </w:pPr>
            <w:r>
              <w:t>M2</w:t>
            </w:r>
          </w:p>
        </w:tc>
        <w:tc>
          <w:tcPr>
            <w:tcW w:w="1808" w:type="dxa"/>
            <w:shd w:val="clear" w:color="auto" w:fill="auto"/>
            <w:vAlign w:val="center"/>
          </w:tcPr>
          <w:p>
            <w:pPr>
              <w:pStyle w:val="97"/>
            </w:pPr>
            <w:r>
              <w:t>M3</w:t>
            </w:r>
          </w:p>
        </w:tc>
        <w:tc>
          <w:tcPr>
            <w:tcW w:w="1808" w:type="dxa"/>
            <w:shd w:val="clear" w:color="auto" w:fill="auto"/>
            <w:vAlign w:val="center"/>
          </w:tcPr>
          <w:p>
            <w:pPr>
              <w:pStyle w:val="97"/>
            </w:pPr>
            <w:r>
              <w:t xml:space="preserve">M4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shd w:val="clear" w:color="auto" w:fill="auto"/>
            <w:vAlign w:val="center"/>
          </w:tcPr>
          <w:p>
            <w:pPr>
              <w:pStyle w:val="97"/>
            </w:pPr>
            <w:r>
              <w:rPr>
                <w:i/>
              </w:rPr>
              <w:t>Q</w:t>
            </w:r>
            <w:r>
              <w:t>≥100</w:t>
            </w:r>
          </w:p>
        </w:tc>
        <w:tc>
          <w:tcPr>
            <w:tcW w:w="1808" w:type="dxa"/>
            <w:shd w:val="clear" w:color="auto" w:fill="auto"/>
            <w:vAlign w:val="center"/>
          </w:tcPr>
          <w:p>
            <w:pPr>
              <w:pStyle w:val="97"/>
            </w:pPr>
            <w:r>
              <w:t>P1</w:t>
            </w:r>
          </w:p>
        </w:tc>
        <w:tc>
          <w:tcPr>
            <w:tcW w:w="1808" w:type="dxa"/>
            <w:shd w:val="clear" w:color="auto" w:fill="auto"/>
            <w:vAlign w:val="center"/>
          </w:tcPr>
          <w:p>
            <w:pPr>
              <w:pStyle w:val="97"/>
            </w:pPr>
            <w:r>
              <w:t>P1</w:t>
            </w:r>
          </w:p>
        </w:tc>
        <w:tc>
          <w:tcPr>
            <w:tcW w:w="1808" w:type="dxa"/>
            <w:shd w:val="clear" w:color="auto" w:fill="auto"/>
            <w:vAlign w:val="center"/>
          </w:tcPr>
          <w:p>
            <w:pPr>
              <w:pStyle w:val="97"/>
            </w:pPr>
            <w:r>
              <w:t>P2</w:t>
            </w:r>
          </w:p>
        </w:tc>
        <w:tc>
          <w:tcPr>
            <w:tcW w:w="1808" w:type="dxa"/>
            <w:shd w:val="clear" w:color="auto" w:fill="auto"/>
            <w:vAlign w:val="center"/>
          </w:tcPr>
          <w:p>
            <w:pPr>
              <w:pStyle w:val="97"/>
            </w:pPr>
            <w: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shd w:val="clear" w:color="auto" w:fill="auto"/>
            <w:vAlign w:val="center"/>
          </w:tcPr>
          <w:p>
            <w:pPr>
              <w:pStyle w:val="97"/>
            </w:pPr>
            <w:r>
              <w:t>10≤</w:t>
            </w:r>
            <w:r>
              <w:rPr>
                <w:i/>
              </w:rPr>
              <w:t>Q</w:t>
            </w:r>
            <w:r>
              <w:t>＜100</w:t>
            </w:r>
          </w:p>
        </w:tc>
        <w:tc>
          <w:tcPr>
            <w:tcW w:w="1808" w:type="dxa"/>
            <w:shd w:val="clear" w:color="auto" w:fill="auto"/>
            <w:vAlign w:val="center"/>
          </w:tcPr>
          <w:p>
            <w:pPr>
              <w:pStyle w:val="97"/>
            </w:pPr>
            <w:r>
              <w:rPr>
                <w:bCs/>
              </w:rPr>
              <w:t>P1</w:t>
            </w:r>
          </w:p>
        </w:tc>
        <w:tc>
          <w:tcPr>
            <w:tcW w:w="1808" w:type="dxa"/>
            <w:shd w:val="clear" w:color="auto" w:fill="auto"/>
            <w:vAlign w:val="center"/>
          </w:tcPr>
          <w:p>
            <w:pPr>
              <w:pStyle w:val="97"/>
            </w:pPr>
            <w:r>
              <w:rPr>
                <w:bCs/>
              </w:rPr>
              <w:t>P2</w:t>
            </w:r>
          </w:p>
        </w:tc>
        <w:tc>
          <w:tcPr>
            <w:tcW w:w="1808" w:type="dxa"/>
            <w:shd w:val="clear" w:color="auto" w:fill="auto"/>
            <w:vAlign w:val="center"/>
          </w:tcPr>
          <w:p>
            <w:pPr>
              <w:pStyle w:val="97"/>
            </w:pPr>
            <w:r>
              <w:t>P3</w:t>
            </w:r>
          </w:p>
        </w:tc>
        <w:tc>
          <w:tcPr>
            <w:tcW w:w="1808" w:type="dxa"/>
            <w:shd w:val="clear" w:color="auto" w:fill="auto"/>
            <w:vAlign w:val="center"/>
          </w:tcPr>
          <w:p>
            <w:pPr>
              <w:pStyle w:val="97"/>
            </w:pPr>
            <w: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shd w:val="clear" w:color="auto" w:fill="auto"/>
            <w:vAlign w:val="center"/>
          </w:tcPr>
          <w:p>
            <w:pPr>
              <w:pStyle w:val="97"/>
            </w:pPr>
            <w:r>
              <w:t>1≤</w:t>
            </w:r>
            <w:r>
              <w:rPr>
                <w:i/>
              </w:rPr>
              <w:t>Q</w:t>
            </w:r>
            <w:r>
              <w:t>＜10</w:t>
            </w:r>
          </w:p>
        </w:tc>
        <w:tc>
          <w:tcPr>
            <w:tcW w:w="1808" w:type="dxa"/>
            <w:shd w:val="clear" w:color="auto" w:fill="auto"/>
            <w:vAlign w:val="center"/>
          </w:tcPr>
          <w:p>
            <w:pPr>
              <w:pStyle w:val="97"/>
            </w:pPr>
            <w:r>
              <w:t>P2</w:t>
            </w:r>
          </w:p>
        </w:tc>
        <w:tc>
          <w:tcPr>
            <w:tcW w:w="1808" w:type="dxa"/>
            <w:shd w:val="clear" w:color="auto" w:fill="auto"/>
            <w:vAlign w:val="center"/>
          </w:tcPr>
          <w:p>
            <w:pPr>
              <w:pStyle w:val="97"/>
            </w:pPr>
            <w:r>
              <w:t>P3</w:t>
            </w:r>
          </w:p>
        </w:tc>
        <w:tc>
          <w:tcPr>
            <w:tcW w:w="1808" w:type="dxa"/>
            <w:shd w:val="clear" w:color="auto" w:fill="auto"/>
            <w:vAlign w:val="center"/>
          </w:tcPr>
          <w:p>
            <w:pPr>
              <w:pStyle w:val="97"/>
            </w:pPr>
            <w:r>
              <w:t>P4</w:t>
            </w:r>
          </w:p>
        </w:tc>
        <w:tc>
          <w:tcPr>
            <w:tcW w:w="1808" w:type="dxa"/>
            <w:shd w:val="clear" w:color="auto" w:fill="auto"/>
            <w:vAlign w:val="center"/>
          </w:tcPr>
          <w:p>
            <w:pPr>
              <w:pStyle w:val="97"/>
              <w:rPr>
                <w:b/>
              </w:rPr>
            </w:pPr>
            <w:r>
              <w:rPr>
                <w:b/>
              </w:rPr>
              <w:t>P4</w:t>
            </w:r>
          </w:p>
        </w:tc>
      </w:tr>
    </w:tbl>
    <w:p>
      <w:pPr>
        <w:ind w:firstLine="480"/>
        <w:rPr>
          <w:szCs w:val="20"/>
        </w:rPr>
      </w:pPr>
      <w:r>
        <w:rPr>
          <w:szCs w:val="20"/>
        </w:rPr>
        <w:t>根据《建设项目环境风险评价技术导则》（HJ 169-2018）附录C中P的确定依据，项目危险物质及工艺系统危害性（P）的等级为P4。</w:t>
      </w:r>
    </w:p>
    <w:p>
      <w:pPr>
        <w:pStyle w:val="87"/>
        <w:ind w:firstLine="480"/>
      </w:pPr>
      <w:r>
        <w:rPr>
          <w:rFonts w:hint="eastAsia"/>
        </w:rPr>
        <w:t>（4）风险</w:t>
      </w:r>
      <w:r>
        <w:t>潜势判定</w:t>
      </w:r>
    </w:p>
    <w:p>
      <w:pPr>
        <w:ind w:firstLine="480"/>
        <w:rPr>
          <w:snapToGrid w:val="0"/>
          <w:kern w:val="0"/>
          <w:lang w:val="zh-CN"/>
        </w:rPr>
      </w:pPr>
      <w:r>
        <w:rPr>
          <w:snapToGrid w:val="0"/>
          <w:kern w:val="0"/>
          <w:lang w:val="zh-CN"/>
        </w:rPr>
        <w:t>根据《建设项目环境风险评价技术导则》（HJ 169-2018）表2，本项目各环境要素境风险潜势划分见表2.5-1</w:t>
      </w:r>
      <w:r>
        <w:rPr>
          <w:snapToGrid w:val="0"/>
          <w:kern w:val="0"/>
        </w:rPr>
        <w:t>2</w:t>
      </w:r>
      <w:r>
        <w:rPr>
          <w:snapToGrid w:val="0"/>
          <w:kern w:val="0"/>
          <w:lang w:val="zh-CN"/>
        </w:rPr>
        <w:t>。</w:t>
      </w:r>
    </w:p>
    <w:p>
      <w:pPr>
        <w:pStyle w:val="49"/>
        <w:snapToGrid/>
        <w:ind w:firstLine="480"/>
        <w:rPr>
          <w:rFonts w:hAnsi="宋体" w:eastAsia="宋体"/>
          <w:szCs w:val="24"/>
        </w:rPr>
      </w:pPr>
      <w:r>
        <w:rPr>
          <w:rFonts w:hAnsi="宋体" w:eastAsia="宋体"/>
          <w:szCs w:val="24"/>
          <w:highlight w:val="yellow"/>
        </w:rPr>
        <w:br w:type="column"/>
      </w:r>
      <w:r>
        <w:rPr>
          <w:rFonts w:hAnsi="宋体" w:eastAsia="宋体"/>
          <w:szCs w:val="24"/>
        </w:rPr>
        <w:t>表2.5-12  本项目环境风向潜势划分表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5299"/>
        <w:gridCol w:w="2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360" w:type="dxa"/>
            <w:shd w:val="clear" w:color="auto" w:fill="auto"/>
            <w:vAlign w:val="center"/>
          </w:tcPr>
          <w:p>
            <w:pPr>
              <w:pStyle w:val="92"/>
            </w:pPr>
            <w:r>
              <w:t>类别</w:t>
            </w:r>
          </w:p>
        </w:tc>
        <w:tc>
          <w:tcPr>
            <w:tcW w:w="5299" w:type="dxa"/>
            <w:shd w:val="clear" w:color="auto" w:fill="auto"/>
            <w:vAlign w:val="center"/>
          </w:tcPr>
          <w:p>
            <w:pPr>
              <w:pStyle w:val="92"/>
            </w:pPr>
            <w:r>
              <w:t>本项目情况</w:t>
            </w:r>
          </w:p>
        </w:tc>
        <w:tc>
          <w:tcPr>
            <w:tcW w:w="2381" w:type="dxa"/>
            <w:shd w:val="clear" w:color="auto" w:fill="auto"/>
            <w:vAlign w:val="center"/>
          </w:tcPr>
          <w:p>
            <w:pPr>
              <w:pStyle w:val="92"/>
            </w:pPr>
            <w:r>
              <w:t>环境风险潜势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0" w:type="dxa"/>
            <w:shd w:val="clear" w:color="auto" w:fill="auto"/>
            <w:vAlign w:val="center"/>
          </w:tcPr>
          <w:p>
            <w:pPr>
              <w:pStyle w:val="92"/>
            </w:pPr>
            <w:r>
              <w:t>大气</w:t>
            </w:r>
          </w:p>
        </w:tc>
        <w:tc>
          <w:tcPr>
            <w:tcW w:w="5299" w:type="dxa"/>
            <w:shd w:val="clear" w:color="auto" w:fill="auto"/>
            <w:vAlign w:val="center"/>
          </w:tcPr>
          <w:p>
            <w:pPr>
              <w:pStyle w:val="92"/>
            </w:pPr>
            <w:r>
              <w:t>环境中度敏感区E2，</w:t>
            </w:r>
            <w:r>
              <w:rPr>
                <w:rFonts w:hint="eastAsia"/>
              </w:rPr>
              <w:t>轻度</w:t>
            </w:r>
            <w:r>
              <w:t>危害P4</w:t>
            </w:r>
          </w:p>
        </w:tc>
        <w:tc>
          <w:tcPr>
            <w:tcW w:w="2381" w:type="dxa"/>
            <w:shd w:val="clear" w:color="auto" w:fill="auto"/>
            <w:vAlign w:val="center"/>
          </w:tcPr>
          <w:p>
            <w:pPr>
              <w:pStyle w:val="92"/>
            </w:pPr>
            <w:r>
              <w:rPr>
                <w:rFonts w:hint="eastAsia" w:ascii="宋体" w:cs="宋体"/>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0" w:type="dxa"/>
            <w:shd w:val="clear" w:color="auto" w:fill="auto"/>
            <w:vAlign w:val="center"/>
          </w:tcPr>
          <w:p>
            <w:pPr>
              <w:pStyle w:val="92"/>
            </w:pPr>
            <w:r>
              <w:t>地表水</w:t>
            </w:r>
          </w:p>
        </w:tc>
        <w:tc>
          <w:tcPr>
            <w:tcW w:w="5299" w:type="dxa"/>
            <w:shd w:val="clear" w:color="auto" w:fill="auto"/>
            <w:vAlign w:val="center"/>
          </w:tcPr>
          <w:p>
            <w:pPr>
              <w:pStyle w:val="92"/>
            </w:pPr>
            <w:r>
              <w:t>环境</w:t>
            </w:r>
            <w:r>
              <w:rPr>
                <w:rFonts w:hint="eastAsia"/>
              </w:rPr>
              <w:t>高</w:t>
            </w:r>
            <w:r>
              <w:t>度敏感区E1，</w:t>
            </w:r>
            <w:r>
              <w:rPr>
                <w:rFonts w:hint="eastAsia"/>
              </w:rPr>
              <w:t>轻度</w:t>
            </w:r>
            <w:r>
              <w:t>危害P4</w:t>
            </w:r>
          </w:p>
        </w:tc>
        <w:tc>
          <w:tcPr>
            <w:tcW w:w="2381" w:type="dxa"/>
            <w:shd w:val="clear" w:color="auto" w:fill="auto"/>
            <w:vAlign w:val="center"/>
          </w:tcPr>
          <w:p>
            <w:pPr>
              <w:pStyle w:val="92"/>
            </w:pPr>
            <w:r>
              <w:rPr>
                <w:rFonts w:hint="eastAsia" w:ascii="宋体" w:cs="宋体"/>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60" w:type="dxa"/>
            <w:shd w:val="clear" w:color="auto" w:fill="auto"/>
            <w:vAlign w:val="center"/>
          </w:tcPr>
          <w:p>
            <w:pPr>
              <w:pStyle w:val="92"/>
            </w:pPr>
            <w:r>
              <w:t>地下水</w:t>
            </w:r>
          </w:p>
        </w:tc>
        <w:tc>
          <w:tcPr>
            <w:tcW w:w="5299" w:type="dxa"/>
            <w:shd w:val="clear" w:color="auto" w:fill="auto"/>
            <w:vAlign w:val="center"/>
          </w:tcPr>
          <w:p>
            <w:pPr>
              <w:pStyle w:val="92"/>
            </w:pPr>
            <w:r>
              <w:t>环境中度敏感区E2，</w:t>
            </w:r>
            <w:r>
              <w:rPr>
                <w:rFonts w:hint="eastAsia"/>
              </w:rPr>
              <w:t>轻度</w:t>
            </w:r>
            <w:r>
              <w:t>危害P4</w:t>
            </w:r>
          </w:p>
        </w:tc>
        <w:tc>
          <w:tcPr>
            <w:tcW w:w="2381" w:type="dxa"/>
            <w:shd w:val="clear" w:color="auto" w:fill="auto"/>
            <w:vAlign w:val="center"/>
          </w:tcPr>
          <w:p>
            <w:pPr>
              <w:pStyle w:val="92"/>
            </w:pPr>
            <w:r>
              <w:rPr>
                <w:rFonts w:hint="eastAsia" w:ascii="宋体" w:cs="宋体"/>
              </w:rPr>
              <w:t>Ⅱ</w:t>
            </w:r>
          </w:p>
        </w:tc>
      </w:tr>
    </w:tbl>
    <w:p>
      <w:pPr>
        <w:pStyle w:val="93"/>
        <w:rPr>
          <w:szCs w:val="21"/>
          <w:highlight w:val="yellow"/>
        </w:rPr>
      </w:pPr>
    </w:p>
    <w:p>
      <w:pPr>
        <w:ind w:firstLine="480"/>
      </w:pPr>
      <w:r>
        <w:rPr>
          <w:rFonts w:hint="eastAsia"/>
        </w:rPr>
        <w:t>（5）风险</w:t>
      </w:r>
      <w:r>
        <w:t>评价等级</w:t>
      </w:r>
    </w:p>
    <w:p>
      <w:pPr>
        <w:ind w:firstLine="480"/>
      </w:pPr>
      <w:r>
        <w:rPr>
          <w:rFonts w:hint="eastAsia"/>
        </w:rPr>
        <w:t>按照《建设项目环境风险评价技术导则》（</w:t>
      </w:r>
      <w:r>
        <w:t>HJ 169-2018</w:t>
      </w:r>
      <w:r>
        <w:rPr>
          <w:rFonts w:hint="eastAsia"/>
        </w:rPr>
        <w:t>）中评价工作等级划分，见表2.5-13，确定本项目环境风险评价等级。</w:t>
      </w:r>
    </w:p>
    <w:p>
      <w:pPr>
        <w:pStyle w:val="93"/>
        <w:rPr>
          <w:szCs w:val="21"/>
        </w:rPr>
      </w:pPr>
      <w:r>
        <w:rPr>
          <w:rFonts w:hint="eastAsia"/>
          <w:szCs w:val="21"/>
        </w:rPr>
        <w:t>表2.5-1</w:t>
      </w:r>
      <w:r>
        <w:rPr>
          <w:szCs w:val="21"/>
        </w:rPr>
        <w:t>3</w:t>
      </w:r>
      <w:r>
        <w:rPr>
          <w:rFonts w:hint="eastAsia"/>
          <w:szCs w:val="21"/>
        </w:rPr>
        <w:t xml:space="preserve">  评价工作等级划分</w:t>
      </w:r>
    </w:p>
    <w:tbl>
      <w:tblPr>
        <w:tblStyle w:val="35"/>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85"/>
        <w:gridCol w:w="1650"/>
        <w:gridCol w:w="1583"/>
        <w:gridCol w:w="1517"/>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85" w:type="dxa"/>
            <w:shd w:val="clear" w:color="auto" w:fill="auto"/>
            <w:vAlign w:val="center"/>
          </w:tcPr>
          <w:p>
            <w:pPr>
              <w:pStyle w:val="48"/>
            </w:pPr>
            <w:r>
              <w:t>环境风险潜势</w:t>
            </w:r>
          </w:p>
        </w:tc>
        <w:tc>
          <w:tcPr>
            <w:tcW w:w="1650" w:type="dxa"/>
            <w:shd w:val="clear" w:color="auto" w:fill="auto"/>
            <w:vAlign w:val="center"/>
          </w:tcPr>
          <w:p>
            <w:pPr>
              <w:pStyle w:val="48"/>
            </w:pPr>
            <w:r>
              <w:rPr>
                <w:rFonts w:hint="eastAsia" w:ascii="宋体" w:cs="宋体"/>
              </w:rPr>
              <w:t>Ⅳ</w:t>
            </w:r>
            <w:r>
              <w:t>、</w:t>
            </w:r>
            <w:r>
              <w:rPr>
                <w:rFonts w:hint="eastAsia" w:ascii="宋体" w:cs="宋体"/>
              </w:rPr>
              <w:t>Ⅳ</w:t>
            </w:r>
            <w:r>
              <w:rPr>
                <w:vertAlign w:val="superscript"/>
              </w:rPr>
              <w:t>+</w:t>
            </w:r>
          </w:p>
        </w:tc>
        <w:tc>
          <w:tcPr>
            <w:tcW w:w="1583" w:type="dxa"/>
            <w:shd w:val="clear" w:color="auto" w:fill="auto"/>
            <w:vAlign w:val="center"/>
          </w:tcPr>
          <w:p>
            <w:pPr>
              <w:pStyle w:val="48"/>
            </w:pPr>
            <w:r>
              <w:rPr>
                <w:rFonts w:hint="eastAsia" w:ascii="宋体" w:cs="宋体"/>
              </w:rPr>
              <w:t>Ⅲ</w:t>
            </w:r>
          </w:p>
        </w:tc>
        <w:tc>
          <w:tcPr>
            <w:tcW w:w="1517" w:type="dxa"/>
            <w:shd w:val="clear" w:color="auto" w:fill="auto"/>
            <w:vAlign w:val="center"/>
          </w:tcPr>
          <w:p>
            <w:pPr>
              <w:pStyle w:val="48"/>
            </w:pPr>
            <w:r>
              <w:rPr>
                <w:rFonts w:hint="eastAsia" w:ascii="宋体" w:cs="宋体"/>
              </w:rPr>
              <w:t>Ⅱ</w:t>
            </w:r>
          </w:p>
        </w:tc>
        <w:tc>
          <w:tcPr>
            <w:tcW w:w="1587" w:type="dxa"/>
            <w:shd w:val="clear" w:color="auto" w:fill="auto"/>
            <w:vAlign w:val="center"/>
          </w:tcPr>
          <w:p>
            <w:pPr>
              <w:pStyle w:val="48"/>
            </w:pPr>
            <w:r>
              <w:rPr>
                <w:rFonts w:hint="eastAsia" w:ascii="宋体" w:cs="宋体"/>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185" w:type="dxa"/>
            <w:shd w:val="clear" w:color="auto" w:fill="auto"/>
            <w:vAlign w:val="center"/>
          </w:tcPr>
          <w:p>
            <w:pPr>
              <w:pStyle w:val="48"/>
            </w:pPr>
            <w:r>
              <w:t>评价工作等级</w:t>
            </w:r>
          </w:p>
        </w:tc>
        <w:tc>
          <w:tcPr>
            <w:tcW w:w="1650" w:type="dxa"/>
            <w:shd w:val="clear" w:color="auto" w:fill="auto"/>
            <w:vAlign w:val="center"/>
          </w:tcPr>
          <w:p>
            <w:pPr>
              <w:pStyle w:val="48"/>
            </w:pPr>
            <w:r>
              <w:t>一级</w:t>
            </w:r>
          </w:p>
        </w:tc>
        <w:tc>
          <w:tcPr>
            <w:tcW w:w="1583" w:type="dxa"/>
            <w:shd w:val="clear" w:color="auto" w:fill="auto"/>
            <w:vAlign w:val="center"/>
          </w:tcPr>
          <w:p>
            <w:pPr>
              <w:pStyle w:val="48"/>
            </w:pPr>
            <w:r>
              <w:t>二级</w:t>
            </w:r>
          </w:p>
        </w:tc>
        <w:tc>
          <w:tcPr>
            <w:tcW w:w="1517" w:type="dxa"/>
            <w:shd w:val="clear" w:color="auto" w:fill="auto"/>
            <w:vAlign w:val="center"/>
          </w:tcPr>
          <w:p>
            <w:pPr>
              <w:pStyle w:val="48"/>
            </w:pPr>
            <w:r>
              <w:t>三级</w:t>
            </w:r>
          </w:p>
        </w:tc>
        <w:tc>
          <w:tcPr>
            <w:tcW w:w="1587" w:type="dxa"/>
            <w:shd w:val="clear" w:color="auto" w:fill="auto"/>
            <w:vAlign w:val="center"/>
          </w:tcPr>
          <w:p>
            <w:pPr>
              <w:pStyle w:val="48"/>
            </w:pPr>
            <w:r>
              <w:t>简单分析</w:t>
            </w:r>
            <w:r>
              <w:rPr>
                <w:rFonts w:hint="eastAsia"/>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522" w:type="dxa"/>
            <w:gridSpan w:val="5"/>
            <w:shd w:val="clear" w:color="auto" w:fill="auto"/>
            <w:vAlign w:val="center"/>
          </w:tcPr>
          <w:p>
            <w:pPr>
              <w:pStyle w:val="48"/>
              <w:jc w:val="left"/>
            </w:pPr>
            <w:r>
              <w:rPr>
                <w:rFonts w:hint="eastAsia"/>
              </w:rPr>
              <w:t>a 是相对于详细评价工作内容而言，在描述危险物质、环境影响途径、环境危害后果、风险防范措施等方面给出定性的说明。见导则附录A。</w:t>
            </w:r>
          </w:p>
        </w:tc>
      </w:tr>
    </w:tbl>
    <w:p>
      <w:pPr>
        <w:ind w:firstLine="480"/>
      </w:pPr>
      <w:r>
        <w:rPr>
          <w:rFonts w:hint="eastAsia"/>
        </w:rPr>
        <w:t>由表</w:t>
      </w:r>
      <w:r>
        <w:t>2.5-13</w:t>
      </w:r>
      <w:r>
        <w:rPr>
          <w:rFonts w:hint="eastAsia"/>
        </w:rPr>
        <w:t>，因此按照《建设项目环境风险评价技术导则》（HJ169-2018）中所规定的判定原则，本项目风险</w:t>
      </w:r>
      <w:r>
        <w:t>评价等级为二级</w:t>
      </w:r>
      <w:r>
        <w:rPr>
          <w:rFonts w:hint="eastAsia"/>
        </w:rPr>
        <w:t>，大气</w:t>
      </w:r>
      <w:r>
        <w:t>、地下水要素风险评价等级为三级</w:t>
      </w:r>
      <w:r>
        <w:rPr>
          <w:rFonts w:hint="eastAsia"/>
        </w:rPr>
        <w:t>，</w:t>
      </w:r>
      <w:r>
        <w:t>地表水</w:t>
      </w:r>
      <w:r>
        <w:rPr>
          <w:rFonts w:hint="eastAsia"/>
        </w:rPr>
        <w:t>风险</w:t>
      </w:r>
      <w:r>
        <w:t>评价等级为二级。</w:t>
      </w:r>
    </w:p>
    <w:p>
      <w:pPr>
        <w:pStyle w:val="4"/>
      </w:pPr>
      <w:r>
        <w:rPr>
          <w:rFonts w:hint="eastAsia"/>
        </w:rPr>
        <w:t>评价范围</w:t>
      </w:r>
    </w:p>
    <w:p>
      <w:pPr>
        <w:ind w:firstLine="480"/>
      </w:pPr>
      <w:r>
        <w:t>根据导则中对不同评价级别的工作深度要求，结合工程建设特点及当地的自然和社会环境条件，确定本次环境评价范围如下：</w:t>
      </w:r>
    </w:p>
    <w:p>
      <w:pPr>
        <w:pStyle w:val="93"/>
        <w:rPr>
          <w:rFonts w:hAnsi="Times New Roman"/>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10</w:t>
      </w:r>
      <w:r>
        <w:rPr>
          <w:rFonts w:hAnsi="Times New Roman"/>
        </w:rPr>
        <w:fldChar w:fldCharType="end"/>
      </w:r>
      <w:r>
        <w:rPr>
          <w:rFonts w:hAnsi="Times New Roman"/>
        </w:rPr>
        <w:t xml:space="preserve">  评价工作级别</w:t>
      </w:r>
      <w:r>
        <w:rPr>
          <w:rFonts w:hint="eastAsia" w:hAnsi="Times New Roman"/>
        </w:rPr>
        <w:t>及评价</w:t>
      </w:r>
      <w:r>
        <w:rPr>
          <w:rFonts w:hAnsi="Times New Roman"/>
        </w:rPr>
        <w:t>范围表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88"/>
        <w:gridCol w:w="1416"/>
        <w:gridCol w:w="61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环境要素</w:t>
            </w:r>
          </w:p>
        </w:tc>
        <w:tc>
          <w:tcPr>
            <w:tcW w:w="1416" w:type="dxa"/>
            <w:vAlign w:val="center"/>
          </w:tcPr>
          <w:p>
            <w:pPr>
              <w:pStyle w:val="48"/>
            </w:pPr>
            <w:r>
              <w:t>评价等级</w:t>
            </w:r>
          </w:p>
        </w:tc>
        <w:tc>
          <w:tcPr>
            <w:tcW w:w="6136" w:type="dxa"/>
            <w:vAlign w:val="center"/>
          </w:tcPr>
          <w:p>
            <w:pPr>
              <w:pStyle w:val="48"/>
            </w:pPr>
            <w: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大气</w:t>
            </w:r>
          </w:p>
        </w:tc>
        <w:tc>
          <w:tcPr>
            <w:tcW w:w="1416" w:type="dxa"/>
            <w:vAlign w:val="center"/>
          </w:tcPr>
          <w:p>
            <w:pPr>
              <w:pStyle w:val="48"/>
            </w:pPr>
            <w:r>
              <w:t>二级</w:t>
            </w:r>
          </w:p>
        </w:tc>
        <w:tc>
          <w:tcPr>
            <w:tcW w:w="6136" w:type="dxa"/>
            <w:vAlign w:val="center"/>
          </w:tcPr>
          <w:p>
            <w:pPr>
              <w:pStyle w:val="48"/>
            </w:pPr>
            <w:r>
              <w:t>以厂界外延，边长为5km的矩形范围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地表水</w:t>
            </w:r>
          </w:p>
        </w:tc>
        <w:tc>
          <w:tcPr>
            <w:tcW w:w="1416" w:type="dxa"/>
            <w:vAlign w:val="center"/>
          </w:tcPr>
          <w:p>
            <w:pPr>
              <w:pStyle w:val="48"/>
            </w:pPr>
            <w:r>
              <w:t>三级</w:t>
            </w:r>
          </w:p>
        </w:tc>
        <w:tc>
          <w:tcPr>
            <w:tcW w:w="6136" w:type="dxa"/>
            <w:vAlign w:val="center"/>
          </w:tcPr>
          <w:p>
            <w:pPr>
              <w:pStyle w:val="48"/>
            </w:pPr>
            <w:r>
              <w:t>仅对地表水环境影响作简要分析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地下水</w:t>
            </w:r>
          </w:p>
        </w:tc>
        <w:tc>
          <w:tcPr>
            <w:tcW w:w="1416" w:type="dxa"/>
            <w:vAlign w:val="center"/>
          </w:tcPr>
          <w:p>
            <w:pPr>
              <w:pStyle w:val="48"/>
            </w:pPr>
            <w:r>
              <w:t>三级</w:t>
            </w:r>
          </w:p>
        </w:tc>
        <w:tc>
          <w:tcPr>
            <w:tcW w:w="6136" w:type="dxa"/>
            <w:vAlign w:val="center"/>
          </w:tcPr>
          <w:p>
            <w:pPr>
              <w:pStyle w:val="48"/>
            </w:pPr>
            <w:r>
              <w:t>以项目场地为中心，</w:t>
            </w:r>
            <w:r>
              <w:rPr>
                <w:rFonts w:hint="eastAsia"/>
              </w:rPr>
              <w:t>东北侧（地下水上游）514m、西南侧以平定河为界（地下水下游）920m，东西厂界514m，面积1.2km</w:t>
            </w:r>
            <w:r>
              <w:rPr>
                <w:rFonts w:hint="eastAsia"/>
                <w:vertAlign w:val="superscript"/>
              </w:rPr>
              <w:t>2</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噪声</w:t>
            </w:r>
          </w:p>
        </w:tc>
        <w:tc>
          <w:tcPr>
            <w:tcW w:w="1416" w:type="dxa"/>
            <w:vAlign w:val="center"/>
          </w:tcPr>
          <w:p>
            <w:pPr>
              <w:pStyle w:val="48"/>
            </w:pPr>
            <w:r>
              <w:rPr>
                <w:rFonts w:hint="eastAsia"/>
              </w:rPr>
              <w:t>三</w:t>
            </w:r>
            <w:r>
              <w:t>级</w:t>
            </w:r>
          </w:p>
        </w:tc>
        <w:tc>
          <w:tcPr>
            <w:tcW w:w="6136" w:type="dxa"/>
            <w:vAlign w:val="center"/>
          </w:tcPr>
          <w:p>
            <w:pPr>
              <w:pStyle w:val="48"/>
            </w:pPr>
            <w:r>
              <w:t>厂界外200m范围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风险</w:t>
            </w:r>
          </w:p>
        </w:tc>
        <w:tc>
          <w:tcPr>
            <w:tcW w:w="1416" w:type="dxa"/>
            <w:vAlign w:val="center"/>
          </w:tcPr>
          <w:p>
            <w:pPr>
              <w:pStyle w:val="48"/>
            </w:pPr>
            <w:r>
              <w:rPr>
                <w:rFonts w:hint="eastAsia"/>
              </w:rPr>
              <w:t>简单分析</w:t>
            </w:r>
          </w:p>
        </w:tc>
        <w:tc>
          <w:tcPr>
            <w:tcW w:w="6136" w:type="dxa"/>
            <w:vAlign w:val="center"/>
          </w:tcPr>
          <w:p>
            <w:pPr>
              <w:pStyle w:val="48"/>
            </w:pPr>
            <w:r>
              <w:t>仅对项目风险进行简单分析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生态</w:t>
            </w:r>
          </w:p>
        </w:tc>
        <w:tc>
          <w:tcPr>
            <w:tcW w:w="1416" w:type="dxa"/>
            <w:vAlign w:val="center"/>
          </w:tcPr>
          <w:p>
            <w:pPr>
              <w:pStyle w:val="48"/>
            </w:pPr>
            <w:r>
              <w:t>/</w:t>
            </w:r>
          </w:p>
        </w:tc>
        <w:tc>
          <w:tcPr>
            <w:tcW w:w="6136" w:type="dxa"/>
            <w:vAlign w:val="center"/>
          </w:tcPr>
          <w:p>
            <w:pPr>
              <w:pStyle w:val="48"/>
            </w:pPr>
            <w:r>
              <w:t>项目占地范围内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88" w:type="dxa"/>
            <w:vAlign w:val="center"/>
          </w:tcPr>
          <w:p>
            <w:pPr>
              <w:pStyle w:val="48"/>
            </w:pPr>
            <w:r>
              <w:t>土壤</w:t>
            </w:r>
          </w:p>
        </w:tc>
        <w:tc>
          <w:tcPr>
            <w:tcW w:w="1416" w:type="dxa"/>
            <w:vAlign w:val="center"/>
          </w:tcPr>
          <w:p>
            <w:pPr>
              <w:pStyle w:val="48"/>
            </w:pPr>
            <w:r>
              <w:rPr>
                <w:rFonts w:hint="eastAsia"/>
              </w:rPr>
              <w:t>二级</w:t>
            </w:r>
          </w:p>
        </w:tc>
        <w:tc>
          <w:tcPr>
            <w:tcW w:w="6136" w:type="dxa"/>
            <w:vAlign w:val="center"/>
          </w:tcPr>
          <w:p>
            <w:pPr>
              <w:pStyle w:val="48"/>
            </w:pPr>
            <w:r>
              <w:t>项目占地范围内</w:t>
            </w:r>
            <w:r>
              <w:rPr>
                <w:rFonts w:hint="eastAsia"/>
              </w:rPr>
              <w:t>，</w:t>
            </w:r>
            <w:r>
              <w:t>占地范围外</w:t>
            </w:r>
            <w:r>
              <w:rPr>
                <w:rFonts w:hint="eastAsia"/>
              </w:rPr>
              <w:t>200</w:t>
            </w:r>
            <w:r>
              <w:t>m</w:t>
            </w:r>
          </w:p>
        </w:tc>
      </w:tr>
    </w:tbl>
    <w:p>
      <w:pPr>
        <w:pStyle w:val="3"/>
      </w:pPr>
      <w:bookmarkStart w:id="40" w:name="_Toc82502944"/>
      <w:bookmarkStart w:id="41" w:name="_Toc488102151"/>
      <w:r>
        <w:rPr>
          <w:rFonts w:hint="eastAsia"/>
        </w:rPr>
        <w:t>相关规划及环境功能区划</w:t>
      </w:r>
      <w:bookmarkEnd w:id="40"/>
      <w:bookmarkEnd w:id="41"/>
    </w:p>
    <w:p>
      <w:pPr>
        <w:pStyle w:val="4"/>
      </w:pPr>
      <w:r>
        <w:rPr>
          <w:rFonts w:hint="eastAsia"/>
        </w:rPr>
        <w:t>相关规划符合性</w:t>
      </w:r>
    </w:p>
    <w:p>
      <w:pPr>
        <w:ind w:firstLine="480"/>
      </w:pPr>
      <w:r>
        <w:t>本项目位于旬阳高新区吕河工业园，</w:t>
      </w:r>
      <w:r>
        <w:rPr>
          <w:rFonts w:hint="eastAsia"/>
        </w:rPr>
        <w:t>旬阳</w:t>
      </w:r>
      <w:r>
        <w:t>高新区为</w:t>
      </w:r>
      <w:r>
        <w:rPr>
          <w:rFonts w:hint="eastAsia"/>
        </w:rPr>
        <w:t>旬阳依托县生态工业集中区和吕河工业集中区“一区两园”建设省级高新区，规划产业类型为重点发展“新型材料、装备制造、</w:t>
      </w:r>
      <w:r>
        <w:t>富硒食品、生物</w:t>
      </w:r>
      <w:r>
        <w:rPr>
          <w:rFonts w:hint="eastAsia"/>
        </w:rPr>
        <w:t>医药”四大主导产业，</w:t>
      </w:r>
      <w:r>
        <w:t>本项目为黄姜提取</w:t>
      </w:r>
      <w:r>
        <w:rPr>
          <w:rFonts w:hint="eastAsia"/>
        </w:rPr>
        <w:t>物研究</w:t>
      </w:r>
      <w:r>
        <w:t>基地项目，属于</w:t>
      </w:r>
      <w:r>
        <w:rPr>
          <w:rFonts w:hint="eastAsia"/>
        </w:rPr>
        <w:t>生物医药</w:t>
      </w:r>
      <w:r>
        <w:t>产业，符合高新区产业发展规划。</w:t>
      </w:r>
    </w:p>
    <w:p>
      <w:pPr>
        <w:pStyle w:val="4"/>
      </w:pPr>
      <w:r>
        <w:rPr>
          <w:rFonts w:hint="eastAsia"/>
        </w:rPr>
        <w:t>环境功能区划</w:t>
      </w:r>
    </w:p>
    <w:p>
      <w:pPr>
        <w:pStyle w:val="5"/>
      </w:pPr>
      <w:r>
        <w:t>环境空气功能区划</w:t>
      </w:r>
    </w:p>
    <w:p>
      <w:pPr>
        <w:ind w:firstLine="480"/>
      </w:pPr>
      <w:r>
        <w:t>项目所在区域属于旬阳高新区吕河工业园，根据《环境空气质量标准》（GB3095-2012）本项目区域环境空气功能区的分类应划分为二类区，执行《环境空气质量标准》（GB3095-2012）中的二级标准。</w:t>
      </w:r>
    </w:p>
    <w:p>
      <w:pPr>
        <w:pStyle w:val="5"/>
      </w:pPr>
      <w:r>
        <w:t>水环境功能区划</w:t>
      </w:r>
    </w:p>
    <w:p>
      <w:pPr>
        <w:ind w:firstLine="480"/>
      </w:pPr>
      <w:r>
        <w:rPr>
          <w:rFonts w:hint="eastAsia"/>
        </w:rPr>
        <w:t>距离</w:t>
      </w:r>
      <w:r>
        <w:t>项目</w:t>
      </w:r>
      <w:r>
        <w:rPr>
          <w:rFonts w:hint="eastAsia"/>
        </w:rPr>
        <w:t>最近的</w:t>
      </w:r>
      <w:r>
        <w:t>地表水体为</w:t>
      </w:r>
      <w:r>
        <w:rPr>
          <w:rFonts w:hint="eastAsia"/>
        </w:rPr>
        <w:t>南侧9</w:t>
      </w:r>
      <w:r>
        <w:t>2</w:t>
      </w:r>
      <w:r>
        <w:rPr>
          <w:rFonts w:hint="eastAsia"/>
        </w:rPr>
        <w:t>0</w:t>
      </w:r>
      <w:r>
        <w:t>m的</w:t>
      </w:r>
      <w:r>
        <w:rPr>
          <w:rFonts w:hint="eastAsia"/>
        </w:rPr>
        <w:t>汉江支流平定河</w:t>
      </w:r>
      <w:r>
        <w:t>，根据</w:t>
      </w:r>
      <w:r>
        <w:rPr>
          <w:rFonts w:hint="eastAsia"/>
        </w:rPr>
        <w:t>陕西</w:t>
      </w:r>
      <w:r>
        <w:t>省地表水水环境功能区划，</w:t>
      </w:r>
      <w:r>
        <w:rPr>
          <w:rFonts w:hint="eastAsia"/>
        </w:rPr>
        <w:t>项目</w:t>
      </w:r>
      <w:r>
        <w:t>所在区域</w:t>
      </w:r>
      <w:r>
        <w:rPr>
          <w:rFonts w:hint="eastAsia"/>
        </w:rPr>
        <w:t>平定河</w:t>
      </w:r>
      <w:r>
        <w:t>地表水水质目标</w:t>
      </w:r>
      <w:r>
        <w:rPr>
          <w:rFonts w:hint="eastAsia"/>
        </w:rPr>
        <w:t>为</w:t>
      </w:r>
      <w:r>
        <w:rPr>
          <w:rFonts w:hAnsi="宋体"/>
        </w:rPr>
        <w:t>Ⅲ</w:t>
      </w:r>
      <w:r>
        <w:rPr>
          <w:rFonts w:hint="eastAsia"/>
        </w:rPr>
        <w:t>类</w:t>
      </w:r>
      <w:r>
        <w:t>地表水</w:t>
      </w:r>
      <w:r>
        <w:rPr>
          <w:rFonts w:hint="eastAsia"/>
        </w:rPr>
        <w:t>，</w:t>
      </w:r>
      <w:r>
        <w:t>执行《地表水环境质量标准》(GB3838-2002)中</w:t>
      </w:r>
      <w:r>
        <w:rPr>
          <w:rFonts w:hAnsi="宋体"/>
        </w:rPr>
        <w:t>Ⅲ</w:t>
      </w:r>
      <w:r>
        <w:t>类水质标准。</w:t>
      </w:r>
    </w:p>
    <w:p>
      <w:pPr>
        <w:ind w:firstLine="480"/>
      </w:pPr>
      <w:r>
        <w:t>根据《地下水质量标准》(GB/T14848-2017)的地下水分类要求，评价区的地下水质量定为</w:t>
      </w:r>
      <w:r>
        <w:rPr>
          <w:rFonts w:hAnsi="宋体"/>
        </w:rPr>
        <w:t>Ⅲ</w:t>
      </w:r>
      <w:r>
        <w:t>类，执行地下水</w:t>
      </w:r>
      <w:r>
        <w:rPr>
          <w:rFonts w:hAnsi="宋体"/>
        </w:rPr>
        <w:t>Ⅲ</w:t>
      </w:r>
      <w:r>
        <w:t>类质量标准。</w:t>
      </w:r>
    </w:p>
    <w:p>
      <w:pPr>
        <w:pStyle w:val="5"/>
      </w:pPr>
      <w:r>
        <w:t>声环境功能区划</w:t>
      </w:r>
    </w:p>
    <w:p>
      <w:pPr>
        <w:ind w:firstLine="480"/>
      </w:pPr>
      <w:r>
        <w:t>项目所在区域属于旬阳高新区吕河工业园</w:t>
      </w:r>
      <w:r>
        <w:rPr>
          <w:rFonts w:hint="eastAsia"/>
        </w:rPr>
        <w:t>，项目区声环境质量按</w:t>
      </w:r>
      <w:r>
        <w:t>3</w:t>
      </w:r>
      <w:r>
        <w:rPr>
          <w:rFonts w:hint="eastAsia"/>
        </w:rPr>
        <w:t>类区控制，</w:t>
      </w:r>
      <w:r>
        <w:t>执行《声环境质量标准》（GB3096-2008）中3类区标准</w:t>
      </w:r>
      <w:r>
        <w:rPr>
          <w:rFonts w:hint="eastAsia"/>
        </w:rPr>
        <w:t>（</w:t>
      </w:r>
      <w:r>
        <w:t>昼间65B(A)</w:t>
      </w:r>
      <w:r>
        <w:rPr>
          <w:rFonts w:hint="eastAsia"/>
        </w:rPr>
        <w:t>，</w:t>
      </w:r>
      <w:r>
        <w:t>夜间55dB(A)</w:t>
      </w:r>
      <w:r>
        <w:rPr>
          <w:rFonts w:hint="eastAsia"/>
        </w:rPr>
        <w:t>）</w:t>
      </w:r>
      <w:r>
        <w:t>。</w:t>
      </w:r>
    </w:p>
    <w:p>
      <w:pPr>
        <w:pStyle w:val="5"/>
      </w:pPr>
      <w:r>
        <w:t>生态功能区划</w:t>
      </w:r>
    </w:p>
    <w:p>
      <w:pPr>
        <w:ind w:firstLine="480"/>
      </w:pPr>
      <w:r>
        <w:t>根据</w:t>
      </w:r>
      <w:r>
        <w:rPr>
          <w:rFonts w:hint="eastAsia"/>
        </w:rPr>
        <w:t>陕西省</w:t>
      </w:r>
      <w:r>
        <w:t>生态功能区划，项目所在地旬阳市属于</w:t>
      </w:r>
      <w:r>
        <w:rPr>
          <w:rFonts w:hint="eastAsia"/>
        </w:rPr>
        <w:t>“四</w:t>
      </w:r>
      <w:r>
        <w:t>、</w:t>
      </w:r>
      <w:r>
        <w:rPr>
          <w:rFonts w:hint="eastAsia"/>
        </w:rPr>
        <w:t>秦</w:t>
      </w:r>
      <w:r>
        <w:t>巴山地落叶阔叶林、常绿阔叶混交林生态区</w:t>
      </w:r>
      <w:r>
        <w:rPr>
          <w:rFonts w:hint="eastAsia"/>
        </w:rPr>
        <w:t>”——“九</w:t>
      </w:r>
      <w:r>
        <w:t>汉江两岸丘陵盆地农业生态</w:t>
      </w:r>
      <w:r>
        <w:rPr>
          <w:rFonts w:hint="eastAsia"/>
        </w:rPr>
        <w:t>亚</w:t>
      </w:r>
      <w:r>
        <w:t>区</w:t>
      </w:r>
      <w:r>
        <w:rPr>
          <w:rFonts w:hint="eastAsia"/>
        </w:rPr>
        <w:t>”——</w:t>
      </w:r>
      <w:r>
        <w:rPr>
          <w:rFonts w:asciiTheme="minorEastAsia" w:hAnsiTheme="minorEastAsia" w:eastAsiaTheme="minorEastAsia"/>
        </w:rPr>
        <w:t>“</w:t>
      </w:r>
      <w:r>
        <w:t xml:space="preserve">31 </w:t>
      </w:r>
      <w:r>
        <w:rPr>
          <w:rFonts w:hint="eastAsia"/>
        </w:rPr>
        <w:t>汉江</w:t>
      </w:r>
      <w:r>
        <w:t>两岸低山丘陵土壤侵蚀控制区</w:t>
      </w:r>
      <w:r>
        <w:rPr>
          <w:rFonts w:ascii="宋体" w:hAnsi="宋体"/>
        </w:rPr>
        <w:t>”</w:t>
      </w:r>
      <w:r>
        <w:rPr>
          <w:rFonts w:hint="eastAsia" w:ascii="宋体" w:hAnsi="宋体"/>
        </w:rPr>
        <w:t>。</w:t>
      </w:r>
    </w:p>
    <w:p>
      <w:pPr>
        <w:pStyle w:val="3"/>
      </w:pPr>
      <w:bookmarkStart w:id="42" w:name="_Toc488102152"/>
      <w:bookmarkStart w:id="43" w:name="_Toc82502945"/>
      <w:r>
        <w:rPr>
          <w:rFonts w:hint="eastAsia"/>
        </w:rPr>
        <w:t>环境保护目标</w:t>
      </w:r>
      <w:bookmarkEnd w:id="42"/>
      <w:bookmarkEnd w:id="43"/>
    </w:p>
    <w:p>
      <w:pPr>
        <w:ind w:firstLine="480"/>
        <w:rPr>
          <w:szCs w:val="24"/>
        </w:rPr>
      </w:pPr>
      <w:r>
        <w:t>项目建于旬阳高新区吕河工业园，</w:t>
      </w:r>
      <w:r>
        <w:rPr>
          <w:rFonts w:hint="eastAsia"/>
        </w:rPr>
        <w:t>厂区</w:t>
      </w:r>
      <w:r>
        <w:t>北侧为</w:t>
      </w:r>
      <w:r>
        <w:rPr>
          <w:rFonts w:hint="eastAsia"/>
        </w:rPr>
        <w:t>空置</w:t>
      </w:r>
      <w:r>
        <w:t>库房，南侧为</w:t>
      </w:r>
      <w:r>
        <w:rPr>
          <w:rFonts w:hint="eastAsia"/>
        </w:rPr>
        <w:t>东信环保</w:t>
      </w:r>
      <w:r>
        <w:t>公司PVC管</w:t>
      </w:r>
      <w:r>
        <w:rPr>
          <w:rFonts w:hint="eastAsia"/>
        </w:rPr>
        <w:t>厂</w:t>
      </w:r>
      <w:r>
        <w:t>，西侧为旬阳连接线道路</w:t>
      </w:r>
      <w:r>
        <w:rPr>
          <w:rFonts w:hint="eastAsia"/>
        </w:rPr>
        <w:t>，</w:t>
      </w:r>
      <w:r>
        <w:t>东侧为</w:t>
      </w:r>
      <w:r>
        <w:rPr>
          <w:rFonts w:hint="eastAsia"/>
        </w:rPr>
        <w:t>江家店村，</w:t>
      </w:r>
      <w:r>
        <w:rPr>
          <w:szCs w:val="24"/>
        </w:rPr>
        <w:t>四邻关系图见图</w:t>
      </w:r>
      <w:r>
        <w:rPr>
          <w:rFonts w:hint="eastAsia"/>
          <w:szCs w:val="24"/>
        </w:rPr>
        <w:t>2.7-1</w:t>
      </w:r>
      <w:r>
        <w:t>。</w:t>
      </w:r>
      <w:r>
        <w:rPr>
          <w:szCs w:val="24"/>
        </w:rPr>
        <w:t>评价区内无自然保护区、风景名胜区、饮用水源保护区等敏感区，项目周围现状和规划建设情况，并结合项目建设及使用功能的特点，确定本项目评价范围内有关环境保护敏感目标的情况见</w:t>
      </w:r>
      <w:r>
        <w:rPr>
          <w:rFonts w:hint="eastAsia"/>
          <w:szCs w:val="24"/>
        </w:rPr>
        <w:t>表2.7-1所示</w:t>
      </w:r>
      <w:r>
        <w:rPr>
          <w:szCs w:val="24"/>
        </w:rPr>
        <w:t>，评价范围及敏感点见图2.7-2</w:t>
      </w:r>
      <w:r>
        <w:rPr>
          <w:rFonts w:hint="eastAsia"/>
          <w:szCs w:val="24"/>
        </w:rPr>
        <w:t>。</w:t>
      </w:r>
      <w:r>
        <w:rPr>
          <w:rFonts w:hint="eastAsia"/>
        </w:rPr>
        <w:t xml:space="preserve"> </w:t>
      </w:r>
    </w:p>
    <w:p>
      <w:pPr>
        <w:spacing w:line="240" w:lineRule="auto"/>
        <w:ind w:firstLine="0" w:firstLineChars="0"/>
        <w:jc w:val="center"/>
        <w:rPr>
          <w:b/>
          <w:sz w:val="21"/>
          <w:szCs w:val="24"/>
        </w:rPr>
      </w:pPr>
      <w:bookmarkStart w:id="44" w:name="_Ref27042413"/>
      <w:r>
        <w:rPr>
          <w:b/>
          <w:sz w:val="21"/>
          <w:szCs w:val="24"/>
          <w:highlight w:val="yellow"/>
        </w:rPr>
        <w:br w:type="column"/>
      </w: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2.7</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44"/>
      <w:r>
        <w:rPr>
          <w:b/>
          <w:sz w:val="21"/>
          <w:szCs w:val="24"/>
        </w:rPr>
        <w:t xml:space="preserve">  项目环境空气保护目标</w:t>
      </w:r>
    </w:p>
    <w:tbl>
      <w:tblPr>
        <w:tblStyle w:val="35"/>
        <w:tblW w:w="928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6"/>
        <w:gridCol w:w="590"/>
        <w:gridCol w:w="1417"/>
        <w:gridCol w:w="1278"/>
        <w:gridCol w:w="1400"/>
        <w:gridCol w:w="652"/>
        <w:gridCol w:w="732"/>
        <w:gridCol w:w="492"/>
        <w:gridCol w:w="1915"/>
        <w:gridCol w:w="3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Merge w:val="restart"/>
            <w:vAlign w:val="center"/>
          </w:tcPr>
          <w:p>
            <w:pPr>
              <w:adjustRightInd/>
              <w:snapToGrid/>
              <w:spacing w:line="240" w:lineRule="auto"/>
              <w:ind w:firstLine="0" w:firstLineChars="0"/>
              <w:jc w:val="center"/>
              <w:rPr>
                <w:sz w:val="21"/>
                <w:szCs w:val="21"/>
              </w:rPr>
            </w:pPr>
            <w:r>
              <w:rPr>
                <w:sz w:val="21"/>
                <w:szCs w:val="21"/>
              </w:rPr>
              <w:t>序号</w:t>
            </w:r>
          </w:p>
        </w:tc>
        <w:tc>
          <w:tcPr>
            <w:tcW w:w="590" w:type="dxa"/>
            <w:vMerge w:val="restart"/>
            <w:vAlign w:val="center"/>
          </w:tcPr>
          <w:p>
            <w:pPr>
              <w:adjustRightInd/>
              <w:snapToGrid/>
              <w:spacing w:line="240" w:lineRule="auto"/>
              <w:ind w:firstLine="0" w:firstLineChars="0"/>
              <w:jc w:val="center"/>
              <w:rPr>
                <w:sz w:val="21"/>
                <w:szCs w:val="21"/>
              </w:rPr>
            </w:pPr>
            <w:r>
              <w:rPr>
                <w:rFonts w:hint="eastAsia"/>
                <w:sz w:val="21"/>
                <w:szCs w:val="21"/>
              </w:rPr>
              <w:t>环境要素</w:t>
            </w:r>
          </w:p>
        </w:tc>
        <w:tc>
          <w:tcPr>
            <w:tcW w:w="1417" w:type="dxa"/>
            <w:vMerge w:val="restart"/>
            <w:vAlign w:val="center"/>
          </w:tcPr>
          <w:p>
            <w:pPr>
              <w:adjustRightInd/>
              <w:snapToGrid/>
              <w:spacing w:line="240" w:lineRule="auto"/>
              <w:ind w:firstLine="0" w:firstLineChars="0"/>
              <w:jc w:val="center"/>
              <w:rPr>
                <w:sz w:val="21"/>
                <w:szCs w:val="21"/>
              </w:rPr>
            </w:pPr>
            <w:r>
              <w:rPr>
                <w:sz w:val="21"/>
                <w:szCs w:val="21"/>
              </w:rPr>
              <w:t>保护目标名称</w:t>
            </w:r>
          </w:p>
        </w:tc>
        <w:tc>
          <w:tcPr>
            <w:tcW w:w="2678" w:type="dxa"/>
            <w:gridSpan w:val="2"/>
            <w:vAlign w:val="center"/>
          </w:tcPr>
          <w:p>
            <w:pPr>
              <w:adjustRightInd/>
              <w:snapToGrid/>
              <w:spacing w:line="240" w:lineRule="auto"/>
              <w:ind w:firstLine="0" w:firstLineChars="0"/>
              <w:jc w:val="center"/>
              <w:rPr>
                <w:sz w:val="21"/>
                <w:szCs w:val="21"/>
              </w:rPr>
            </w:pPr>
            <w:r>
              <w:rPr>
                <w:rFonts w:hint="eastAsia"/>
                <w:sz w:val="21"/>
                <w:szCs w:val="21"/>
              </w:rPr>
              <w:t>地理</w:t>
            </w:r>
            <w:r>
              <w:rPr>
                <w:sz w:val="21"/>
                <w:szCs w:val="21"/>
              </w:rPr>
              <w:t xml:space="preserve">位置坐标/° </w:t>
            </w:r>
          </w:p>
        </w:tc>
        <w:tc>
          <w:tcPr>
            <w:tcW w:w="652" w:type="dxa"/>
            <w:vMerge w:val="restart"/>
            <w:vAlign w:val="center"/>
          </w:tcPr>
          <w:p>
            <w:pPr>
              <w:adjustRightInd/>
              <w:snapToGrid/>
              <w:spacing w:line="240" w:lineRule="auto"/>
              <w:ind w:firstLine="0" w:firstLineChars="0"/>
              <w:jc w:val="center"/>
              <w:rPr>
                <w:sz w:val="21"/>
                <w:szCs w:val="21"/>
              </w:rPr>
            </w:pPr>
            <w:r>
              <w:rPr>
                <w:sz w:val="21"/>
                <w:szCs w:val="21"/>
              </w:rPr>
              <w:t>相对厂址方位</w:t>
            </w:r>
          </w:p>
        </w:tc>
        <w:tc>
          <w:tcPr>
            <w:tcW w:w="732" w:type="dxa"/>
            <w:vMerge w:val="restart"/>
            <w:vAlign w:val="center"/>
          </w:tcPr>
          <w:p>
            <w:pPr>
              <w:adjustRightInd/>
              <w:snapToGrid/>
              <w:spacing w:line="240" w:lineRule="auto"/>
              <w:ind w:firstLine="0" w:firstLineChars="0"/>
              <w:jc w:val="center"/>
              <w:rPr>
                <w:sz w:val="21"/>
                <w:szCs w:val="21"/>
              </w:rPr>
            </w:pPr>
            <w:r>
              <w:rPr>
                <w:sz w:val="21"/>
                <w:szCs w:val="21"/>
              </w:rPr>
              <w:t>相对厂界距离/m</w:t>
            </w:r>
          </w:p>
        </w:tc>
        <w:tc>
          <w:tcPr>
            <w:tcW w:w="492" w:type="dxa"/>
            <w:vMerge w:val="restart"/>
            <w:vAlign w:val="center"/>
          </w:tcPr>
          <w:p>
            <w:pPr>
              <w:adjustRightInd/>
              <w:snapToGrid/>
              <w:spacing w:line="240" w:lineRule="auto"/>
              <w:ind w:firstLine="0" w:firstLineChars="0"/>
              <w:jc w:val="center"/>
              <w:rPr>
                <w:sz w:val="21"/>
                <w:szCs w:val="21"/>
              </w:rPr>
            </w:pPr>
            <w:r>
              <w:rPr>
                <w:sz w:val="21"/>
                <w:szCs w:val="21"/>
              </w:rPr>
              <w:t>保护对象</w:t>
            </w:r>
          </w:p>
        </w:tc>
        <w:tc>
          <w:tcPr>
            <w:tcW w:w="1915" w:type="dxa"/>
            <w:vMerge w:val="restart"/>
            <w:vAlign w:val="center"/>
          </w:tcPr>
          <w:p>
            <w:pPr>
              <w:adjustRightInd/>
              <w:snapToGrid/>
              <w:spacing w:line="240" w:lineRule="auto"/>
              <w:ind w:firstLine="0" w:firstLineChars="0"/>
              <w:jc w:val="center"/>
              <w:rPr>
                <w:sz w:val="21"/>
                <w:szCs w:val="21"/>
              </w:rPr>
            </w:pPr>
            <w:r>
              <w:rPr>
                <w:sz w:val="21"/>
                <w:szCs w:val="21"/>
              </w:rPr>
              <w:t>保护内容</w:t>
            </w:r>
            <w:r>
              <w:rPr>
                <w:rFonts w:hint="eastAsia"/>
                <w:sz w:val="21"/>
                <w:szCs w:val="21"/>
              </w:rPr>
              <w:t>规模</w:t>
            </w:r>
          </w:p>
        </w:tc>
        <w:tc>
          <w:tcPr>
            <w:tcW w:w="384" w:type="dxa"/>
            <w:vMerge w:val="restart"/>
            <w:vAlign w:val="center"/>
          </w:tcPr>
          <w:p>
            <w:pPr>
              <w:adjustRightInd/>
              <w:snapToGrid/>
              <w:spacing w:line="240" w:lineRule="auto"/>
              <w:ind w:firstLine="0" w:firstLineChars="0"/>
              <w:jc w:val="center"/>
              <w:rPr>
                <w:sz w:val="21"/>
                <w:szCs w:val="21"/>
              </w:rPr>
            </w:pPr>
            <w:r>
              <w:rPr>
                <w:sz w:val="21"/>
                <w:szCs w:val="21"/>
              </w:rPr>
              <w:t>环境功能区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426" w:type="dxa"/>
            <w:vMerge w:val="continue"/>
            <w:vAlign w:val="center"/>
          </w:tcPr>
          <w:p>
            <w:pPr>
              <w:adjustRightInd/>
              <w:snapToGrid/>
              <w:spacing w:line="240" w:lineRule="auto"/>
              <w:ind w:firstLine="0"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Merge w:val="continue"/>
            <w:vAlign w:val="center"/>
          </w:tcPr>
          <w:p>
            <w:pPr>
              <w:adjustRightInd/>
              <w:snapToGrid/>
              <w:spacing w:line="240" w:lineRule="auto"/>
              <w:ind w:firstLine="0" w:firstLineChars="0"/>
              <w:jc w:val="center"/>
              <w:rPr>
                <w:sz w:val="21"/>
                <w:szCs w:val="21"/>
              </w:rPr>
            </w:pPr>
          </w:p>
        </w:tc>
        <w:tc>
          <w:tcPr>
            <w:tcW w:w="1278" w:type="dxa"/>
            <w:vAlign w:val="center"/>
          </w:tcPr>
          <w:p>
            <w:pPr>
              <w:adjustRightInd/>
              <w:snapToGrid/>
              <w:spacing w:line="240" w:lineRule="auto"/>
              <w:ind w:firstLine="0" w:firstLineChars="0"/>
              <w:jc w:val="center"/>
              <w:rPr>
                <w:sz w:val="21"/>
                <w:szCs w:val="21"/>
              </w:rPr>
            </w:pPr>
            <w:r>
              <w:rPr>
                <w:rFonts w:hint="eastAsia"/>
                <w:sz w:val="21"/>
                <w:szCs w:val="21"/>
              </w:rPr>
              <w:t>经度</w:t>
            </w:r>
          </w:p>
        </w:tc>
        <w:tc>
          <w:tcPr>
            <w:tcW w:w="1400" w:type="dxa"/>
            <w:vAlign w:val="center"/>
          </w:tcPr>
          <w:p>
            <w:pPr>
              <w:adjustRightInd/>
              <w:snapToGrid/>
              <w:spacing w:line="240" w:lineRule="auto"/>
              <w:ind w:firstLine="0" w:firstLineChars="0"/>
              <w:jc w:val="center"/>
              <w:rPr>
                <w:sz w:val="21"/>
                <w:szCs w:val="21"/>
              </w:rPr>
            </w:pPr>
            <w:r>
              <w:rPr>
                <w:rFonts w:hint="eastAsia"/>
                <w:sz w:val="21"/>
                <w:szCs w:val="21"/>
              </w:rPr>
              <w:t>纬度</w:t>
            </w:r>
          </w:p>
        </w:tc>
        <w:tc>
          <w:tcPr>
            <w:tcW w:w="652" w:type="dxa"/>
            <w:vMerge w:val="continue"/>
            <w:vAlign w:val="center"/>
          </w:tcPr>
          <w:p>
            <w:pPr>
              <w:adjustRightInd/>
              <w:snapToGrid/>
              <w:spacing w:line="240" w:lineRule="auto"/>
              <w:ind w:firstLine="0" w:firstLineChars="0"/>
              <w:jc w:val="center"/>
              <w:rPr>
                <w:sz w:val="21"/>
                <w:szCs w:val="21"/>
              </w:rPr>
            </w:pPr>
          </w:p>
        </w:tc>
        <w:tc>
          <w:tcPr>
            <w:tcW w:w="732" w:type="dxa"/>
            <w:vMerge w:val="continue"/>
            <w:vAlign w:val="center"/>
          </w:tcPr>
          <w:p>
            <w:pPr>
              <w:adjustRightInd/>
              <w:snapToGrid/>
              <w:spacing w:line="240" w:lineRule="auto"/>
              <w:ind w:firstLine="0" w:firstLineChars="0"/>
              <w:jc w:val="center"/>
              <w:rPr>
                <w:sz w:val="21"/>
                <w:szCs w:val="21"/>
              </w:rPr>
            </w:pP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Merge w:val="continue"/>
            <w:vAlign w:val="center"/>
          </w:tcPr>
          <w:p>
            <w:pPr>
              <w:adjustRightInd/>
              <w:snapToGrid/>
              <w:spacing w:line="240" w:lineRule="auto"/>
              <w:ind w:firstLine="0" w:firstLineChars="0"/>
              <w:jc w:val="center"/>
              <w:rPr>
                <w:sz w:val="21"/>
                <w:szCs w:val="21"/>
              </w:rPr>
            </w:pP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restart"/>
            <w:vAlign w:val="center"/>
          </w:tcPr>
          <w:p>
            <w:pPr>
              <w:adjustRightInd/>
              <w:snapToGrid/>
              <w:spacing w:line="240" w:lineRule="auto"/>
              <w:ind w:firstLine="0" w:firstLineChars="0"/>
              <w:jc w:val="center"/>
              <w:rPr>
                <w:sz w:val="21"/>
                <w:szCs w:val="21"/>
              </w:rPr>
            </w:pPr>
            <w:r>
              <w:rPr>
                <w:rFonts w:hint="eastAsia"/>
                <w:sz w:val="21"/>
                <w:szCs w:val="21"/>
              </w:rPr>
              <w:t>环境</w:t>
            </w:r>
            <w:r>
              <w:rPr>
                <w:sz w:val="21"/>
                <w:szCs w:val="21"/>
              </w:rPr>
              <w:t>空气</w:t>
            </w: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江家店村</w:t>
            </w:r>
          </w:p>
        </w:tc>
        <w:tc>
          <w:tcPr>
            <w:tcW w:w="1278" w:type="dxa"/>
            <w:vAlign w:val="center"/>
          </w:tcPr>
          <w:p>
            <w:pPr>
              <w:adjustRightInd/>
              <w:snapToGrid/>
              <w:spacing w:line="240" w:lineRule="auto"/>
              <w:ind w:firstLine="0" w:firstLineChars="0"/>
              <w:jc w:val="center"/>
              <w:rPr>
                <w:sz w:val="21"/>
                <w:szCs w:val="21"/>
              </w:rPr>
            </w:pPr>
            <w:r>
              <w:rPr>
                <w:sz w:val="21"/>
                <w:szCs w:val="21"/>
              </w:rPr>
              <w:t>109.368038</w:t>
            </w:r>
          </w:p>
        </w:tc>
        <w:tc>
          <w:tcPr>
            <w:tcW w:w="1400" w:type="dxa"/>
            <w:vAlign w:val="center"/>
          </w:tcPr>
          <w:p>
            <w:pPr>
              <w:adjustRightInd/>
              <w:snapToGrid/>
              <w:spacing w:line="240" w:lineRule="auto"/>
              <w:ind w:firstLine="0" w:firstLineChars="0"/>
              <w:jc w:val="center"/>
              <w:rPr>
                <w:sz w:val="21"/>
                <w:szCs w:val="21"/>
              </w:rPr>
            </w:pPr>
            <w:r>
              <w:rPr>
                <w:sz w:val="21"/>
                <w:szCs w:val="21"/>
              </w:rPr>
              <w:t>32.771176</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E</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50</w:t>
            </w:r>
          </w:p>
        </w:tc>
        <w:tc>
          <w:tcPr>
            <w:tcW w:w="492" w:type="dxa"/>
            <w:vMerge w:val="restart"/>
            <w:vAlign w:val="center"/>
          </w:tcPr>
          <w:p>
            <w:pPr>
              <w:adjustRightInd/>
              <w:snapToGrid/>
              <w:spacing w:line="240" w:lineRule="auto"/>
              <w:ind w:firstLine="0" w:firstLineChars="0"/>
              <w:jc w:val="center"/>
              <w:rPr>
                <w:sz w:val="21"/>
                <w:szCs w:val="21"/>
              </w:rPr>
            </w:pPr>
            <w:r>
              <w:rPr>
                <w:sz w:val="21"/>
                <w:szCs w:val="21"/>
              </w:rPr>
              <w:t>居住区</w:t>
            </w: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约80户/260人</w:t>
            </w:r>
          </w:p>
        </w:tc>
        <w:tc>
          <w:tcPr>
            <w:tcW w:w="384" w:type="dxa"/>
            <w:vMerge w:val="restart"/>
            <w:vAlign w:val="center"/>
          </w:tcPr>
          <w:p>
            <w:pPr>
              <w:adjustRightInd/>
              <w:snapToGrid/>
              <w:spacing w:line="240" w:lineRule="auto"/>
              <w:ind w:firstLine="0" w:firstLineChars="0"/>
              <w:jc w:val="center"/>
              <w:rPr>
                <w:sz w:val="21"/>
                <w:szCs w:val="21"/>
              </w:rPr>
            </w:pPr>
            <w:r>
              <w:rPr>
                <w:sz w:val="21"/>
                <w:szCs w:val="21"/>
              </w:rPr>
              <w:t>二类区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康</w:t>
            </w:r>
            <w:r>
              <w:rPr>
                <w:sz w:val="21"/>
                <w:szCs w:val="21"/>
              </w:rPr>
              <w:t>美家苑</w:t>
            </w:r>
          </w:p>
        </w:tc>
        <w:tc>
          <w:tcPr>
            <w:tcW w:w="1278" w:type="dxa"/>
            <w:vAlign w:val="center"/>
          </w:tcPr>
          <w:p>
            <w:pPr>
              <w:adjustRightInd/>
              <w:snapToGrid/>
              <w:spacing w:line="240" w:lineRule="auto"/>
              <w:ind w:firstLine="0" w:firstLineChars="0"/>
              <w:jc w:val="center"/>
              <w:rPr>
                <w:sz w:val="21"/>
                <w:szCs w:val="21"/>
              </w:rPr>
            </w:pPr>
            <w:r>
              <w:rPr>
                <w:sz w:val="21"/>
                <w:szCs w:val="21"/>
              </w:rPr>
              <w:t>109.367061</w:t>
            </w:r>
          </w:p>
        </w:tc>
        <w:tc>
          <w:tcPr>
            <w:tcW w:w="1400" w:type="dxa"/>
            <w:vAlign w:val="center"/>
          </w:tcPr>
          <w:p>
            <w:pPr>
              <w:adjustRightInd/>
              <w:snapToGrid/>
              <w:spacing w:line="240" w:lineRule="auto"/>
              <w:ind w:firstLine="0" w:firstLineChars="0"/>
              <w:jc w:val="center"/>
              <w:rPr>
                <w:sz w:val="21"/>
                <w:szCs w:val="21"/>
              </w:rPr>
            </w:pPr>
            <w:r>
              <w:rPr>
                <w:sz w:val="21"/>
                <w:szCs w:val="21"/>
              </w:rPr>
              <w:t>32.772957</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60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约1</w:t>
            </w:r>
            <w:r>
              <w:rPr>
                <w:sz w:val="21"/>
                <w:szCs w:val="21"/>
              </w:rPr>
              <w:t>0</w:t>
            </w:r>
            <w:r>
              <w:rPr>
                <w:rFonts w:hint="eastAsia"/>
                <w:sz w:val="21"/>
                <w:szCs w:val="21"/>
              </w:rPr>
              <w:t>0户/</w:t>
            </w:r>
            <w:r>
              <w:rPr>
                <w:sz w:val="21"/>
                <w:szCs w:val="21"/>
              </w:rPr>
              <w:t>380</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张家坡</w:t>
            </w:r>
          </w:p>
        </w:tc>
        <w:tc>
          <w:tcPr>
            <w:tcW w:w="1278" w:type="dxa"/>
            <w:vAlign w:val="center"/>
          </w:tcPr>
          <w:p>
            <w:pPr>
              <w:adjustRightInd/>
              <w:snapToGrid/>
              <w:spacing w:line="240" w:lineRule="auto"/>
              <w:ind w:firstLine="0" w:firstLineChars="0"/>
              <w:jc w:val="center"/>
              <w:rPr>
                <w:sz w:val="21"/>
                <w:szCs w:val="21"/>
              </w:rPr>
            </w:pPr>
            <w:r>
              <w:rPr>
                <w:sz w:val="21"/>
                <w:szCs w:val="21"/>
              </w:rPr>
              <w:t>109.365377</w:t>
            </w:r>
          </w:p>
        </w:tc>
        <w:tc>
          <w:tcPr>
            <w:tcW w:w="1400" w:type="dxa"/>
            <w:vAlign w:val="center"/>
          </w:tcPr>
          <w:p>
            <w:pPr>
              <w:adjustRightInd/>
              <w:snapToGrid/>
              <w:spacing w:line="240" w:lineRule="auto"/>
              <w:ind w:firstLine="0" w:firstLineChars="0"/>
              <w:jc w:val="center"/>
              <w:rPr>
                <w:sz w:val="21"/>
                <w:szCs w:val="21"/>
              </w:rPr>
            </w:pPr>
            <w:r>
              <w:rPr>
                <w:sz w:val="21"/>
                <w:szCs w:val="21"/>
              </w:rPr>
              <w:t>32.770317</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SW</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125</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约10户/32人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移民</w:t>
            </w:r>
            <w:r>
              <w:rPr>
                <w:sz w:val="21"/>
                <w:szCs w:val="21"/>
              </w:rPr>
              <w:t>安置区</w:t>
            </w:r>
          </w:p>
        </w:tc>
        <w:tc>
          <w:tcPr>
            <w:tcW w:w="1278" w:type="dxa"/>
            <w:vAlign w:val="center"/>
          </w:tcPr>
          <w:p>
            <w:pPr>
              <w:adjustRightInd/>
              <w:snapToGrid/>
              <w:spacing w:line="240" w:lineRule="auto"/>
              <w:ind w:firstLine="0" w:firstLineChars="0"/>
              <w:jc w:val="center"/>
              <w:rPr>
                <w:sz w:val="21"/>
                <w:szCs w:val="21"/>
              </w:rPr>
            </w:pPr>
            <w:r>
              <w:rPr>
                <w:sz w:val="21"/>
                <w:szCs w:val="21"/>
              </w:rPr>
              <w:t>109.367887</w:t>
            </w:r>
          </w:p>
        </w:tc>
        <w:tc>
          <w:tcPr>
            <w:tcW w:w="1400" w:type="dxa"/>
            <w:vAlign w:val="center"/>
          </w:tcPr>
          <w:p>
            <w:pPr>
              <w:adjustRightInd/>
              <w:snapToGrid/>
              <w:spacing w:line="240" w:lineRule="auto"/>
              <w:ind w:firstLine="0" w:firstLineChars="0"/>
              <w:jc w:val="center"/>
              <w:rPr>
                <w:sz w:val="21"/>
                <w:szCs w:val="21"/>
              </w:rPr>
            </w:pPr>
            <w:r>
              <w:rPr>
                <w:sz w:val="21"/>
                <w:szCs w:val="21"/>
              </w:rPr>
              <w:t>32.777602</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530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约150户/</w:t>
            </w:r>
            <w:r>
              <w:rPr>
                <w:sz w:val="21"/>
                <w:szCs w:val="21"/>
              </w:rPr>
              <w:t>480</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牌</w:t>
            </w:r>
            <w:r>
              <w:rPr>
                <w:sz w:val="21"/>
                <w:szCs w:val="21"/>
              </w:rPr>
              <w:t>楼里</w:t>
            </w:r>
          </w:p>
        </w:tc>
        <w:tc>
          <w:tcPr>
            <w:tcW w:w="1278" w:type="dxa"/>
            <w:vAlign w:val="center"/>
          </w:tcPr>
          <w:p>
            <w:pPr>
              <w:adjustRightInd/>
              <w:snapToGrid/>
              <w:spacing w:line="240" w:lineRule="auto"/>
              <w:ind w:firstLine="0" w:firstLineChars="0"/>
              <w:jc w:val="center"/>
              <w:rPr>
                <w:sz w:val="21"/>
                <w:szCs w:val="21"/>
              </w:rPr>
            </w:pPr>
            <w:r>
              <w:rPr>
                <w:sz w:val="21"/>
                <w:szCs w:val="21"/>
              </w:rPr>
              <w:t>109.365119</w:t>
            </w:r>
          </w:p>
        </w:tc>
        <w:tc>
          <w:tcPr>
            <w:tcW w:w="1400" w:type="dxa"/>
            <w:vAlign w:val="center"/>
          </w:tcPr>
          <w:p>
            <w:pPr>
              <w:adjustRightInd/>
              <w:snapToGrid/>
              <w:spacing w:line="240" w:lineRule="auto"/>
              <w:ind w:firstLine="0" w:firstLineChars="0"/>
              <w:jc w:val="center"/>
              <w:rPr>
                <w:sz w:val="21"/>
                <w:szCs w:val="21"/>
              </w:rPr>
            </w:pPr>
            <w:r>
              <w:rPr>
                <w:sz w:val="21"/>
                <w:szCs w:val="21"/>
              </w:rPr>
              <w:t>32.766498</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470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约30户/96人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陈</w:t>
            </w:r>
            <w:r>
              <w:rPr>
                <w:sz w:val="21"/>
                <w:szCs w:val="21"/>
              </w:rPr>
              <w:t>家坪</w:t>
            </w:r>
          </w:p>
        </w:tc>
        <w:tc>
          <w:tcPr>
            <w:tcW w:w="1278" w:type="dxa"/>
            <w:vAlign w:val="center"/>
          </w:tcPr>
          <w:p>
            <w:pPr>
              <w:adjustRightInd/>
              <w:snapToGrid/>
              <w:spacing w:line="240" w:lineRule="auto"/>
              <w:ind w:firstLine="0" w:firstLineChars="0"/>
              <w:jc w:val="center"/>
              <w:rPr>
                <w:sz w:val="21"/>
                <w:szCs w:val="21"/>
              </w:rPr>
            </w:pPr>
            <w:r>
              <w:rPr>
                <w:sz w:val="21"/>
                <w:szCs w:val="21"/>
              </w:rPr>
              <w:t>109.364261</w:t>
            </w:r>
          </w:p>
        </w:tc>
        <w:tc>
          <w:tcPr>
            <w:tcW w:w="1400" w:type="dxa"/>
            <w:vAlign w:val="center"/>
          </w:tcPr>
          <w:p>
            <w:pPr>
              <w:adjustRightInd/>
              <w:snapToGrid/>
              <w:spacing w:line="240" w:lineRule="auto"/>
              <w:ind w:firstLine="0" w:firstLineChars="0"/>
              <w:jc w:val="center"/>
              <w:rPr>
                <w:sz w:val="21"/>
                <w:szCs w:val="21"/>
              </w:rPr>
            </w:pPr>
            <w:r>
              <w:rPr>
                <w:sz w:val="21"/>
                <w:szCs w:val="21"/>
              </w:rPr>
              <w:t>32.766466</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SW</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500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约40户/</w:t>
            </w:r>
            <w:r>
              <w:rPr>
                <w:sz w:val="21"/>
                <w:szCs w:val="21"/>
              </w:rPr>
              <w:t>128</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东坝</w:t>
            </w:r>
            <w:r>
              <w:rPr>
                <w:sz w:val="21"/>
                <w:szCs w:val="21"/>
              </w:rPr>
              <w:t>村</w:t>
            </w:r>
          </w:p>
        </w:tc>
        <w:tc>
          <w:tcPr>
            <w:tcW w:w="1278" w:type="dxa"/>
            <w:vAlign w:val="center"/>
          </w:tcPr>
          <w:p>
            <w:pPr>
              <w:adjustRightInd/>
              <w:snapToGrid/>
              <w:spacing w:line="240" w:lineRule="auto"/>
              <w:ind w:firstLine="0" w:firstLineChars="0"/>
              <w:jc w:val="center"/>
              <w:rPr>
                <w:sz w:val="21"/>
                <w:szCs w:val="21"/>
              </w:rPr>
            </w:pPr>
            <w:r>
              <w:rPr>
                <w:sz w:val="21"/>
                <w:szCs w:val="21"/>
              </w:rPr>
              <w:t>109.367845</w:t>
            </w:r>
          </w:p>
        </w:tc>
        <w:tc>
          <w:tcPr>
            <w:tcW w:w="1400" w:type="dxa"/>
            <w:vAlign w:val="center"/>
          </w:tcPr>
          <w:p>
            <w:pPr>
              <w:adjustRightInd/>
              <w:snapToGrid/>
              <w:spacing w:line="240" w:lineRule="auto"/>
              <w:ind w:firstLine="0" w:firstLineChars="0"/>
              <w:jc w:val="center"/>
              <w:rPr>
                <w:sz w:val="21"/>
                <w:szCs w:val="21"/>
              </w:rPr>
            </w:pPr>
            <w:r>
              <w:rPr>
                <w:sz w:val="21"/>
                <w:szCs w:val="21"/>
              </w:rPr>
              <w:t>32.782634</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1100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约50户/</w:t>
            </w:r>
            <w:r>
              <w:rPr>
                <w:sz w:val="21"/>
                <w:szCs w:val="21"/>
              </w:rPr>
              <w:t>160</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刘家院子</w:t>
            </w:r>
          </w:p>
        </w:tc>
        <w:tc>
          <w:tcPr>
            <w:tcW w:w="1278" w:type="dxa"/>
            <w:vAlign w:val="center"/>
          </w:tcPr>
          <w:p>
            <w:pPr>
              <w:adjustRightInd/>
              <w:snapToGrid/>
              <w:spacing w:line="240" w:lineRule="auto"/>
              <w:ind w:firstLine="0" w:firstLineChars="0"/>
              <w:jc w:val="center"/>
              <w:rPr>
                <w:sz w:val="21"/>
                <w:szCs w:val="21"/>
              </w:rPr>
            </w:pPr>
            <w:r>
              <w:rPr>
                <w:sz w:val="21"/>
                <w:szCs w:val="21"/>
              </w:rPr>
              <w:t>109.358060</w:t>
            </w:r>
          </w:p>
        </w:tc>
        <w:tc>
          <w:tcPr>
            <w:tcW w:w="1400" w:type="dxa"/>
            <w:vAlign w:val="center"/>
          </w:tcPr>
          <w:p>
            <w:pPr>
              <w:adjustRightInd/>
              <w:snapToGrid/>
              <w:spacing w:line="240" w:lineRule="auto"/>
              <w:ind w:firstLine="0" w:firstLineChars="0"/>
              <w:jc w:val="center"/>
              <w:rPr>
                <w:sz w:val="21"/>
                <w:szCs w:val="21"/>
              </w:rPr>
            </w:pPr>
            <w:r>
              <w:rPr>
                <w:sz w:val="21"/>
                <w:szCs w:val="21"/>
              </w:rPr>
              <w:t>32.777495</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NW</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1000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约30户/96人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吕河镇</w:t>
            </w:r>
          </w:p>
        </w:tc>
        <w:tc>
          <w:tcPr>
            <w:tcW w:w="1278" w:type="dxa"/>
            <w:vAlign w:val="center"/>
          </w:tcPr>
          <w:p>
            <w:pPr>
              <w:adjustRightInd/>
              <w:snapToGrid/>
              <w:spacing w:line="240" w:lineRule="auto"/>
              <w:ind w:firstLine="0" w:firstLineChars="0"/>
              <w:jc w:val="center"/>
              <w:rPr>
                <w:sz w:val="21"/>
                <w:szCs w:val="21"/>
              </w:rPr>
            </w:pPr>
            <w:r>
              <w:rPr>
                <w:sz w:val="21"/>
                <w:szCs w:val="21"/>
              </w:rPr>
              <w:t>109.354712</w:t>
            </w:r>
          </w:p>
        </w:tc>
        <w:tc>
          <w:tcPr>
            <w:tcW w:w="1400" w:type="dxa"/>
            <w:vAlign w:val="center"/>
          </w:tcPr>
          <w:p>
            <w:pPr>
              <w:adjustRightInd/>
              <w:snapToGrid/>
              <w:spacing w:line="240" w:lineRule="auto"/>
              <w:ind w:firstLine="0" w:firstLineChars="0"/>
              <w:jc w:val="center"/>
              <w:rPr>
                <w:sz w:val="21"/>
                <w:szCs w:val="21"/>
              </w:rPr>
            </w:pPr>
            <w:r>
              <w:rPr>
                <w:sz w:val="21"/>
                <w:szCs w:val="21"/>
              </w:rPr>
              <w:t>32.772667</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W</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1100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约300户/</w:t>
            </w:r>
            <w:r>
              <w:rPr>
                <w:sz w:val="21"/>
                <w:szCs w:val="21"/>
              </w:rPr>
              <w:t>960</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吕河镇</w:t>
            </w:r>
            <w:r>
              <w:rPr>
                <w:sz w:val="21"/>
                <w:szCs w:val="21"/>
              </w:rPr>
              <w:t>中心学校</w:t>
            </w:r>
          </w:p>
        </w:tc>
        <w:tc>
          <w:tcPr>
            <w:tcW w:w="1278" w:type="dxa"/>
            <w:vAlign w:val="center"/>
          </w:tcPr>
          <w:p>
            <w:pPr>
              <w:adjustRightInd/>
              <w:snapToGrid/>
              <w:spacing w:line="240" w:lineRule="auto"/>
              <w:ind w:firstLine="0" w:firstLineChars="0"/>
              <w:jc w:val="center"/>
              <w:rPr>
                <w:sz w:val="21"/>
                <w:szCs w:val="21"/>
              </w:rPr>
            </w:pPr>
            <w:r>
              <w:rPr>
                <w:sz w:val="21"/>
                <w:szCs w:val="21"/>
              </w:rPr>
              <w:t>109.354466</w:t>
            </w:r>
          </w:p>
        </w:tc>
        <w:tc>
          <w:tcPr>
            <w:tcW w:w="1400" w:type="dxa"/>
            <w:vAlign w:val="center"/>
          </w:tcPr>
          <w:p>
            <w:pPr>
              <w:adjustRightInd/>
              <w:snapToGrid/>
              <w:spacing w:line="240" w:lineRule="auto"/>
              <w:ind w:firstLine="0" w:firstLineChars="0"/>
              <w:jc w:val="center"/>
              <w:rPr>
                <w:sz w:val="21"/>
                <w:szCs w:val="21"/>
              </w:rPr>
            </w:pPr>
            <w:r>
              <w:rPr>
                <w:sz w:val="21"/>
                <w:szCs w:val="21"/>
              </w:rPr>
              <w:t>32.774609</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W</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1200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师生</w:t>
            </w:r>
            <w:r>
              <w:rPr>
                <w:sz w:val="21"/>
                <w:szCs w:val="21"/>
              </w:rPr>
              <w:t>约</w:t>
            </w:r>
            <w:r>
              <w:rPr>
                <w:rFonts w:hint="eastAsia"/>
                <w:sz w:val="21"/>
                <w:szCs w:val="21"/>
              </w:rPr>
              <w:t>500人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养马</w:t>
            </w:r>
            <w:r>
              <w:rPr>
                <w:sz w:val="21"/>
                <w:szCs w:val="21"/>
              </w:rPr>
              <w:t>沟村</w:t>
            </w:r>
          </w:p>
        </w:tc>
        <w:tc>
          <w:tcPr>
            <w:tcW w:w="1278" w:type="dxa"/>
            <w:vAlign w:val="center"/>
          </w:tcPr>
          <w:p>
            <w:pPr>
              <w:adjustRightInd/>
              <w:snapToGrid/>
              <w:spacing w:line="240" w:lineRule="auto"/>
              <w:ind w:firstLine="0" w:firstLineChars="0"/>
              <w:jc w:val="center"/>
              <w:rPr>
                <w:sz w:val="21"/>
                <w:szCs w:val="21"/>
              </w:rPr>
            </w:pPr>
            <w:r>
              <w:rPr>
                <w:sz w:val="21"/>
                <w:szCs w:val="21"/>
              </w:rPr>
              <w:t>109.361407</w:t>
            </w:r>
          </w:p>
        </w:tc>
        <w:tc>
          <w:tcPr>
            <w:tcW w:w="1400" w:type="dxa"/>
            <w:vAlign w:val="center"/>
          </w:tcPr>
          <w:p>
            <w:pPr>
              <w:adjustRightInd/>
              <w:snapToGrid/>
              <w:spacing w:line="240" w:lineRule="auto"/>
              <w:ind w:firstLine="0" w:firstLineChars="0"/>
              <w:jc w:val="center"/>
              <w:rPr>
                <w:sz w:val="21"/>
                <w:szCs w:val="21"/>
              </w:rPr>
            </w:pPr>
            <w:r>
              <w:rPr>
                <w:sz w:val="21"/>
                <w:szCs w:val="21"/>
              </w:rPr>
              <w:t>32.758955</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12</w:t>
            </w:r>
            <w:r>
              <w:rPr>
                <w:sz w:val="21"/>
                <w:szCs w:val="21"/>
              </w:rPr>
              <w:t>60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约20户/</w:t>
            </w:r>
            <w:r>
              <w:rPr>
                <w:sz w:val="21"/>
                <w:szCs w:val="21"/>
              </w:rPr>
              <w:t>64</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刘家坪</w:t>
            </w:r>
          </w:p>
        </w:tc>
        <w:tc>
          <w:tcPr>
            <w:tcW w:w="1278" w:type="dxa"/>
            <w:vAlign w:val="center"/>
          </w:tcPr>
          <w:p>
            <w:pPr>
              <w:adjustRightInd/>
              <w:snapToGrid/>
              <w:spacing w:line="240" w:lineRule="auto"/>
              <w:ind w:firstLine="0" w:firstLineChars="0"/>
              <w:jc w:val="center"/>
              <w:rPr>
                <w:sz w:val="21"/>
                <w:szCs w:val="21"/>
              </w:rPr>
            </w:pPr>
            <w:r>
              <w:rPr>
                <w:sz w:val="21"/>
                <w:szCs w:val="21"/>
              </w:rPr>
              <w:t>109.357030</w:t>
            </w:r>
          </w:p>
        </w:tc>
        <w:tc>
          <w:tcPr>
            <w:tcW w:w="1400" w:type="dxa"/>
            <w:vAlign w:val="center"/>
          </w:tcPr>
          <w:p>
            <w:pPr>
              <w:adjustRightInd/>
              <w:snapToGrid/>
              <w:spacing w:line="240" w:lineRule="auto"/>
              <w:ind w:firstLine="0" w:firstLineChars="0"/>
              <w:jc w:val="center"/>
              <w:rPr>
                <w:sz w:val="21"/>
                <w:szCs w:val="21"/>
              </w:rPr>
            </w:pPr>
            <w:r>
              <w:rPr>
                <w:sz w:val="21"/>
                <w:szCs w:val="21"/>
              </w:rPr>
              <w:t>32.753827</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S</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1880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约30户/96人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restart"/>
            <w:vAlign w:val="center"/>
          </w:tcPr>
          <w:p>
            <w:pPr>
              <w:adjustRightInd/>
              <w:snapToGrid/>
              <w:spacing w:line="240" w:lineRule="auto"/>
              <w:ind w:firstLine="0" w:firstLineChars="0"/>
              <w:jc w:val="center"/>
              <w:rPr>
                <w:sz w:val="21"/>
                <w:szCs w:val="21"/>
              </w:rPr>
            </w:pPr>
            <w:r>
              <w:rPr>
                <w:rFonts w:hint="eastAsia"/>
                <w:sz w:val="21"/>
                <w:szCs w:val="21"/>
              </w:rPr>
              <w:t>声环境</w:t>
            </w: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江家店村</w:t>
            </w:r>
          </w:p>
        </w:tc>
        <w:tc>
          <w:tcPr>
            <w:tcW w:w="1278" w:type="dxa"/>
            <w:vAlign w:val="center"/>
          </w:tcPr>
          <w:p>
            <w:pPr>
              <w:adjustRightInd/>
              <w:snapToGrid/>
              <w:spacing w:line="240" w:lineRule="auto"/>
              <w:ind w:firstLine="0" w:firstLineChars="0"/>
              <w:jc w:val="center"/>
              <w:rPr>
                <w:sz w:val="21"/>
                <w:szCs w:val="21"/>
              </w:rPr>
            </w:pPr>
            <w:r>
              <w:rPr>
                <w:sz w:val="21"/>
                <w:szCs w:val="21"/>
              </w:rPr>
              <w:t>109.368038</w:t>
            </w:r>
          </w:p>
        </w:tc>
        <w:tc>
          <w:tcPr>
            <w:tcW w:w="1400" w:type="dxa"/>
            <w:vAlign w:val="center"/>
          </w:tcPr>
          <w:p>
            <w:pPr>
              <w:adjustRightInd/>
              <w:snapToGrid/>
              <w:spacing w:line="240" w:lineRule="auto"/>
              <w:ind w:firstLine="0" w:firstLineChars="0"/>
              <w:jc w:val="center"/>
              <w:rPr>
                <w:sz w:val="21"/>
                <w:szCs w:val="21"/>
              </w:rPr>
            </w:pPr>
            <w:r>
              <w:rPr>
                <w:sz w:val="21"/>
                <w:szCs w:val="21"/>
              </w:rPr>
              <w:t>32.771176</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E</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50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约80户/260人</w:t>
            </w:r>
          </w:p>
        </w:tc>
        <w:tc>
          <w:tcPr>
            <w:tcW w:w="384" w:type="dxa"/>
            <w:vMerge w:val="restart"/>
            <w:vAlign w:val="center"/>
          </w:tcPr>
          <w:p>
            <w:pPr>
              <w:adjustRightInd/>
              <w:snapToGrid/>
              <w:spacing w:line="240" w:lineRule="auto"/>
              <w:ind w:firstLine="0" w:firstLineChars="0"/>
              <w:jc w:val="center"/>
              <w:rPr>
                <w:sz w:val="21"/>
                <w:szCs w:val="21"/>
              </w:rPr>
            </w:pPr>
            <w:r>
              <w:rPr>
                <w:rFonts w:hint="eastAsia"/>
                <w:sz w:val="21"/>
                <w:szCs w:val="21"/>
              </w:rPr>
              <w:t>2类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Merge w:val="continue"/>
            <w:vAlign w:val="center"/>
          </w:tcPr>
          <w:p>
            <w:pPr>
              <w:adjustRightInd/>
              <w:snapToGrid/>
              <w:spacing w:line="240" w:lineRule="auto"/>
              <w:ind w:firstLine="0" w:firstLineChars="0"/>
              <w:jc w:val="center"/>
              <w:rPr>
                <w:sz w:val="21"/>
                <w:szCs w:val="21"/>
              </w:rPr>
            </w:pPr>
          </w:p>
        </w:tc>
        <w:tc>
          <w:tcPr>
            <w:tcW w:w="1417" w:type="dxa"/>
            <w:vAlign w:val="center"/>
          </w:tcPr>
          <w:p>
            <w:pPr>
              <w:adjustRightInd/>
              <w:snapToGrid/>
              <w:spacing w:line="240" w:lineRule="auto"/>
              <w:ind w:firstLine="0" w:firstLineChars="0"/>
              <w:jc w:val="center"/>
              <w:rPr>
                <w:sz w:val="21"/>
                <w:szCs w:val="21"/>
              </w:rPr>
            </w:pPr>
            <w:r>
              <w:rPr>
                <w:rFonts w:hint="eastAsia"/>
                <w:sz w:val="21"/>
                <w:szCs w:val="21"/>
              </w:rPr>
              <w:t>康</w:t>
            </w:r>
            <w:r>
              <w:rPr>
                <w:sz w:val="21"/>
                <w:szCs w:val="21"/>
              </w:rPr>
              <w:t>美家苑</w:t>
            </w:r>
          </w:p>
        </w:tc>
        <w:tc>
          <w:tcPr>
            <w:tcW w:w="1278" w:type="dxa"/>
            <w:vAlign w:val="center"/>
          </w:tcPr>
          <w:p>
            <w:pPr>
              <w:adjustRightInd/>
              <w:snapToGrid/>
              <w:spacing w:line="240" w:lineRule="auto"/>
              <w:ind w:firstLine="0" w:firstLineChars="0"/>
              <w:jc w:val="center"/>
              <w:rPr>
                <w:sz w:val="21"/>
                <w:szCs w:val="21"/>
              </w:rPr>
            </w:pPr>
            <w:r>
              <w:rPr>
                <w:sz w:val="21"/>
                <w:szCs w:val="21"/>
              </w:rPr>
              <w:t>109.367061</w:t>
            </w:r>
          </w:p>
        </w:tc>
        <w:tc>
          <w:tcPr>
            <w:tcW w:w="1400" w:type="dxa"/>
            <w:vAlign w:val="center"/>
          </w:tcPr>
          <w:p>
            <w:pPr>
              <w:adjustRightInd/>
              <w:snapToGrid/>
              <w:spacing w:line="240" w:lineRule="auto"/>
              <w:ind w:firstLine="0" w:firstLineChars="0"/>
              <w:jc w:val="center"/>
              <w:rPr>
                <w:sz w:val="21"/>
                <w:szCs w:val="21"/>
              </w:rPr>
            </w:pPr>
            <w:r>
              <w:rPr>
                <w:sz w:val="21"/>
                <w:szCs w:val="21"/>
              </w:rPr>
              <w:t>32.772957</w:t>
            </w:r>
          </w:p>
        </w:tc>
        <w:tc>
          <w:tcPr>
            <w:tcW w:w="652" w:type="dxa"/>
            <w:vAlign w:val="center"/>
          </w:tcPr>
          <w:p>
            <w:pPr>
              <w:adjustRightInd/>
              <w:snapToGrid/>
              <w:spacing w:line="240" w:lineRule="auto"/>
              <w:ind w:firstLine="0" w:firstLineChars="0"/>
              <w:jc w:val="center"/>
              <w:rPr>
                <w:sz w:val="21"/>
                <w:szCs w:val="21"/>
              </w:rPr>
            </w:pPr>
            <w:r>
              <w:rPr>
                <w:rFonts w:hint="eastAsia"/>
                <w:sz w:val="21"/>
                <w:szCs w:val="21"/>
              </w:rPr>
              <w:t>N</w:t>
            </w:r>
          </w:p>
        </w:tc>
        <w:tc>
          <w:tcPr>
            <w:tcW w:w="732" w:type="dxa"/>
            <w:vAlign w:val="center"/>
          </w:tcPr>
          <w:p>
            <w:pPr>
              <w:adjustRightInd/>
              <w:snapToGrid/>
              <w:spacing w:line="240" w:lineRule="auto"/>
              <w:ind w:firstLine="0" w:firstLineChars="0"/>
              <w:jc w:val="center"/>
              <w:rPr>
                <w:sz w:val="21"/>
                <w:szCs w:val="21"/>
              </w:rPr>
            </w:pPr>
            <w:r>
              <w:rPr>
                <w:rFonts w:hint="eastAsia"/>
                <w:sz w:val="21"/>
                <w:szCs w:val="21"/>
              </w:rPr>
              <w:t>60</w:t>
            </w:r>
          </w:p>
        </w:tc>
        <w:tc>
          <w:tcPr>
            <w:tcW w:w="492" w:type="dxa"/>
            <w:vMerge w:val="continue"/>
            <w:vAlign w:val="center"/>
          </w:tcPr>
          <w:p>
            <w:pPr>
              <w:adjustRightInd/>
              <w:snapToGrid/>
              <w:spacing w:line="240" w:lineRule="auto"/>
              <w:ind w:firstLine="0" w:firstLineChars="0"/>
              <w:jc w:val="center"/>
              <w:rPr>
                <w:sz w:val="21"/>
                <w:szCs w:val="21"/>
              </w:rPr>
            </w:pPr>
          </w:p>
        </w:tc>
        <w:tc>
          <w:tcPr>
            <w:tcW w:w="1915" w:type="dxa"/>
            <w:vAlign w:val="center"/>
          </w:tcPr>
          <w:p>
            <w:pPr>
              <w:adjustRightInd/>
              <w:snapToGrid/>
              <w:spacing w:line="240" w:lineRule="auto"/>
              <w:ind w:firstLine="0" w:firstLineChars="0"/>
              <w:jc w:val="center"/>
              <w:rPr>
                <w:sz w:val="21"/>
                <w:szCs w:val="21"/>
              </w:rPr>
            </w:pPr>
            <w:r>
              <w:rPr>
                <w:rFonts w:hint="eastAsia"/>
                <w:sz w:val="21"/>
                <w:szCs w:val="21"/>
              </w:rPr>
              <w:t>约120户/</w:t>
            </w:r>
            <w:r>
              <w:rPr>
                <w:sz w:val="21"/>
                <w:szCs w:val="21"/>
              </w:rPr>
              <w:t>380</w:t>
            </w:r>
            <w:r>
              <w:rPr>
                <w:rFonts w:hint="eastAsia"/>
                <w:sz w:val="21"/>
                <w:szCs w:val="21"/>
              </w:rPr>
              <w:t>人</w:t>
            </w:r>
          </w:p>
        </w:tc>
        <w:tc>
          <w:tcPr>
            <w:tcW w:w="384" w:type="dxa"/>
            <w:vMerge w:val="continue"/>
            <w:vAlign w:val="center"/>
          </w:tcPr>
          <w:p>
            <w:pPr>
              <w:adjustRightInd/>
              <w:snapToGrid/>
              <w:spacing w:line="240" w:lineRule="auto"/>
              <w:ind w:firstLine="0" w:firstLineChars="0"/>
              <w:jc w:val="center"/>
              <w:rPr>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Align w:val="center"/>
          </w:tcPr>
          <w:p>
            <w:pPr>
              <w:adjustRightInd/>
              <w:snapToGrid/>
              <w:spacing w:line="240" w:lineRule="auto"/>
              <w:ind w:firstLine="0" w:firstLineChars="0"/>
              <w:jc w:val="center"/>
              <w:rPr>
                <w:sz w:val="21"/>
                <w:szCs w:val="21"/>
              </w:rPr>
            </w:pPr>
            <w:r>
              <w:rPr>
                <w:rFonts w:hint="eastAsia"/>
                <w:sz w:val="21"/>
                <w:szCs w:val="21"/>
              </w:rPr>
              <w:t>地下水环境</w:t>
            </w:r>
          </w:p>
        </w:tc>
        <w:tc>
          <w:tcPr>
            <w:tcW w:w="7886" w:type="dxa"/>
            <w:gridSpan w:val="7"/>
            <w:vAlign w:val="center"/>
          </w:tcPr>
          <w:p>
            <w:pPr>
              <w:adjustRightInd/>
              <w:snapToGrid/>
              <w:spacing w:line="240" w:lineRule="auto"/>
              <w:ind w:firstLine="0" w:firstLineChars="0"/>
              <w:jc w:val="center"/>
              <w:rPr>
                <w:sz w:val="21"/>
                <w:szCs w:val="21"/>
              </w:rPr>
            </w:pPr>
            <w:r>
              <w:rPr>
                <w:rFonts w:hint="eastAsia"/>
                <w:sz w:val="21"/>
                <w:szCs w:val="21"/>
              </w:rPr>
              <w:t>项目</w:t>
            </w:r>
            <w:r>
              <w:rPr>
                <w:sz w:val="21"/>
                <w:szCs w:val="21"/>
              </w:rPr>
              <w:t>所在地地下水</w:t>
            </w:r>
          </w:p>
        </w:tc>
        <w:tc>
          <w:tcPr>
            <w:tcW w:w="384" w:type="dxa"/>
            <w:vAlign w:val="center"/>
          </w:tcPr>
          <w:p>
            <w:pPr>
              <w:adjustRightInd/>
              <w:snapToGrid/>
              <w:spacing w:line="240" w:lineRule="auto"/>
              <w:ind w:firstLine="0" w:firstLineChars="0"/>
              <w:jc w:val="center"/>
              <w:rPr>
                <w:sz w:val="21"/>
                <w:szCs w:val="21"/>
              </w:rPr>
            </w:pPr>
            <w:r>
              <w:rPr>
                <w:rFonts w:hint="eastAsia" w:ascii="宋体" w:hAnsi="宋体" w:cs="宋体"/>
                <w:kern w:val="28"/>
                <w:sz w:val="21"/>
                <w:szCs w:val="21"/>
              </w:rPr>
              <w:t>Ⅲ</w:t>
            </w:r>
            <w:r>
              <w:rPr>
                <w:kern w:val="28"/>
                <w:sz w:val="21"/>
                <w:szCs w:val="21"/>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Align w:val="center"/>
          </w:tcPr>
          <w:p>
            <w:pPr>
              <w:adjustRightInd/>
              <w:snapToGrid/>
              <w:spacing w:line="240" w:lineRule="auto"/>
              <w:ind w:firstLine="0" w:firstLineChars="0"/>
              <w:jc w:val="center"/>
              <w:rPr>
                <w:sz w:val="21"/>
                <w:szCs w:val="21"/>
              </w:rPr>
            </w:pPr>
            <w:r>
              <w:rPr>
                <w:rFonts w:hint="eastAsia"/>
                <w:sz w:val="21"/>
                <w:szCs w:val="21"/>
              </w:rPr>
              <w:t>土壤环境</w:t>
            </w:r>
          </w:p>
        </w:tc>
        <w:tc>
          <w:tcPr>
            <w:tcW w:w="7886" w:type="dxa"/>
            <w:gridSpan w:val="7"/>
            <w:vAlign w:val="center"/>
          </w:tcPr>
          <w:p>
            <w:pPr>
              <w:adjustRightInd/>
              <w:snapToGrid/>
              <w:spacing w:line="240" w:lineRule="auto"/>
              <w:ind w:firstLine="0" w:firstLineChars="0"/>
              <w:jc w:val="center"/>
              <w:rPr>
                <w:sz w:val="21"/>
                <w:szCs w:val="21"/>
              </w:rPr>
            </w:pPr>
            <w:r>
              <w:rPr>
                <w:sz w:val="21"/>
                <w:szCs w:val="21"/>
              </w:rPr>
              <w:t>项目占地范围内及占地范围外0.2km范围内</w:t>
            </w:r>
          </w:p>
        </w:tc>
        <w:tc>
          <w:tcPr>
            <w:tcW w:w="384" w:type="dxa"/>
            <w:vAlign w:val="center"/>
          </w:tcPr>
          <w:p>
            <w:pPr>
              <w:adjustRightInd/>
              <w:snapToGrid/>
              <w:spacing w:line="240" w:lineRule="auto"/>
              <w:ind w:firstLine="0" w:firstLineChars="0"/>
              <w:jc w:val="center"/>
              <w:rPr>
                <w:rFonts w:ascii="宋体" w:hAnsi="宋体" w:cs="宋体"/>
                <w:kern w:val="28"/>
                <w:sz w:val="21"/>
                <w:szCs w:val="21"/>
              </w:rPr>
            </w:pPr>
            <w:r>
              <w:rPr>
                <w:rFonts w:hint="eastAsia" w:ascii="宋体" w:hAnsi="宋体" w:cs="宋体"/>
                <w:kern w:val="28"/>
                <w:sz w:val="21"/>
                <w:szCs w:val="21"/>
              </w:rPr>
              <w:t>二类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26" w:type="dxa"/>
            <w:vAlign w:val="center"/>
          </w:tcPr>
          <w:p>
            <w:pPr>
              <w:numPr>
                <w:ilvl w:val="0"/>
                <w:numId w:val="9"/>
              </w:numPr>
              <w:adjustRightInd/>
              <w:snapToGrid/>
              <w:spacing w:line="240" w:lineRule="auto"/>
              <w:ind w:firstLineChars="0"/>
              <w:jc w:val="center"/>
              <w:rPr>
                <w:sz w:val="21"/>
                <w:szCs w:val="21"/>
              </w:rPr>
            </w:pPr>
          </w:p>
        </w:tc>
        <w:tc>
          <w:tcPr>
            <w:tcW w:w="590" w:type="dxa"/>
            <w:vAlign w:val="center"/>
          </w:tcPr>
          <w:p>
            <w:pPr>
              <w:adjustRightInd/>
              <w:snapToGrid/>
              <w:spacing w:line="240" w:lineRule="auto"/>
              <w:ind w:firstLine="0" w:firstLineChars="0"/>
              <w:jc w:val="center"/>
              <w:rPr>
                <w:sz w:val="21"/>
                <w:szCs w:val="21"/>
              </w:rPr>
            </w:pPr>
            <w:r>
              <w:rPr>
                <w:rFonts w:hint="eastAsia"/>
                <w:sz w:val="21"/>
                <w:szCs w:val="21"/>
              </w:rPr>
              <w:t>生态</w:t>
            </w:r>
            <w:r>
              <w:rPr>
                <w:sz w:val="21"/>
                <w:szCs w:val="21"/>
              </w:rPr>
              <w:t>环境</w:t>
            </w:r>
          </w:p>
        </w:tc>
        <w:tc>
          <w:tcPr>
            <w:tcW w:w="7886" w:type="dxa"/>
            <w:gridSpan w:val="7"/>
            <w:vAlign w:val="center"/>
          </w:tcPr>
          <w:p>
            <w:pPr>
              <w:adjustRightInd/>
              <w:snapToGrid/>
              <w:spacing w:line="240" w:lineRule="auto"/>
              <w:ind w:firstLine="0" w:firstLineChars="0"/>
              <w:jc w:val="center"/>
              <w:rPr>
                <w:sz w:val="21"/>
                <w:szCs w:val="21"/>
              </w:rPr>
            </w:pPr>
            <w:r>
              <w:rPr>
                <w:sz w:val="21"/>
                <w:szCs w:val="21"/>
              </w:rPr>
              <w:t>评价范围内植被、土地、动植物</w:t>
            </w:r>
          </w:p>
        </w:tc>
        <w:tc>
          <w:tcPr>
            <w:tcW w:w="384" w:type="dxa"/>
            <w:vAlign w:val="center"/>
          </w:tcPr>
          <w:p>
            <w:pPr>
              <w:adjustRightInd/>
              <w:snapToGrid/>
              <w:spacing w:line="240" w:lineRule="auto"/>
              <w:ind w:firstLine="0" w:firstLineChars="0"/>
              <w:jc w:val="center"/>
              <w:rPr>
                <w:rFonts w:ascii="宋体" w:hAnsi="宋体" w:cs="宋体"/>
                <w:kern w:val="28"/>
                <w:sz w:val="21"/>
                <w:szCs w:val="21"/>
              </w:rPr>
            </w:pPr>
            <w:r>
              <w:rPr>
                <w:rFonts w:hint="eastAsia" w:ascii="宋体" w:hAnsi="宋体" w:cs="宋体"/>
                <w:kern w:val="28"/>
                <w:sz w:val="21"/>
                <w:szCs w:val="21"/>
              </w:rPr>
              <w:t>/</w:t>
            </w:r>
          </w:p>
        </w:tc>
      </w:tr>
    </w:tbl>
    <w:p>
      <w:pPr>
        <w:spacing w:line="240" w:lineRule="auto"/>
        <w:ind w:firstLine="0" w:firstLineChars="0"/>
        <w:jc w:val="center"/>
        <w:rPr>
          <w:b/>
          <w:sz w:val="21"/>
          <w:szCs w:val="24"/>
          <w:highlight w:val="yellow"/>
        </w:rPr>
      </w:pPr>
    </w:p>
    <w:p>
      <w:pPr>
        <w:spacing w:line="240" w:lineRule="auto"/>
        <w:ind w:firstLine="0" w:firstLineChars="0"/>
        <w:jc w:val="center"/>
        <w:rPr>
          <w:b/>
          <w:sz w:val="21"/>
          <w:szCs w:val="24"/>
          <w:highlight w:val="yellow"/>
        </w:rPr>
        <w:sectPr>
          <w:headerReference r:id="rId18" w:type="default"/>
          <w:headerReference r:id="rId19" w:type="even"/>
          <w:type w:val="oddPage"/>
          <w:pgSz w:w="11906" w:h="16838"/>
          <w:pgMar w:top="1418" w:right="1418" w:bottom="1418" w:left="1418" w:header="992" w:footer="992" w:gutter="0"/>
          <w:pgNumType w:fmt="numberInDash"/>
          <w:cols w:space="425" w:num="1"/>
          <w:docGrid w:type="lines" w:linePitch="326" w:charSpace="0"/>
        </w:sectPr>
      </w:pPr>
    </w:p>
    <w:p>
      <w:pPr>
        <w:pStyle w:val="2"/>
      </w:pPr>
      <w:bookmarkStart w:id="45" w:name="_Toc82502946"/>
      <w:r>
        <w:rPr>
          <w:rFonts w:hint="eastAsia"/>
        </w:rPr>
        <w:t>建设</w:t>
      </w:r>
      <w:r>
        <w:t>项目</w:t>
      </w:r>
      <w:r>
        <w:rPr>
          <w:rFonts w:hint="eastAsia"/>
        </w:rPr>
        <w:t>工程分析</w:t>
      </w:r>
      <w:bookmarkEnd w:id="45"/>
    </w:p>
    <w:p>
      <w:pPr>
        <w:pStyle w:val="3"/>
      </w:pPr>
      <w:bookmarkStart w:id="46" w:name="_Toc488102154"/>
      <w:bookmarkStart w:id="47" w:name="_Toc82502947"/>
      <w:r>
        <w:t>项目概况</w:t>
      </w:r>
      <w:bookmarkEnd w:id="46"/>
      <w:bookmarkEnd w:id="47"/>
    </w:p>
    <w:p>
      <w:pPr>
        <w:pStyle w:val="4"/>
      </w:pPr>
      <w:r>
        <w:t>项目基本情况</w:t>
      </w:r>
    </w:p>
    <w:p>
      <w:pPr>
        <w:ind w:firstLine="480"/>
      </w:pPr>
      <w:r>
        <w:t>（1）项目名称：黄姜提取物研究基地项目；</w:t>
      </w:r>
    </w:p>
    <w:p>
      <w:pPr>
        <w:ind w:firstLine="480"/>
      </w:pPr>
      <w:r>
        <w:t>（2）建设地点：旬阳高新区吕河工业园</w:t>
      </w:r>
      <w:r>
        <w:rPr>
          <w:rFonts w:hint="eastAsia"/>
        </w:rPr>
        <w:t>（场地</w:t>
      </w:r>
      <w:r>
        <w:t>中心</w:t>
      </w:r>
      <w:r>
        <w:rPr>
          <w:rFonts w:hint="eastAsia"/>
        </w:rPr>
        <w:t>坐标</w:t>
      </w:r>
      <w:r>
        <w:t>：</w:t>
      </w:r>
      <w:r>
        <w:rPr>
          <w:rFonts w:hint="eastAsia"/>
        </w:rPr>
        <w:t>经度</w:t>
      </w:r>
      <w:r>
        <w:t>109°22'2.832"</w:t>
      </w:r>
      <w:r>
        <w:rPr>
          <w:rFonts w:hint="eastAsia"/>
        </w:rPr>
        <w:t>，纬度</w:t>
      </w:r>
      <w:r>
        <w:t>32°46'18.532"</w:t>
      </w:r>
      <w:r>
        <w:rPr>
          <w:rFonts w:hint="eastAsia"/>
        </w:rPr>
        <w:t>），</w:t>
      </w:r>
      <w:r>
        <w:t>地理位置图见图</w:t>
      </w:r>
      <w:r>
        <w:rPr>
          <w:rFonts w:hint="eastAsia"/>
        </w:rPr>
        <w:t>3.1-1</w:t>
      </w:r>
      <w:r>
        <w:t>；</w:t>
      </w:r>
    </w:p>
    <w:p>
      <w:pPr>
        <w:ind w:firstLine="480"/>
      </w:pPr>
      <w:r>
        <w:t>（3）建设单位：陕西宏达坤生物科技有限公司；</w:t>
      </w:r>
    </w:p>
    <w:p>
      <w:pPr>
        <w:ind w:firstLine="480"/>
      </w:pPr>
      <w:r>
        <w:t>（4）建设性质：新建；</w:t>
      </w:r>
    </w:p>
    <w:p>
      <w:pPr>
        <w:ind w:firstLine="480"/>
      </w:pPr>
      <w:r>
        <w:t>（5）建设规模：</w:t>
      </w:r>
      <w:r>
        <w:rPr>
          <w:rFonts w:hint="eastAsia"/>
        </w:rPr>
        <w:t>生产</w:t>
      </w:r>
      <w:r>
        <w:t>皂素100kg/d~200kg/d；</w:t>
      </w:r>
    </w:p>
    <w:p>
      <w:pPr>
        <w:ind w:firstLine="480"/>
      </w:pPr>
      <w:r>
        <w:t>（6）行业类别：</w:t>
      </w:r>
      <w:r>
        <w:rPr>
          <w:rFonts w:hint="eastAsia"/>
        </w:rPr>
        <w:t>C27</w:t>
      </w:r>
      <w:r>
        <w:t>10</w:t>
      </w:r>
      <w:r>
        <w:rPr>
          <w:rFonts w:hint="eastAsia"/>
        </w:rPr>
        <w:t>化学药品</w:t>
      </w:r>
      <w:r>
        <w:t>原料药制造；</w:t>
      </w:r>
    </w:p>
    <w:p>
      <w:pPr>
        <w:ind w:firstLine="480"/>
      </w:pPr>
      <w:r>
        <w:t>（7）占地面积：项目</w:t>
      </w:r>
      <w:r>
        <w:rPr>
          <w:rFonts w:hint="eastAsia"/>
        </w:rPr>
        <w:t>建筑</w:t>
      </w:r>
      <w:r>
        <w:t>面积为6088m</w:t>
      </w:r>
      <w:r>
        <w:rPr>
          <w:vertAlign w:val="superscript"/>
        </w:rPr>
        <w:t>2</w:t>
      </w:r>
      <w:r>
        <w:t>；</w:t>
      </w:r>
    </w:p>
    <w:p>
      <w:pPr>
        <w:ind w:firstLine="480"/>
      </w:pPr>
      <w:r>
        <w:t>（8）项目投资：本项目总投资10000万元，全部由企业自筹</w:t>
      </w:r>
      <w:r>
        <w:rPr>
          <w:rFonts w:hint="eastAsia"/>
        </w:rPr>
        <w:t>，</w:t>
      </w:r>
      <w:r>
        <w:t>其中环保投资</w:t>
      </w:r>
      <w:r>
        <w:rPr>
          <w:rFonts w:hint="eastAsia"/>
        </w:rPr>
        <w:t>1</w:t>
      </w:r>
      <w:r>
        <w:t>1</w:t>
      </w:r>
      <w:r>
        <w:rPr>
          <w:rFonts w:hint="eastAsia"/>
        </w:rPr>
        <w:t>4万元</w:t>
      </w:r>
      <w:r>
        <w:t>，占总投资的</w:t>
      </w:r>
      <w:r>
        <w:rPr>
          <w:rFonts w:hint="eastAsia"/>
        </w:rPr>
        <w:t>1.</w:t>
      </w:r>
      <w:r>
        <w:t>1</w:t>
      </w:r>
      <w:r>
        <w:rPr>
          <w:rFonts w:hint="eastAsia"/>
        </w:rPr>
        <w:t>4</w:t>
      </w:r>
      <w:r>
        <w:t>%；</w:t>
      </w:r>
    </w:p>
    <w:p>
      <w:pPr>
        <w:ind w:firstLine="480"/>
      </w:pPr>
      <w:r>
        <w:t>（9）劳动定员：本项目定员总数为30人；</w:t>
      </w:r>
    </w:p>
    <w:p>
      <w:pPr>
        <w:ind w:firstLine="480"/>
      </w:pPr>
      <w:r>
        <w:t>（10）工作制度：三班制，每班8小时</w:t>
      </w:r>
      <w:r>
        <w:rPr>
          <w:rFonts w:hint="eastAsia"/>
        </w:rPr>
        <w:t>，中试</w:t>
      </w:r>
      <w:r>
        <w:t>时间为</w:t>
      </w:r>
      <w:r>
        <w:rPr>
          <w:rFonts w:hint="eastAsia"/>
        </w:rPr>
        <w:t>2021年12月-2022年5月</w:t>
      </w:r>
      <w:r>
        <w:t>（</w:t>
      </w:r>
      <w:r>
        <w:rPr>
          <w:rFonts w:hint="eastAsia"/>
        </w:rPr>
        <w:t>180d</w:t>
      </w:r>
      <w:r>
        <w:t>）</w:t>
      </w:r>
      <w:r>
        <w:rPr>
          <w:rFonts w:hint="eastAsia"/>
        </w:rPr>
        <w:t>。</w:t>
      </w:r>
    </w:p>
    <w:p>
      <w:pPr>
        <w:pStyle w:val="4"/>
      </w:pPr>
      <w:r>
        <w:rPr>
          <w:rFonts w:hint="eastAsia"/>
        </w:rPr>
        <w:t>主要</w:t>
      </w:r>
      <w:r>
        <w:t>建设内容</w:t>
      </w:r>
      <w:r>
        <w:rPr>
          <w:rFonts w:hint="eastAsia"/>
        </w:rPr>
        <w:t>及规模</w:t>
      </w:r>
    </w:p>
    <w:p>
      <w:pPr>
        <w:ind w:firstLine="480"/>
      </w:pPr>
      <w:r>
        <w:t>本项目</w:t>
      </w:r>
      <w:r>
        <w:rPr>
          <w:rFonts w:hint="eastAsia"/>
        </w:rPr>
        <w:t>总建筑</w:t>
      </w:r>
      <w:r>
        <w:t>面积6088m</w:t>
      </w:r>
      <w:r>
        <w:rPr>
          <w:vertAlign w:val="superscript"/>
        </w:rPr>
        <w:t>2</w:t>
      </w:r>
      <w:r>
        <w:t>，建设内容主要</w:t>
      </w:r>
      <w:r>
        <w:rPr>
          <w:rFonts w:hint="eastAsia"/>
        </w:rPr>
        <w:t>为</w:t>
      </w:r>
      <w:r>
        <w:t>黄姜提取皂素</w:t>
      </w:r>
      <w:r>
        <w:rPr>
          <w:rFonts w:hint="eastAsia"/>
        </w:rPr>
        <w:t>中试生产线</w:t>
      </w:r>
      <w:r>
        <w:t>，包括</w:t>
      </w:r>
      <w:r>
        <w:rPr>
          <w:rFonts w:hint="eastAsia"/>
        </w:rPr>
        <w:t>中试生产</w:t>
      </w:r>
      <w:r>
        <w:t>车间</w:t>
      </w:r>
      <w:r>
        <w:rPr>
          <w:rFonts w:hint="eastAsia"/>
        </w:rPr>
        <w:t>两座</w:t>
      </w:r>
      <w:r>
        <w:rPr>
          <w:rFonts w:hint="eastAsia" w:hAnsiTheme="minorEastAsia" w:eastAsiaTheme="minorEastAsia"/>
        </w:rPr>
        <w:t>、理化</w:t>
      </w:r>
      <w:r>
        <w:rPr>
          <w:rFonts w:hAnsiTheme="minorEastAsia" w:eastAsiaTheme="minorEastAsia"/>
        </w:rPr>
        <w:t>分析室、称量室、检验检测中心</w:t>
      </w:r>
      <w:r>
        <w:t>等，配套建设有</w:t>
      </w:r>
      <w:r>
        <w:rPr>
          <w:rFonts w:hint="eastAsia"/>
        </w:rPr>
        <w:t>原料库</w:t>
      </w:r>
      <w:r>
        <w:t>、成品库、储罐区等，本项目工程建设内容见表3.1-1。</w:t>
      </w:r>
    </w:p>
    <w:p>
      <w:pPr>
        <w:pStyle w:val="49"/>
        <w:rPr>
          <w:rFonts w:hAnsi="Times New Roman"/>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Ansi="Times New Roman"/>
        </w:rPr>
        <w:t xml:space="preserve">  </w:t>
      </w:r>
      <w:r>
        <w:rPr>
          <w:rFonts w:hAnsi="宋体" w:eastAsia="宋体"/>
        </w:rPr>
        <w:t>主要工程内容一览表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9"/>
        <w:gridCol w:w="712"/>
        <w:gridCol w:w="568"/>
        <w:gridCol w:w="850"/>
        <w:gridCol w:w="709"/>
        <w:gridCol w:w="56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549" w:type="dxa"/>
            <w:vAlign w:val="center"/>
          </w:tcPr>
          <w:p>
            <w:pPr>
              <w:pStyle w:val="48"/>
            </w:pPr>
            <w:r>
              <w:rPr>
                <w:rFonts w:hAnsi="宋体"/>
              </w:rPr>
              <w:t>序号</w:t>
            </w:r>
          </w:p>
        </w:tc>
        <w:tc>
          <w:tcPr>
            <w:tcW w:w="2839" w:type="dxa"/>
            <w:gridSpan w:val="4"/>
            <w:vAlign w:val="center"/>
          </w:tcPr>
          <w:p>
            <w:pPr>
              <w:pStyle w:val="48"/>
            </w:pPr>
            <w:r>
              <w:rPr>
                <w:rFonts w:hAnsi="宋体"/>
              </w:rPr>
              <w:t>工程内容</w:t>
            </w:r>
          </w:p>
        </w:tc>
        <w:tc>
          <w:tcPr>
            <w:tcW w:w="5652" w:type="dxa"/>
            <w:vAlign w:val="center"/>
          </w:tcPr>
          <w:p>
            <w:pPr>
              <w:pStyle w:val="48"/>
            </w:pPr>
            <w:r>
              <w:rPr>
                <w:rFonts w:hAnsi="宋体"/>
              </w:rPr>
              <w:t>建设规模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restart"/>
            <w:vAlign w:val="center"/>
          </w:tcPr>
          <w:p>
            <w:pPr>
              <w:pStyle w:val="48"/>
            </w:pPr>
            <w:r>
              <w:rPr>
                <w:rFonts w:hAnsi="宋体"/>
              </w:rPr>
              <w:t>主体工程</w:t>
            </w:r>
          </w:p>
        </w:tc>
        <w:tc>
          <w:tcPr>
            <w:tcW w:w="568" w:type="dxa"/>
            <w:vMerge w:val="restart"/>
            <w:vAlign w:val="center"/>
          </w:tcPr>
          <w:p>
            <w:pPr>
              <w:pStyle w:val="48"/>
            </w:pPr>
            <w:r>
              <w:rPr>
                <w:rFonts w:hint="eastAsia"/>
              </w:rPr>
              <w:t>中试</w:t>
            </w:r>
            <w:r>
              <w:t>车间</w:t>
            </w:r>
          </w:p>
        </w:tc>
        <w:tc>
          <w:tcPr>
            <w:tcW w:w="1559" w:type="dxa"/>
            <w:gridSpan w:val="2"/>
            <w:vAlign w:val="center"/>
          </w:tcPr>
          <w:p>
            <w:pPr>
              <w:pStyle w:val="48"/>
            </w:pPr>
            <w:r>
              <w:rPr>
                <w:rFonts w:hint="eastAsia"/>
              </w:rPr>
              <w:t>车间一</w:t>
            </w:r>
          </w:p>
        </w:tc>
        <w:tc>
          <w:tcPr>
            <w:tcW w:w="5652" w:type="dxa"/>
            <w:vAlign w:val="center"/>
          </w:tcPr>
          <w:p>
            <w:pPr>
              <w:pStyle w:val="92"/>
            </w:pPr>
            <w:r>
              <w:rPr>
                <w:rFonts w:hint="eastAsia"/>
              </w:rPr>
              <w:t>总建筑</w:t>
            </w:r>
            <w:r>
              <w:t>面积</w:t>
            </w:r>
            <w:r>
              <w:rPr>
                <w:rFonts w:hint="eastAsia"/>
              </w:rPr>
              <w:t>2103</w:t>
            </w:r>
            <w:r>
              <w:t>m</w:t>
            </w:r>
            <w:r>
              <w:rPr>
                <w:vertAlign w:val="superscript"/>
              </w:rPr>
              <w:t>2</w:t>
            </w:r>
            <w:r>
              <w:t>，设置</w:t>
            </w:r>
            <w:r>
              <w:rPr>
                <w:rFonts w:hint="eastAsia"/>
              </w:rPr>
              <w:t>甲醇</w:t>
            </w:r>
            <w:r>
              <w:t>萃取、甲醇回收，</w:t>
            </w:r>
            <w:r>
              <w:rPr>
                <w:rFonts w:hint="eastAsia"/>
              </w:rPr>
              <w:t>酸解</w:t>
            </w:r>
            <w:r>
              <w:t>、石油醚提取、蒸发结晶等工序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568" w:type="dxa"/>
            <w:vMerge w:val="continue"/>
            <w:vAlign w:val="center"/>
          </w:tcPr>
          <w:p>
            <w:pPr>
              <w:pStyle w:val="48"/>
            </w:pPr>
          </w:p>
        </w:tc>
        <w:tc>
          <w:tcPr>
            <w:tcW w:w="1559" w:type="dxa"/>
            <w:gridSpan w:val="2"/>
            <w:vAlign w:val="center"/>
          </w:tcPr>
          <w:p>
            <w:pPr>
              <w:pStyle w:val="48"/>
            </w:pPr>
            <w:r>
              <w:rPr>
                <w:rFonts w:hint="eastAsia"/>
              </w:rPr>
              <w:t>车间二</w:t>
            </w:r>
          </w:p>
        </w:tc>
        <w:tc>
          <w:tcPr>
            <w:tcW w:w="5652" w:type="dxa"/>
            <w:vAlign w:val="center"/>
          </w:tcPr>
          <w:p>
            <w:pPr>
              <w:pStyle w:val="48"/>
            </w:pPr>
            <w:r>
              <w:rPr>
                <w:rFonts w:hint="eastAsia"/>
              </w:rPr>
              <w:t>总建筑</w:t>
            </w:r>
            <w:r>
              <w:t>面积</w:t>
            </w:r>
            <w:r>
              <w:rPr>
                <w:rFonts w:hint="eastAsia"/>
              </w:rPr>
              <w:t>3445</w:t>
            </w:r>
            <w:r>
              <w:t>m</w:t>
            </w:r>
            <w:r>
              <w:rPr>
                <w:vertAlign w:val="superscript"/>
              </w:rPr>
              <w:t>2</w:t>
            </w:r>
            <w:r>
              <w:t>，</w:t>
            </w:r>
            <w:r>
              <w:rPr>
                <w:rFonts w:hint="eastAsia"/>
              </w:rPr>
              <w:t>主要设置原材料清理</w:t>
            </w:r>
            <w:r>
              <w:t>、粗粉微粉</w:t>
            </w:r>
            <w:r>
              <w:rPr>
                <w:rFonts w:hint="eastAsia"/>
              </w:rPr>
              <w:t>工序以及</w:t>
            </w:r>
            <w:r>
              <w:t>操控室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restart"/>
            <w:vAlign w:val="center"/>
          </w:tcPr>
          <w:p>
            <w:pPr>
              <w:pStyle w:val="48"/>
            </w:pPr>
            <w:r>
              <w:rPr>
                <w:rFonts w:hAnsi="宋体"/>
              </w:rPr>
              <w:t>辅助工程</w:t>
            </w:r>
          </w:p>
        </w:tc>
        <w:tc>
          <w:tcPr>
            <w:tcW w:w="2127" w:type="dxa"/>
            <w:gridSpan w:val="3"/>
            <w:vMerge w:val="restart"/>
            <w:vAlign w:val="center"/>
          </w:tcPr>
          <w:p>
            <w:pPr>
              <w:pStyle w:val="48"/>
            </w:pPr>
            <w:r>
              <w:rPr>
                <w:rFonts w:hint="eastAsia"/>
              </w:rPr>
              <w:t>办公</w:t>
            </w:r>
            <w:r>
              <w:t>楼</w:t>
            </w:r>
          </w:p>
        </w:tc>
        <w:tc>
          <w:tcPr>
            <w:tcW w:w="5652" w:type="dxa"/>
            <w:vMerge w:val="restart"/>
            <w:vAlign w:val="center"/>
          </w:tcPr>
          <w:p>
            <w:pPr>
              <w:pStyle w:val="48"/>
            </w:pPr>
            <w:r>
              <w:rPr>
                <w:rFonts w:hint="eastAsia"/>
              </w:rPr>
              <w:t>建筑</w:t>
            </w:r>
            <w:r>
              <w:t>面积</w:t>
            </w:r>
            <w:r>
              <w:rPr>
                <w:rFonts w:hint="eastAsia"/>
              </w:rPr>
              <w:t>540</w:t>
            </w:r>
            <w:r>
              <w:t>m</w:t>
            </w:r>
            <w:r>
              <w:rPr>
                <w:vertAlign w:val="superscript"/>
              </w:rPr>
              <w:t>2</w:t>
            </w:r>
            <w:r>
              <w:rPr>
                <w:rFonts w:hint="eastAsia"/>
              </w:rPr>
              <w:t>，位于</w:t>
            </w:r>
            <w:r>
              <w:t>车间一</w:t>
            </w:r>
            <w:r>
              <w:rPr>
                <w:rFonts w:hint="eastAsia"/>
              </w:rPr>
              <w:t>北侧</w:t>
            </w:r>
            <w:r>
              <w:t>二层，设置有办公区及</w:t>
            </w:r>
            <w:r>
              <w:rPr>
                <w:rFonts w:hint="eastAsia"/>
              </w:rPr>
              <w:t>试验区，</w:t>
            </w:r>
            <w:r>
              <w:t>实验区设置</w:t>
            </w:r>
            <w:r>
              <w:rPr>
                <w:rFonts w:hint="eastAsia"/>
              </w:rPr>
              <w:t>称量</w:t>
            </w:r>
            <w:r>
              <w:t>室、理化分析室、检验检测中心等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highlight w:val="yellow"/>
              </w:rPr>
            </w:pPr>
          </w:p>
        </w:tc>
        <w:tc>
          <w:tcPr>
            <w:tcW w:w="2127" w:type="dxa"/>
            <w:gridSpan w:val="3"/>
            <w:vMerge w:val="continue"/>
            <w:vAlign w:val="center"/>
          </w:tcPr>
          <w:p>
            <w:pPr>
              <w:pStyle w:val="48"/>
            </w:pPr>
          </w:p>
        </w:tc>
        <w:tc>
          <w:tcPr>
            <w:tcW w:w="5652"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highlight w:val="yellow"/>
              </w:rPr>
            </w:pPr>
          </w:p>
        </w:tc>
        <w:tc>
          <w:tcPr>
            <w:tcW w:w="2127" w:type="dxa"/>
            <w:gridSpan w:val="3"/>
            <w:vAlign w:val="center"/>
          </w:tcPr>
          <w:p>
            <w:pPr>
              <w:pStyle w:val="48"/>
            </w:pPr>
            <w:r>
              <w:rPr>
                <w:rFonts w:hint="eastAsia"/>
              </w:rPr>
              <w:t>冷冻站</w:t>
            </w:r>
          </w:p>
        </w:tc>
        <w:tc>
          <w:tcPr>
            <w:tcW w:w="5652" w:type="dxa"/>
            <w:vAlign w:val="center"/>
          </w:tcPr>
          <w:p>
            <w:pPr>
              <w:pStyle w:val="48"/>
            </w:pPr>
            <w:r>
              <w:rPr>
                <w:rFonts w:hint="eastAsia"/>
              </w:rPr>
              <w:t>位于</w:t>
            </w:r>
            <w:r>
              <w:t>车间</w:t>
            </w:r>
            <w:r>
              <w:rPr>
                <w:rFonts w:hint="eastAsia"/>
              </w:rPr>
              <w:t>二内</w:t>
            </w:r>
            <w:r>
              <w:t>，</w:t>
            </w:r>
            <w:r>
              <w:rPr>
                <w:rFonts w:hint="eastAsia"/>
              </w:rPr>
              <w:t>设置</w:t>
            </w:r>
            <w:r>
              <w:t>冷冻机，</w:t>
            </w:r>
            <w:r>
              <w:rPr>
                <w:rFonts w:hint="eastAsia"/>
              </w:rPr>
              <w:t>冷冻水箱、冷却</w:t>
            </w:r>
            <w:r>
              <w:t>塔等</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highlight w:val="yellow"/>
              </w:rPr>
            </w:pPr>
          </w:p>
        </w:tc>
        <w:tc>
          <w:tcPr>
            <w:tcW w:w="2127" w:type="dxa"/>
            <w:gridSpan w:val="3"/>
            <w:vAlign w:val="center"/>
          </w:tcPr>
          <w:p>
            <w:pPr>
              <w:pStyle w:val="48"/>
            </w:pPr>
            <w:r>
              <w:rPr>
                <w:rFonts w:hint="eastAsia"/>
              </w:rPr>
              <w:t>空压机室</w:t>
            </w:r>
            <w:r>
              <w:t>、制氮</w:t>
            </w:r>
            <w:r>
              <w:rPr>
                <w:rFonts w:hint="eastAsia"/>
              </w:rPr>
              <w:t>室</w:t>
            </w:r>
          </w:p>
        </w:tc>
        <w:tc>
          <w:tcPr>
            <w:tcW w:w="5652" w:type="dxa"/>
            <w:vAlign w:val="center"/>
          </w:tcPr>
          <w:p>
            <w:pPr>
              <w:pStyle w:val="48"/>
            </w:pPr>
            <w:r>
              <w:rPr>
                <w:rFonts w:hint="eastAsia"/>
              </w:rPr>
              <w:t>位于</w:t>
            </w:r>
            <w:r>
              <w:t>车间</w:t>
            </w:r>
            <w:r>
              <w:rPr>
                <w:rFonts w:hint="eastAsia"/>
              </w:rPr>
              <w:t>二内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restart"/>
            <w:vAlign w:val="center"/>
          </w:tcPr>
          <w:p>
            <w:pPr>
              <w:pStyle w:val="48"/>
              <w:rPr>
                <w:rFonts w:hAnsi="宋体"/>
              </w:rPr>
            </w:pPr>
            <w:r>
              <w:rPr>
                <w:rFonts w:hint="eastAsia" w:hAnsi="宋体"/>
              </w:rPr>
              <w:t>储运</w:t>
            </w:r>
            <w:r>
              <w:rPr>
                <w:rFonts w:hAnsi="宋体"/>
              </w:rPr>
              <w:t>工程</w:t>
            </w:r>
          </w:p>
        </w:tc>
        <w:tc>
          <w:tcPr>
            <w:tcW w:w="2127" w:type="dxa"/>
            <w:gridSpan w:val="3"/>
            <w:vAlign w:val="center"/>
          </w:tcPr>
          <w:p>
            <w:pPr>
              <w:pStyle w:val="48"/>
              <w:jc w:val="both"/>
            </w:pPr>
            <w:r>
              <w:rPr>
                <w:rFonts w:hint="eastAsia"/>
              </w:rPr>
              <w:t>地埋式</w:t>
            </w:r>
            <w:r>
              <w:t>储罐区</w:t>
            </w:r>
          </w:p>
        </w:tc>
        <w:tc>
          <w:tcPr>
            <w:tcW w:w="5652" w:type="dxa"/>
            <w:vAlign w:val="center"/>
          </w:tcPr>
          <w:p>
            <w:pPr>
              <w:pStyle w:val="48"/>
            </w:pPr>
            <w:r>
              <w:rPr>
                <w:rFonts w:hint="eastAsia"/>
              </w:rPr>
              <w:t>设置地埋式溶媒</w:t>
            </w:r>
            <w:r>
              <w:t>库，位于</w:t>
            </w:r>
            <w:r>
              <w:rPr>
                <w:rFonts w:hint="eastAsia"/>
              </w:rPr>
              <w:t>车间一西侧</w:t>
            </w:r>
            <w:r>
              <w:t>，设置</w:t>
            </w:r>
            <w:r>
              <w:rPr>
                <w:rFonts w:hint="eastAsia"/>
              </w:rPr>
              <w:t>60</w:t>
            </w:r>
            <w:r>
              <w:t>m</w:t>
            </w:r>
            <w:r>
              <w:rPr>
                <w:vertAlign w:val="superscript"/>
              </w:rPr>
              <w:t>3</w:t>
            </w:r>
            <w:r>
              <w:t>甲醇储罐</w:t>
            </w:r>
            <w:r>
              <w:rPr>
                <w:rFonts w:hint="eastAsia"/>
              </w:rPr>
              <w:t>1座</w:t>
            </w:r>
            <w:r>
              <w:t>，</w:t>
            </w:r>
            <w:r>
              <w:rPr>
                <w:rFonts w:hint="eastAsia"/>
              </w:rPr>
              <w:t>60</w:t>
            </w:r>
            <w:r>
              <w:t>m</w:t>
            </w:r>
            <w:r>
              <w:rPr>
                <w:vertAlign w:val="superscript"/>
              </w:rPr>
              <w:t>3</w:t>
            </w:r>
            <w:r>
              <w:t>石油醚储罐</w:t>
            </w:r>
            <w:r>
              <w:rPr>
                <w:rFonts w:hint="eastAsia"/>
              </w:rPr>
              <w:t>1座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rPr>
            </w:pPr>
          </w:p>
        </w:tc>
        <w:tc>
          <w:tcPr>
            <w:tcW w:w="2127" w:type="dxa"/>
            <w:gridSpan w:val="3"/>
            <w:vAlign w:val="center"/>
          </w:tcPr>
          <w:p>
            <w:pPr>
              <w:pStyle w:val="48"/>
              <w:jc w:val="both"/>
            </w:pPr>
            <w:r>
              <w:rPr>
                <w:rFonts w:hint="eastAsia"/>
              </w:rPr>
              <w:t>原料</w:t>
            </w:r>
            <w:r>
              <w:t>库</w:t>
            </w:r>
          </w:p>
        </w:tc>
        <w:tc>
          <w:tcPr>
            <w:tcW w:w="5652" w:type="dxa"/>
            <w:vAlign w:val="center"/>
          </w:tcPr>
          <w:p>
            <w:pPr>
              <w:pStyle w:val="48"/>
            </w:pPr>
            <w:r>
              <w:rPr>
                <w:rFonts w:hint="eastAsia"/>
              </w:rPr>
              <w:t>位于车间二</w:t>
            </w:r>
            <w:r>
              <w:t>内，建筑面积约</w:t>
            </w:r>
            <w:r>
              <w:rPr>
                <w:rFonts w:hint="eastAsia"/>
              </w:rPr>
              <w:t>405</w:t>
            </w:r>
            <w:r>
              <w:t>m</w:t>
            </w:r>
            <w:r>
              <w:rPr>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4"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rPr>
            </w:pPr>
          </w:p>
        </w:tc>
        <w:tc>
          <w:tcPr>
            <w:tcW w:w="2127" w:type="dxa"/>
            <w:gridSpan w:val="3"/>
            <w:vAlign w:val="center"/>
          </w:tcPr>
          <w:p>
            <w:pPr>
              <w:pStyle w:val="48"/>
              <w:jc w:val="both"/>
            </w:pPr>
            <w:r>
              <w:rPr>
                <w:rFonts w:hint="eastAsia"/>
              </w:rPr>
              <w:t>成品</w:t>
            </w:r>
            <w:r>
              <w:t>库</w:t>
            </w:r>
          </w:p>
        </w:tc>
        <w:tc>
          <w:tcPr>
            <w:tcW w:w="5652" w:type="dxa"/>
            <w:vAlign w:val="center"/>
          </w:tcPr>
          <w:p>
            <w:pPr>
              <w:pStyle w:val="48"/>
            </w:pPr>
            <w:r>
              <w:rPr>
                <w:rFonts w:hint="eastAsia"/>
              </w:rPr>
              <w:t>位于车间一内</w:t>
            </w:r>
            <w:r>
              <w:t>，建筑面积</w:t>
            </w:r>
            <w:r>
              <w:rPr>
                <w:rFonts w:hint="eastAsia"/>
              </w:rPr>
              <w:t>992</w:t>
            </w:r>
            <w:r>
              <w:t>m</w:t>
            </w:r>
            <w:r>
              <w:rPr>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restart"/>
            <w:vAlign w:val="center"/>
          </w:tcPr>
          <w:p>
            <w:pPr>
              <w:pStyle w:val="48"/>
            </w:pPr>
            <w:r>
              <w:rPr>
                <w:rFonts w:hAnsi="宋体"/>
              </w:rPr>
              <w:t>公用工程</w:t>
            </w:r>
          </w:p>
        </w:tc>
        <w:tc>
          <w:tcPr>
            <w:tcW w:w="2127" w:type="dxa"/>
            <w:gridSpan w:val="3"/>
            <w:vAlign w:val="center"/>
          </w:tcPr>
          <w:p>
            <w:pPr>
              <w:pStyle w:val="48"/>
            </w:pPr>
            <w:r>
              <w:rPr>
                <w:rFonts w:hAnsi="宋体"/>
              </w:rPr>
              <w:t>供水</w:t>
            </w:r>
          </w:p>
        </w:tc>
        <w:tc>
          <w:tcPr>
            <w:tcW w:w="5652" w:type="dxa"/>
            <w:vAlign w:val="center"/>
          </w:tcPr>
          <w:p>
            <w:pPr>
              <w:pStyle w:val="48"/>
            </w:pPr>
            <w:r>
              <w:rPr>
                <w:rFonts w:hAnsi="宋体"/>
              </w:rPr>
              <w:t>本项目供水由</w:t>
            </w:r>
            <w:r>
              <w:rPr>
                <w:rFonts w:hint="eastAsia" w:hAnsi="宋体"/>
              </w:rPr>
              <w:t>市政自来水</w:t>
            </w:r>
            <w:r>
              <w:rPr>
                <w:rFonts w:hAnsi="宋体"/>
              </w:rPr>
              <w:t>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2127" w:type="dxa"/>
            <w:gridSpan w:val="3"/>
            <w:vAlign w:val="center"/>
          </w:tcPr>
          <w:p>
            <w:pPr>
              <w:pStyle w:val="48"/>
            </w:pPr>
            <w:r>
              <w:rPr>
                <w:rFonts w:hAnsi="宋体"/>
              </w:rPr>
              <w:t>排水</w:t>
            </w:r>
          </w:p>
        </w:tc>
        <w:tc>
          <w:tcPr>
            <w:tcW w:w="5652" w:type="dxa"/>
            <w:vAlign w:val="center"/>
          </w:tcPr>
          <w:p>
            <w:pPr>
              <w:pStyle w:val="48"/>
            </w:pPr>
            <w:r>
              <w:rPr>
                <w:rFonts w:hAnsi="宋体"/>
                <w:szCs w:val="21"/>
              </w:rPr>
              <w:t>项目排水采取雨污分流。雨水通过场区雨水管网排至</w:t>
            </w:r>
            <w:r>
              <w:rPr>
                <w:rFonts w:hint="eastAsia" w:hAnsi="宋体"/>
                <w:szCs w:val="21"/>
              </w:rPr>
              <w:t>市政</w:t>
            </w:r>
            <w:r>
              <w:rPr>
                <w:rFonts w:hAnsi="宋体"/>
                <w:szCs w:val="21"/>
              </w:rPr>
              <w:t>雨水管网；职工生活污水经</w:t>
            </w:r>
            <w:r>
              <w:rPr>
                <w:rFonts w:hint="eastAsia" w:hAnsi="宋体"/>
                <w:szCs w:val="21"/>
              </w:rPr>
              <w:t>化粪池</w:t>
            </w:r>
            <w:r>
              <w:rPr>
                <w:rFonts w:hAnsi="宋体"/>
                <w:szCs w:val="21"/>
              </w:rPr>
              <w:t>处理后排入市政管网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2127" w:type="dxa"/>
            <w:gridSpan w:val="3"/>
            <w:vAlign w:val="center"/>
          </w:tcPr>
          <w:p>
            <w:pPr>
              <w:pStyle w:val="48"/>
            </w:pPr>
            <w:r>
              <w:rPr>
                <w:rFonts w:hAnsi="宋体"/>
              </w:rPr>
              <w:t>供电</w:t>
            </w:r>
          </w:p>
        </w:tc>
        <w:tc>
          <w:tcPr>
            <w:tcW w:w="5652" w:type="dxa"/>
            <w:vAlign w:val="center"/>
          </w:tcPr>
          <w:p>
            <w:pPr>
              <w:pStyle w:val="48"/>
            </w:pPr>
            <w:r>
              <w:rPr>
                <w:rFonts w:hAnsi="宋体"/>
              </w:rPr>
              <w:t>由</w:t>
            </w:r>
            <w:r>
              <w:rPr>
                <w:rFonts w:hint="eastAsia"/>
              </w:rPr>
              <w:t>吕河工业</w:t>
            </w:r>
            <w:r>
              <w:t>园</w:t>
            </w:r>
            <w:r>
              <w:rPr>
                <w:rFonts w:hAnsi="宋体"/>
              </w:rPr>
              <w:t>电网提供，场区</w:t>
            </w:r>
            <w:r>
              <w:rPr>
                <w:rFonts w:hint="eastAsia" w:hAnsi="宋体"/>
              </w:rPr>
              <w:t>东南角</w:t>
            </w:r>
            <w:r>
              <w:rPr>
                <w:rFonts w:hAnsi="宋体"/>
              </w:rPr>
              <w:t>新建</w:t>
            </w:r>
            <w:r>
              <w:rPr>
                <w:rFonts w:hint="eastAsia" w:hAnsi="宋体"/>
              </w:rPr>
              <w:t>10/0.2</w:t>
            </w:r>
            <w:r>
              <w:rPr>
                <w:rFonts w:hAnsi="宋体"/>
              </w:rPr>
              <w:t>KV变电所一座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2127" w:type="dxa"/>
            <w:gridSpan w:val="3"/>
            <w:vAlign w:val="center"/>
          </w:tcPr>
          <w:p>
            <w:pPr>
              <w:pStyle w:val="48"/>
            </w:pPr>
            <w:r>
              <w:rPr>
                <w:rFonts w:hAnsi="宋体"/>
              </w:rPr>
              <w:t>供</w:t>
            </w:r>
            <w:r>
              <w:rPr>
                <w:rFonts w:hint="eastAsia" w:hAnsi="宋体"/>
              </w:rPr>
              <w:t>热</w:t>
            </w:r>
          </w:p>
        </w:tc>
        <w:tc>
          <w:tcPr>
            <w:tcW w:w="5652" w:type="dxa"/>
            <w:vAlign w:val="center"/>
          </w:tcPr>
          <w:p>
            <w:pPr>
              <w:pStyle w:val="48"/>
            </w:pPr>
            <w:r>
              <w:rPr>
                <w:rFonts w:hint="eastAsia"/>
              </w:rPr>
              <w:t>新建1台4</w:t>
            </w:r>
            <w:r>
              <w:t>t/h的燃气锅炉，位于</w:t>
            </w:r>
            <w:r>
              <w:rPr>
                <w:rFonts w:hint="eastAsia"/>
              </w:rPr>
              <w:t>南厂房</w:t>
            </w:r>
            <w:r>
              <w:t>西南侧</w:t>
            </w:r>
            <w:r>
              <w:rPr>
                <w:rFonts w:hint="eastAsia"/>
              </w:rPr>
              <w:t>，</w:t>
            </w:r>
            <w:r>
              <w:t>面积</w:t>
            </w:r>
            <w:r>
              <w:rPr>
                <w:rFonts w:hint="eastAsia"/>
              </w:rPr>
              <w:t>135</w:t>
            </w:r>
            <w:r>
              <w:t>m</w:t>
            </w:r>
            <w:r>
              <w:rPr>
                <w:vertAlign w:val="superscript"/>
              </w:rPr>
              <w:t>2</w:t>
            </w:r>
            <w:r>
              <w:t>，配套建设</w:t>
            </w:r>
            <w:r>
              <w:rPr>
                <w:rFonts w:hint="eastAsia"/>
              </w:rPr>
              <w:t>软水</w:t>
            </w:r>
            <w:r>
              <w:t>处理系统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restart"/>
            <w:vAlign w:val="center"/>
          </w:tcPr>
          <w:p>
            <w:pPr>
              <w:pStyle w:val="48"/>
            </w:pPr>
            <w:r>
              <w:rPr>
                <w:rFonts w:hAnsi="宋体"/>
              </w:rPr>
              <w:t>环保工程</w:t>
            </w:r>
          </w:p>
        </w:tc>
        <w:tc>
          <w:tcPr>
            <w:tcW w:w="568" w:type="dxa"/>
            <w:vMerge w:val="restart"/>
            <w:vAlign w:val="center"/>
          </w:tcPr>
          <w:p>
            <w:pPr>
              <w:pStyle w:val="48"/>
            </w:pPr>
            <w:r>
              <w:rPr>
                <w:rFonts w:hAnsi="宋体"/>
              </w:rPr>
              <w:t>废气</w:t>
            </w:r>
          </w:p>
        </w:tc>
        <w:tc>
          <w:tcPr>
            <w:tcW w:w="850" w:type="dxa"/>
            <w:vMerge w:val="restart"/>
            <w:vAlign w:val="center"/>
          </w:tcPr>
          <w:p>
            <w:pPr>
              <w:pStyle w:val="48"/>
            </w:pPr>
            <w:r>
              <w:rPr>
                <w:rFonts w:hint="eastAsia"/>
              </w:rPr>
              <w:t>粉尘</w:t>
            </w:r>
          </w:p>
        </w:tc>
        <w:tc>
          <w:tcPr>
            <w:tcW w:w="709" w:type="dxa"/>
            <w:vAlign w:val="center"/>
          </w:tcPr>
          <w:p>
            <w:pPr>
              <w:pStyle w:val="48"/>
            </w:pPr>
            <w:r>
              <w:rPr>
                <w:rFonts w:hint="eastAsia"/>
              </w:rPr>
              <w:t>初清</w:t>
            </w:r>
          </w:p>
        </w:tc>
        <w:tc>
          <w:tcPr>
            <w:tcW w:w="5652" w:type="dxa"/>
            <w:vAlign w:val="center"/>
          </w:tcPr>
          <w:p>
            <w:pPr>
              <w:pStyle w:val="48"/>
            </w:pPr>
            <w:r>
              <w:rPr>
                <w:rFonts w:hint="eastAsia"/>
              </w:rPr>
              <w:t>1套旋风</w:t>
            </w:r>
            <w:r>
              <w:t>收尘</w:t>
            </w:r>
            <w:r>
              <w:rPr>
                <w:rFonts w:hint="eastAsia"/>
              </w:rPr>
              <w:t>+布袋除尘器处理后+15</w:t>
            </w:r>
            <w:r>
              <w:t>m排气排放</w:t>
            </w:r>
            <w:r>
              <w:rPr>
                <w:rFonts w:hint="eastAsia"/>
              </w:rPr>
              <w:t>（P1）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rPr>
            </w:pPr>
          </w:p>
        </w:tc>
        <w:tc>
          <w:tcPr>
            <w:tcW w:w="568" w:type="dxa"/>
            <w:vMerge w:val="continue"/>
            <w:vAlign w:val="center"/>
          </w:tcPr>
          <w:p>
            <w:pPr>
              <w:pStyle w:val="48"/>
              <w:rPr>
                <w:rFonts w:hAnsi="宋体"/>
              </w:rPr>
            </w:pPr>
          </w:p>
        </w:tc>
        <w:tc>
          <w:tcPr>
            <w:tcW w:w="850" w:type="dxa"/>
            <w:vMerge w:val="continue"/>
            <w:vAlign w:val="center"/>
          </w:tcPr>
          <w:p>
            <w:pPr>
              <w:pStyle w:val="48"/>
            </w:pPr>
          </w:p>
        </w:tc>
        <w:tc>
          <w:tcPr>
            <w:tcW w:w="709" w:type="dxa"/>
            <w:vAlign w:val="center"/>
          </w:tcPr>
          <w:p>
            <w:pPr>
              <w:pStyle w:val="48"/>
            </w:pPr>
            <w:r>
              <w:rPr>
                <w:rFonts w:hint="eastAsia"/>
              </w:rPr>
              <w:t>粗粉</w:t>
            </w:r>
          </w:p>
        </w:tc>
        <w:tc>
          <w:tcPr>
            <w:tcW w:w="5652" w:type="dxa"/>
            <w:vAlign w:val="center"/>
          </w:tcPr>
          <w:p>
            <w:pPr>
              <w:pStyle w:val="48"/>
              <w:rPr>
                <w:rFonts w:hAnsi="宋体"/>
                <w:szCs w:val="21"/>
              </w:rPr>
            </w:pPr>
            <w:r>
              <w:rPr>
                <w:rFonts w:hint="eastAsia"/>
              </w:rPr>
              <w:t>1套旋风</w:t>
            </w:r>
            <w:r>
              <w:t>收尘</w:t>
            </w:r>
            <w:r>
              <w:rPr>
                <w:rFonts w:hint="eastAsia"/>
              </w:rPr>
              <w:t>+布袋除尘器处理后+15</w:t>
            </w:r>
            <w:r>
              <w:t>m排气排放</w:t>
            </w:r>
            <w:r>
              <w:rPr>
                <w:rFonts w:hint="eastAsia"/>
              </w:rPr>
              <w:t>（P</w:t>
            </w:r>
            <w:r>
              <w:t>2</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rPr>
            </w:pPr>
          </w:p>
        </w:tc>
        <w:tc>
          <w:tcPr>
            <w:tcW w:w="568" w:type="dxa"/>
            <w:vMerge w:val="continue"/>
            <w:vAlign w:val="center"/>
          </w:tcPr>
          <w:p>
            <w:pPr>
              <w:pStyle w:val="48"/>
              <w:rPr>
                <w:rFonts w:hAnsi="宋体"/>
              </w:rPr>
            </w:pPr>
          </w:p>
        </w:tc>
        <w:tc>
          <w:tcPr>
            <w:tcW w:w="850" w:type="dxa"/>
            <w:vMerge w:val="continue"/>
            <w:vAlign w:val="center"/>
          </w:tcPr>
          <w:p>
            <w:pPr>
              <w:pStyle w:val="48"/>
            </w:pPr>
          </w:p>
        </w:tc>
        <w:tc>
          <w:tcPr>
            <w:tcW w:w="709" w:type="dxa"/>
            <w:vAlign w:val="center"/>
          </w:tcPr>
          <w:p>
            <w:pPr>
              <w:pStyle w:val="48"/>
            </w:pPr>
            <w:r>
              <w:rPr>
                <w:rFonts w:hint="eastAsia"/>
              </w:rPr>
              <w:t>微粉</w:t>
            </w:r>
          </w:p>
        </w:tc>
        <w:tc>
          <w:tcPr>
            <w:tcW w:w="5652" w:type="dxa"/>
            <w:vAlign w:val="center"/>
          </w:tcPr>
          <w:p>
            <w:pPr>
              <w:pStyle w:val="48"/>
              <w:jc w:val="both"/>
              <w:rPr>
                <w:rFonts w:hAnsi="宋体"/>
                <w:szCs w:val="21"/>
              </w:rPr>
            </w:pPr>
            <w:r>
              <w:t>2</w:t>
            </w:r>
            <w:r>
              <w:rPr>
                <w:rFonts w:hint="eastAsia"/>
              </w:rPr>
              <w:t>套旋风</w:t>
            </w:r>
            <w:r>
              <w:t>收尘</w:t>
            </w:r>
            <w:r>
              <w:rPr>
                <w:rFonts w:hint="eastAsia"/>
              </w:rPr>
              <w:t>+布袋除尘器处理后+15</w:t>
            </w:r>
            <w:r>
              <w:t>m排气排放</w:t>
            </w:r>
            <w:r>
              <w:rPr>
                <w:rFonts w:hint="eastAsia"/>
              </w:rPr>
              <w:t>（P</w:t>
            </w:r>
            <w:r>
              <w:t>3</w:t>
            </w:r>
            <w:r>
              <w:rPr>
                <w:rFonts w:hint="eastAsia"/>
              </w:rPr>
              <w:t>、</w:t>
            </w:r>
            <w:r>
              <w:t>P4</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rPr>
                <w:rFonts w:hAnsi="宋体"/>
              </w:rPr>
            </w:pPr>
          </w:p>
        </w:tc>
        <w:tc>
          <w:tcPr>
            <w:tcW w:w="568" w:type="dxa"/>
            <w:vMerge w:val="continue"/>
            <w:vAlign w:val="center"/>
          </w:tcPr>
          <w:p>
            <w:pPr>
              <w:pStyle w:val="48"/>
              <w:rPr>
                <w:rFonts w:hAnsi="宋体"/>
              </w:rPr>
            </w:pPr>
          </w:p>
        </w:tc>
        <w:tc>
          <w:tcPr>
            <w:tcW w:w="1559" w:type="dxa"/>
            <w:gridSpan w:val="2"/>
            <w:vAlign w:val="center"/>
          </w:tcPr>
          <w:p>
            <w:pPr>
              <w:pStyle w:val="48"/>
            </w:pPr>
            <w:r>
              <w:rPr>
                <w:rFonts w:hint="eastAsia"/>
              </w:rPr>
              <w:t>甲醇</w:t>
            </w:r>
            <w:r>
              <w:t>回收废气</w:t>
            </w:r>
          </w:p>
        </w:tc>
        <w:tc>
          <w:tcPr>
            <w:tcW w:w="5652" w:type="dxa"/>
            <w:vAlign w:val="center"/>
          </w:tcPr>
          <w:p>
            <w:pPr>
              <w:pStyle w:val="48"/>
            </w:pPr>
            <w:r>
              <w:rPr>
                <w:rFonts w:hint="eastAsia"/>
              </w:rPr>
              <w:t>冷冻</w:t>
            </w:r>
            <w:r>
              <w:t>回收</w:t>
            </w:r>
            <w:r>
              <w:rPr>
                <w:rFonts w:hint="eastAsia"/>
              </w:rPr>
              <w:t>+15</w:t>
            </w:r>
            <w:r>
              <w:t>m排气筒排放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2127" w:type="dxa"/>
            <w:gridSpan w:val="3"/>
            <w:vAlign w:val="center"/>
          </w:tcPr>
          <w:p>
            <w:pPr>
              <w:pStyle w:val="48"/>
            </w:pPr>
            <w:r>
              <w:rPr>
                <w:rFonts w:hAnsi="宋体"/>
              </w:rPr>
              <w:t>废水</w:t>
            </w:r>
          </w:p>
        </w:tc>
        <w:tc>
          <w:tcPr>
            <w:tcW w:w="5652" w:type="dxa"/>
            <w:vAlign w:val="center"/>
          </w:tcPr>
          <w:p>
            <w:pPr>
              <w:pStyle w:val="48"/>
            </w:pPr>
            <w:r>
              <w:rPr>
                <w:rFonts w:hint="eastAsia" w:hAnsi="宋体"/>
                <w:szCs w:val="21"/>
              </w:rPr>
              <w:t>生产过程</w:t>
            </w:r>
            <w:r>
              <w:rPr>
                <w:rFonts w:hAnsi="宋体"/>
                <w:szCs w:val="21"/>
              </w:rPr>
              <w:t>中无废水外排，</w:t>
            </w:r>
            <w:r>
              <w:rPr>
                <w:rFonts w:hint="eastAsia" w:hAnsi="宋体"/>
                <w:szCs w:val="21"/>
              </w:rPr>
              <w:t>生活污水</w:t>
            </w:r>
            <w:r>
              <w:rPr>
                <w:rFonts w:hAnsi="宋体"/>
                <w:szCs w:val="21"/>
              </w:rPr>
              <w:t>经化粪池处理后排入吕河镇污水处理厂处理，锅炉排污水</w:t>
            </w:r>
            <w:r>
              <w:rPr>
                <w:rFonts w:hint="eastAsia" w:hAnsi="宋体"/>
                <w:szCs w:val="21"/>
              </w:rPr>
              <w:t>和软水</w:t>
            </w:r>
            <w:r>
              <w:rPr>
                <w:rFonts w:hAnsi="宋体"/>
                <w:szCs w:val="21"/>
              </w:rPr>
              <w:t>制备系统浓水排入雨水管网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2127" w:type="dxa"/>
            <w:gridSpan w:val="3"/>
            <w:vAlign w:val="center"/>
          </w:tcPr>
          <w:p>
            <w:pPr>
              <w:pStyle w:val="48"/>
            </w:pPr>
            <w:r>
              <w:rPr>
                <w:rFonts w:hAnsi="宋体"/>
              </w:rPr>
              <w:t>噪声</w:t>
            </w:r>
          </w:p>
        </w:tc>
        <w:tc>
          <w:tcPr>
            <w:tcW w:w="5652" w:type="dxa"/>
            <w:vAlign w:val="center"/>
          </w:tcPr>
          <w:p>
            <w:pPr>
              <w:pStyle w:val="48"/>
            </w:pPr>
            <w:r>
              <w:rPr>
                <w:rFonts w:hAnsi="宋体"/>
              </w:rPr>
              <w:t>选用低噪声设备，基础安装减振垫，隔声等措施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568" w:type="dxa"/>
            <w:vMerge w:val="restart"/>
            <w:vAlign w:val="center"/>
          </w:tcPr>
          <w:p>
            <w:pPr>
              <w:pStyle w:val="48"/>
            </w:pPr>
            <w:r>
              <w:rPr>
                <w:rFonts w:hAnsi="宋体"/>
              </w:rPr>
              <w:t>固废</w:t>
            </w:r>
          </w:p>
        </w:tc>
        <w:tc>
          <w:tcPr>
            <w:tcW w:w="1559" w:type="dxa"/>
            <w:gridSpan w:val="2"/>
            <w:vAlign w:val="center"/>
          </w:tcPr>
          <w:p>
            <w:pPr>
              <w:pStyle w:val="48"/>
              <w:rPr>
                <w:szCs w:val="21"/>
              </w:rPr>
            </w:pPr>
            <w:r>
              <w:rPr>
                <w:rFonts w:hint="eastAsia"/>
                <w:szCs w:val="21"/>
              </w:rPr>
              <w:t>废渣</w:t>
            </w:r>
          </w:p>
        </w:tc>
        <w:tc>
          <w:tcPr>
            <w:tcW w:w="5652" w:type="dxa"/>
            <w:vAlign w:val="center"/>
          </w:tcPr>
          <w:p>
            <w:pPr>
              <w:pStyle w:val="48"/>
              <w:rPr>
                <w:szCs w:val="21"/>
              </w:rPr>
            </w:pPr>
            <w:r>
              <w:rPr>
                <w:rFonts w:hint="eastAsia"/>
                <w:szCs w:val="21"/>
              </w:rPr>
              <w:t>集中</w:t>
            </w:r>
            <w:r>
              <w:rPr>
                <w:szCs w:val="21"/>
              </w:rPr>
              <w:t>收集后外售综合利用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568" w:type="dxa"/>
            <w:vMerge w:val="continue"/>
            <w:vAlign w:val="center"/>
          </w:tcPr>
          <w:p>
            <w:pPr>
              <w:pStyle w:val="48"/>
            </w:pPr>
          </w:p>
        </w:tc>
        <w:tc>
          <w:tcPr>
            <w:tcW w:w="1559" w:type="dxa"/>
            <w:gridSpan w:val="2"/>
            <w:vAlign w:val="center"/>
          </w:tcPr>
          <w:p>
            <w:pPr>
              <w:pStyle w:val="48"/>
              <w:rPr>
                <w:szCs w:val="21"/>
              </w:rPr>
            </w:pPr>
            <w:r>
              <w:rPr>
                <w:rFonts w:hint="eastAsia"/>
                <w:szCs w:val="21"/>
              </w:rPr>
              <w:t>废</w:t>
            </w:r>
            <w:r>
              <w:rPr>
                <w:szCs w:val="21"/>
              </w:rPr>
              <w:t>含油抹布</w:t>
            </w:r>
          </w:p>
        </w:tc>
        <w:tc>
          <w:tcPr>
            <w:tcW w:w="5652" w:type="dxa"/>
            <w:vAlign w:val="center"/>
          </w:tcPr>
          <w:p>
            <w:pPr>
              <w:pStyle w:val="48"/>
              <w:rPr>
                <w:szCs w:val="21"/>
              </w:rPr>
            </w:pPr>
            <w:r>
              <w:rPr>
                <w:rFonts w:hint="eastAsia"/>
                <w:szCs w:val="21"/>
              </w:rPr>
              <w:t>设置</w:t>
            </w:r>
            <w:r>
              <w:rPr>
                <w:szCs w:val="21"/>
              </w:rPr>
              <w:t>危险废物暂存间，</w:t>
            </w:r>
            <w:r>
              <w:rPr>
                <w:rFonts w:hint="eastAsia"/>
                <w:szCs w:val="21"/>
              </w:rPr>
              <w:t>定期</w:t>
            </w:r>
            <w:r>
              <w:rPr>
                <w:szCs w:val="21"/>
              </w:rPr>
              <w:t>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568" w:type="dxa"/>
            <w:vMerge w:val="continue"/>
            <w:vAlign w:val="center"/>
          </w:tcPr>
          <w:p>
            <w:pPr>
              <w:pStyle w:val="48"/>
            </w:pPr>
          </w:p>
        </w:tc>
        <w:tc>
          <w:tcPr>
            <w:tcW w:w="1559" w:type="dxa"/>
            <w:gridSpan w:val="2"/>
            <w:vAlign w:val="center"/>
          </w:tcPr>
          <w:p>
            <w:pPr>
              <w:pStyle w:val="48"/>
              <w:rPr>
                <w:szCs w:val="21"/>
              </w:rPr>
            </w:pPr>
            <w:r>
              <w:rPr>
                <w:rFonts w:hint="eastAsia"/>
                <w:szCs w:val="21"/>
              </w:rPr>
              <w:t>废</w:t>
            </w:r>
            <w:r>
              <w:rPr>
                <w:szCs w:val="21"/>
              </w:rPr>
              <w:t>活性炭</w:t>
            </w:r>
          </w:p>
        </w:tc>
        <w:tc>
          <w:tcPr>
            <w:tcW w:w="5652" w:type="dxa"/>
            <w:vAlign w:val="center"/>
          </w:tcPr>
          <w:p>
            <w:pPr>
              <w:pStyle w:val="48"/>
              <w:rPr>
                <w:szCs w:val="21"/>
              </w:rPr>
            </w:pPr>
            <w:r>
              <w:rPr>
                <w:rFonts w:hint="eastAsia"/>
                <w:szCs w:val="21"/>
              </w:rPr>
              <w:t>设置</w:t>
            </w:r>
            <w:r>
              <w:rPr>
                <w:szCs w:val="21"/>
              </w:rPr>
              <w:t>危险废物暂存间，</w:t>
            </w:r>
            <w:r>
              <w:rPr>
                <w:rFonts w:hint="eastAsia"/>
                <w:szCs w:val="21"/>
              </w:rPr>
              <w:t>定期</w:t>
            </w:r>
            <w:r>
              <w:rPr>
                <w:szCs w:val="21"/>
              </w:rPr>
              <w:t>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549" w:type="dxa"/>
            <w:vAlign w:val="center"/>
          </w:tcPr>
          <w:p>
            <w:pPr>
              <w:pStyle w:val="48"/>
              <w:numPr>
                <w:ilvl w:val="0"/>
                <w:numId w:val="10"/>
              </w:numPr>
            </w:pPr>
          </w:p>
        </w:tc>
        <w:tc>
          <w:tcPr>
            <w:tcW w:w="712" w:type="dxa"/>
            <w:vMerge w:val="continue"/>
            <w:vAlign w:val="center"/>
          </w:tcPr>
          <w:p>
            <w:pPr>
              <w:pStyle w:val="48"/>
            </w:pPr>
          </w:p>
        </w:tc>
        <w:tc>
          <w:tcPr>
            <w:tcW w:w="568" w:type="dxa"/>
            <w:vMerge w:val="continue"/>
            <w:vAlign w:val="center"/>
          </w:tcPr>
          <w:p>
            <w:pPr>
              <w:pStyle w:val="48"/>
            </w:pPr>
          </w:p>
        </w:tc>
        <w:tc>
          <w:tcPr>
            <w:tcW w:w="1559" w:type="dxa"/>
            <w:gridSpan w:val="2"/>
            <w:vAlign w:val="center"/>
          </w:tcPr>
          <w:p>
            <w:pPr>
              <w:pStyle w:val="48"/>
              <w:rPr>
                <w:szCs w:val="21"/>
              </w:rPr>
            </w:pPr>
            <w:r>
              <w:rPr>
                <w:rFonts w:hAnsi="宋体"/>
                <w:szCs w:val="21"/>
              </w:rPr>
              <w:t>生活垃圾</w:t>
            </w:r>
          </w:p>
        </w:tc>
        <w:tc>
          <w:tcPr>
            <w:tcW w:w="5652" w:type="dxa"/>
            <w:vAlign w:val="center"/>
          </w:tcPr>
          <w:p>
            <w:pPr>
              <w:pStyle w:val="48"/>
              <w:rPr>
                <w:szCs w:val="21"/>
              </w:rPr>
            </w:pPr>
            <w:r>
              <w:rPr>
                <w:rFonts w:hAnsi="宋体"/>
                <w:szCs w:val="21"/>
              </w:rPr>
              <w:t>收集后</w:t>
            </w:r>
            <w:r>
              <w:rPr>
                <w:rFonts w:hint="eastAsia" w:hAnsi="宋体"/>
                <w:szCs w:val="21"/>
              </w:rPr>
              <w:t>由</w:t>
            </w:r>
            <w:r>
              <w:rPr>
                <w:rFonts w:hAnsi="宋体"/>
                <w:szCs w:val="21"/>
              </w:rPr>
              <w:t>环卫部门统一清运</w:t>
            </w:r>
          </w:p>
        </w:tc>
      </w:tr>
    </w:tbl>
    <w:p>
      <w:pPr>
        <w:pStyle w:val="4"/>
      </w:pPr>
      <w:r>
        <w:rPr>
          <w:rFonts w:hint="eastAsia"/>
        </w:rPr>
        <w:t>项目</w:t>
      </w:r>
      <w:r>
        <w:t>中试方案</w:t>
      </w:r>
    </w:p>
    <w:p>
      <w:pPr>
        <w:ind w:firstLine="480"/>
      </w:pPr>
      <w:r>
        <w:rPr>
          <w:rFonts w:hint="eastAsia"/>
        </w:rPr>
        <w:t>（一）试验目的</w:t>
      </w:r>
    </w:p>
    <w:p>
      <w:pPr>
        <w:ind w:firstLine="480"/>
      </w:pPr>
      <w:r>
        <w:rPr>
          <w:rFonts w:hint="eastAsia"/>
        </w:rPr>
        <w:t>1、扩大投料量后，设备的稳定性、设备各处是否有瓶颈口、各设备的温度压力与小试是否有区别、固液配比、提取时间是否有变化，各种消耗品与产品产出的比例关系。</w:t>
      </w:r>
    </w:p>
    <w:p>
      <w:pPr>
        <w:ind w:firstLine="480"/>
      </w:pPr>
      <w:r>
        <w:rPr>
          <w:rFonts w:hint="eastAsia"/>
        </w:rPr>
        <w:t>2、检测酸解后的废水COD的含量及调整浓度后，是否能循环使用。</w:t>
      </w:r>
    </w:p>
    <w:p>
      <w:pPr>
        <w:ind w:firstLine="480"/>
      </w:pPr>
      <w:r>
        <w:rPr>
          <w:rFonts w:hint="eastAsia"/>
        </w:rPr>
        <w:t>3、设备放大后，产品的出品率是否有变化，产品质量是否稳定和达标。</w:t>
      </w:r>
    </w:p>
    <w:p>
      <w:pPr>
        <w:ind w:firstLine="480"/>
      </w:pPr>
      <w:r>
        <w:rPr>
          <w:rFonts w:hint="eastAsia"/>
        </w:rPr>
        <w:t>（二）中试规模及时间</w:t>
      </w:r>
    </w:p>
    <w:p>
      <w:pPr>
        <w:ind w:firstLine="480"/>
      </w:pPr>
      <w:r>
        <w:rPr>
          <w:rFonts w:hint="eastAsia"/>
        </w:rPr>
        <w:t>参照小试模型，放大10倍产能和设备选型，建设日产100kg-200kg中试模型一套。中试时间为2021年12月-2022年5月。</w:t>
      </w:r>
    </w:p>
    <w:p>
      <w:pPr>
        <w:ind w:firstLine="480"/>
      </w:pPr>
      <w:r>
        <w:rPr>
          <w:rFonts w:hint="eastAsia"/>
        </w:rPr>
        <w:t>（三）中试研究试验设计方案</w:t>
      </w:r>
    </w:p>
    <w:p>
      <w:pPr>
        <w:ind w:firstLine="480"/>
      </w:pPr>
      <w:r>
        <w:rPr>
          <w:rFonts w:hint="eastAsia"/>
        </w:rPr>
        <w:t>依据小试已得出的最佳工艺参数，设置中试研究工艺前处理、破壁、醇提、酸解、醚提和结晶工段中颗粒度、压力、固液比、温度、时间、精滤度等14个指标，每个指标设置5个变化参数，分工段进行试验研究，最终得出最佳工艺参数条件。项目</w:t>
      </w:r>
      <w:r>
        <w:t>指标设计表见表</w:t>
      </w:r>
      <w:r>
        <w:rPr>
          <w:rFonts w:hint="eastAsia"/>
        </w:rPr>
        <w:t>3.1-2。</w:t>
      </w:r>
    </w:p>
    <w:p>
      <w:pPr>
        <w:ind w:firstLine="480"/>
      </w:pPr>
      <w:r>
        <w:rPr>
          <w:rFonts w:hint="eastAsia"/>
        </w:rPr>
        <w:t>1、中试研究内容</w:t>
      </w:r>
    </w:p>
    <w:p>
      <w:pPr>
        <w:ind w:firstLine="482"/>
        <w:rPr>
          <w:b/>
          <w:bCs/>
        </w:rPr>
      </w:pPr>
      <w:r>
        <w:rPr>
          <w:rFonts w:hint="eastAsia"/>
          <w:b/>
          <w:bCs/>
        </w:rPr>
        <w:t>试验一：前处理工段颗粒度试验</w:t>
      </w:r>
    </w:p>
    <w:p>
      <w:pPr>
        <w:ind w:firstLine="480"/>
      </w:pPr>
      <w:r>
        <w:rPr>
          <w:rFonts w:hint="eastAsia"/>
        </w:rPr>
        <w:t>试验设计：</w:t>
      </w:r>
    </w:p>
    <w:p>
      <w:pPr>
        <w:ind w:firstLine="480"/>
      </w:pPr>
      <w:r>
        <w:rPr>
          <w:rFonts w:hint="eastAsia"/>
        </w:rPr>
        <w:t>（1）按照150目规格进行微粉，后续工段参数分别按照①破壁压力（Mpa）150，醇提固液比1:2，温度30℃，时间60min，精滤度1400目，酸解工段酸度3%、温度90℃、压力1.5Mpa、时间80min，醚提工段固液比1:2、温度30℃、时间60min，结晶时间24h；②破壁压力170Mpa，醇提固液比1:2.5，温度35℃，时间80min，精滤度1600目，酸解工段酸度4%、温度100℃、压力1.7Mpa、时间90min，醚提工段固液比1:2.5、温度35℃、时间80min，结晶时间36h；③破壁压力190Mpa，醇提固液比1:3，温度40℃，时间100min，精滤度1800目，酸解工段酸度5%、温度110℃、压力1.9Mpa、时间100min，醚提工段固液比1:3、温度40℃、时间100min，结晶时间48h；④破壁压力210Mpa，醇提固液比1:3.5，温度45℃，时间120min，精滤度2000目，酸解工段酸度6%、温度120℃、压力2.1Mpa、时间110min，醚提工段固液比1:3.5、温度45℃、时间120min，结晶时间60h；⑤破壁压力230Mpa，醇提固液比1:4，温度50℃，时间140min，精滤度2200目，酸解工段酸度7%、温度130℃、压力2.3Mpa、时间120min，醚提工段固液比1:4、温度50℃、时间140min，结晶时间72h；控制，各重复试验10次。</w:t>
      </w:r>
    </w:p>
    <w:p>
      <w:pPr>
        <w:ind w:firstLine="480"/>
      </w:pPr>
      <w:r>
        <w:rPr>
          <w:rFonts w:hint="eastAsia"/>
        </w:rPr>
        <w:t>（2）按照200目规格进行微粉，后续工段参数分别按照试验设计表格中选取的参数各进行一次比对试验，每次比对重复试验10次。</w:t>
      </w:r>
    </w:p>
    <w:p>
      <w:pPr>
        <w:ind w:firstLine="480"/>
      </w:pPr>
      <w:r>
        <w:rPr>
          <w:rFonts w:hint="eastAsia"/>
        </w:rPr>
        <w:t>（3）按照250目规格进行微粉，后续工段参数分别按照试验设计表格中选取的参数各进行一次比对试验，每次比对重复试验10次。</w:t>
      </w:r>
    </w:p>
    <w:p>
      <w:pPr>
        <w:ind w:firstLine="480"/>
      </w:pPr>
      <w:r>
        <w:rPr>
          <w:rFonts w:hint="eastAsia"/>
        </w:rPr>
        <w:t>（4）按照300目规格进行微粉，后续工段参数分别按照试验设计表格中选取的参数各进行一次比对试验，每次比对重复试验10次。</w:t>
      </w:r>
    </w:p>
    <w:p>
      <w:pPr>
        <w:ind w:firstLine="480"/>
      </w:pPr>
      <w:r>
        <w:rPr>
          <w:rFonts w:hint="eastAsia"/>
        </w:rPr>
        <w:t>（5）按照350目规格进行微粉，后续工段参数分别按照试验设计表格中选取的参数各进行一次比对试验，每次比对重复试验10次。</w:t>
      </w:r>
    </w:p>
    <w:p>
      <w:pPr>
        <w:ind w:firstLine="480"/>
      </w:pPr>
      <w:r>
        <w:rPr>
          <w:rFonts w:hint="eastAsia"/>
        </w:rPr>
        <w:t>结果比对：</w:t>
      </w:r>
    </w:p>
    <w:p>
      <w:pPr>
        <w:ind w:firstLine="480"/>
      </w:pPr>
      <w:r>
        <w:rPr>
          <w:rFonts w:hint="eastAsia"/>
        </w:rPr>
        <w:t>（1）分别称取试验原材料、成品重量，计算出品率。</w:t>
      </w:r>
    </w:p>
    <w:p>
      <w:pPr>
        <w:ind w:firstLine="480"/>
      </w:pPr>
      <w:r>
        <w:rPr>
          <w:rFonts w:hint="eastAsia"/>
        </w:rPr>
        <w:t>（2）分析微粉目数变化对出品率的影响，选取最佳微粉参数。</w:t>
      </w:r>
    </w:p>
    <w:p>
      <w:pPr>
        <w:ind w:firstLine="480"/>
      </w:pPr>
      <w:r>
        <w:rPr>
          <w:rFonts w:hint="eastAsia"/>
        </w:rPr>
        <w:t>（3）对产品样品总数的20-30%比例抽样内检，按样品总数的2-5%比例抽样外检，检测产品色泽、含水量、熔点、有无机械杂质、是否合格。</w:t>
      </w:r>
    </w:p>
    <w:p>
      <w:pPr>
        <w:ind w:firstLine="482"/>
        <w:rPr>
          <w:b/>
          <w:bCs/>
        </w:rPr>
      </w:pPr>
      <w:r>
        <w:rPr>
          <w:rFonts w:hint="eastAsia"/>
          <w:b/>
          <w:bCs/>
        </w:rPr>
        <w:t>试验二：破壁工段压力试验</w:t>
      </w:r>
    </w:p>
    <w:p>
      <w:pPr>
        <w:ind w:firstLine="480"/>
      </w:pPr>
      <w:r>
        <w:rPr>
          <w:rFonts w:hint="eastAsia"/>
        </w:rPr>
        <w:t>试验设计：控制试验一得出的前处理工段最佳颗粒度参数不变，分别选取破壁压力为150、170、190、210、230Mpa，分别与后续工段参数各进行一次比对试验，每次比对重复试验10次。</w:t>
      </w:r>
    </w:p>
    <w:p>
      <w:pPr>
        <w:ind w:firstLine="480"/>
      </w:pPr>
      <w:r>
        <w:rPr>
          <w:rFonts w:hint="eastAsia"/>
        </w:rPr>
        <w:t>结果比对：分析破壁工段压力对出品率的影响，选取最佳参数，其他同上。</w:t>
      </w:r>
    </w:p>
    <w:p>
      <w:pPr>
        <w:ind w:firstLine="482"/>
        <w:rPr>
          <w:b/>
          <w:bCs/>
        </w:rPr>
      </w:pPr>
      <w:r>
        <w:rPr>
          <w:rFonts w:hint="eastAsia"/>
          <w:b/>
          <w:bCs/>
        </w:rPr>
        <w:t>试验三：醇提工段固液比试验</w:t>
      </w:r>
    </w:p>
    <w:p>
      <w:pPr>
        <w:ind w:firstLine="480"/>
      </w:pPr>
      <w:r>
        <w:rPr>
          <w:rFonts w:hint="eastAsia"/>
        </w:rPr>
        <w:t>试验设计：控制试验一、试验二得出的前处理工段颗粒度、破壁工段压力的最佳参数不变，分别选取固液比为1:2、1:2.5、1:3、1:3.5和1:4，分别与后续工段参数各进行一次比对试验，每次比对重复试验10次。</w:t>
      </w:r>
    </w:p>
    <w:p>
      <w:pPr>
        <w:ind w:firstLine="480"/>
      </w:pPr>
      <w:r>
        <w:rPr>
          <w:rFonts w:hint="eastAsia"/>
        </w:rPr>
        <w:t>结果比对：分析醇提工段固液比对后续工艺和产品出品率的影响，选取最佳参数，其他同上。</w:t>
      </w:r>
    </w:p>
    <w:p>
      <w:pPr>
        <w:ind w:firstLine="482"/>
        <w:rPr>
          <w:b/>
          <w:bCs/>
        </w:rPr>
      </w:pPr>
      <w:r>
        <w:rPr>
          <w:rFonts w:hint="eastAsia"/>
          <w:b/>
          <w:bCs/>
        </w:rPr>
        <w:t>试验四：醇提工段温度试验</w:t>
      </w:r>
    </w:p>
    <w:p>
      <w:pPr>
        <w:ind w:firstLine="480"/>
      </w:pPr>
      <w:r>
        <w:rPr>
          <w:rFonts w:hint="eastAsia"/>
        </w:rPr>
        <w:t>试验设计：控制试验一、试验二、试验三得出的前处理工段颗粒度、破壁工段压力、固液比的最佳参数不变，分别选取温度为30、35、40、45、50℃，分别与后续工段参数各进行一次比对试验，每次比对重复试验10次。</w:t>
      </w:r>
    </w:p>
    <w:p>
      <w:pPr>
        <w:ind w:firstLine="480"/>
      </w:pPr>
      <w:r>
        <w:rPr>
          <w:rFonts w:hint="eastAsia"/>
        </w:rPr>
        <w:t>结果比对：分析醇提工段温度对后续工艺和产品出品率的影响，选取最佳参数，其他同上。</w:t>
      </w:r>
    </w:p>
    <w:p>
      <w:pPr>
        <w:ind w:firstLine="482"/>
      </w:pPr>
      <w:r>
        <w:rPr>
          <w:rFonts w:hint="eastAsia"/>
          <w:b/>
          <w:bCs/>
        </w:rPr>
        <w:t>试验五：醇提工段时间试验</w:t>
      </w:r>
    </w:p>
    <w:p>
      <w:pPr>
        <w:ind w:firstLine="480"/>
      </w:pPr>
      <w:r>
        <w:rPr>
          <w:rFonts w:hint="eastAsia"/>
        </w:rPr>
        <w:t>试验设计：控制试验一至试验四得出的前处理工段颗粒度、破壁工段压力、固液比、温度的最佳参数不变，分别选取醇提时间为60、80、100、120、140min，分别与后续工段参数各进行一次比对试验，每次比对重复试验10次。</w:t>
      </w:r>
    </w:p>
    <w:p>
      <w:pPr>
        <w:ind w:firstLine="480"/>
      </w:pPr>
      <w:r>
        <w:rPr>
          <w:rFonts w:hint="eastAsia"/>
        </w:rPr>
        <w:t>结果比对：分析醇提工段时间对后续工艺和产品出品率的影响，选取最佳参数，其他同上。</w:t>
      </w:r>
    </w:p>
    <w:p>
      <w:pPr>
        <w:ind w:firstLine="482"/>
        <w:rPr>
          <w:b/>
          <w:bCs/>
        </w:rPr>
      </w:pPr>
      <w:r>
        <w:rPr>
          <w:rFonts w:hint="eastAsia"/>
          <w:b/>
          <w:bCs/>
        </w:rPr>
        <w:t>试验六：醇提工段精滤度试验</w:t>
      </w:r>
    </w:p>
    <w:p>
      <w:pPr>
        <w:ind w:firstLine="480"/>
      </w:pPr>
      <w:r>
        <w:rPr>
          <w:rFonts w:hint="eastAsia"/>
        </w:rPr>
        <w:t>试验设计：控制试验一至试验五得出的前处理工段颗粒度、破壁工段压力、固液比、温度、时间的最佳参数不变，分别选取精滤度为1400、1600、1800、2000、2200目，分别与后续工段参数各进行一次比对试验，每次比对重复试验10次。</w:t>
      </w:r>
    </w:p>
    <w:p>
      <w:pPr>
        <w:ind w:firstLine="480"/>
      </w:pPr>
      <w:r>
        <w:rPr>
          <w:rFonts w:hint="eastAsia"/>
        </w:rPr>
        <w:t>结果比对：分析醇提工段精滤度对后续工艺和产品出品率的影响，选取最佳参数，其他同上。</w:t>
      </w:r>
    </w:p>
    <w:p>
      <w:pPr>
        <w:ind w:firstLine="482"/>
        <w:rPr>
          <w:b/>
          <w:bCs/>
        </w:rPr>
      </w:pPr>
      <w:r>
        <w:rPr>
          <w:rFonts w:hint="eastAsia"/>
          <w:b/>
          <w:bCs/>
        </w:rPr>
        <w:t>试验七：酸解工段酸度试验</w:t>
      </w:r>
    </w:p>
    <w:p>
      <w:pPr>
        <w:ind w:firstLine="480"/>
      </w:pPr>
      <w:r>
        <w:rPr>
          <w:rFonts w:hint="eastAsia"/>
        </w:rPr>
        <w:t>试验设计：控制试验一至试验六得出的前处理工段颗粒度、破壁工段压力、固液比、温度、时间、精滤度的最佳参数不变，分别选取酸解工段酸度为3、4、5、6、7%，分别与后续工段参数各进行一次比对试验，每次比对重复试验10次。</w:t>
      </w:r>
    </w:p>
    <w:p>
      <w:pPr>
        <w:ind w:firstLine="480"/>
      </w:pPr>
      <w:r>
        <w:rPr>
          <w:rFonts w:hint="eastAsia"/>
        </w:rPr>
        <w:t>结果比对：分析酸解工段酸度对后续工艺和产品出品率的影响，选取最佳参数，其他同上。</w:t>
      </w:r>
    </w:p>
    <w:p>
      <w:pPr>
        <w:ind w:firstLine="482"/>
        <w:rPr>
          <w:b/>
          <w:bCs/>
        </w:rPr>
      </w:pPr>
      <w:r>
        <w:rPr>
          <w:rFonts w:hint="eastAsia"/>
          <w:b/>
          <w:bCs/>
        </w:rPr>
        <w:t>试验八：酸解工段温度试验</w:t>
      </w:r>
    </w:p>
    <w:p>
      <w:pPr>
        <w:ind w:firstLine="480"/>
      </w:pPr>
      <w:r>
        <w:rPr>
          <w:rFonts w:hint="eastAsia"/>
        </w:rPr>
        <w:t>试验设计：控制试验一至试验七得出的各指标最佳参数不变，分别选取酸解工段温度为90、100、110、120、130℃，分别与后续工段参数各进行一次比对试验，每次比对重复试验10次。</w:t>
      </w:r>
    </w:p>
    <w:p>
      <w:pPr>
        <w:ind w:firstLine="480"/>
      </w:pPr>
      <w:r>
        <w:rPr>
          <w:rFonts w:hint="eastAsia"/>
        </w:rPr>
        <w:t>结果比对：分析酸解工段温度对后续工艺和产品出品率的影响，选取最佳参数，其他同上。</w:t>
      </w:r>
    </w:p>
    <w:p>
      <w:pPr>
        <w:ind w:firstLine="482"/>
        <w:rPr>
          <w:b/>
          <w:bCs/>
        </w:rPr>
      </w:pPr>
      <w:r>
        <w:rPr>
          <w:rFonts w:hint="eastAsia"/>
          <w:b/>
          <w:bCs/>
        </w:rPr>
        <w:t>试验九：酸解工段压力试验</w:t>
      </w:r>
    </w:p>
    <w:p>
      <w:pPr>
        <w:ind w:firstLine="480"/>
      </w:pPr>
      <w:r>
        <w:rPr>
          <w:rFonts w:hint="eastAsia"/>
        </w:rPr>
        <w:t>试验设计：控制试验一至试验八得出的各指标最佳参数不变，分别选取酸解工段温度为1.5、1.7、1.9、2.1、2.3Mpa，分别与后续工段参数各进行一次比对试验，每次比对重复试验10次。</w:t>
      </w:r>
    </w:p>
    <w:p>
      <w:pPr>
        <w:ind w:firstLine="480"/>
      </w:pPr>
      <w:r>
        <w:rPr>
          <w:rFonts w:hint="eastAsia"/>
        </w:rPr>
        <w:t>结果比对：分析酸解工段压力对后续工艺和产品出品率的影响，选取最佳参数，其他同上。</w:t>
      </w:r>
    </w:p>
    <w:p>
      <w:pPr>
        <w:ind w:firstLine="482"/>
        <w:rPr>
          <w:b/>
          <w:bCs/>
        </w:rPr>
      </w:pPr>
      <w:r>
        <w:rPr>
          <w:rFonts w:hint="eastAsia"/>
          <w:b/>
          <w:bCs/>
        </w:rPr>
        <w:t>试验十：酸解工段时间试验</w:t>
      </w:r>
    </w:p>
    <w:p>
      <w:pPr>
        <w:ind w:firstLine="480"/>
      </w:pPr>
      <w:r>
        <w:rPr>
          <w:rFonts w:hint="eastAsia"/>
        </w:rPr>
        <w:t>试验设计：控制试验一至试验九得出的各指标最佳参数不变，分别选取酸解工段时间为80、90、100、110、120min，分别与后续工段参数各进行一次比对试验，每次比对重复试验10次。</w:t>
      </w:r>
    </w:p>
    <w:p>
      <w:pPr>
        <w:ind w:firstLine="480"/>
      </w:pPr>
      <w:r>
        <w:rPr>
          <w:rFonts w:hint="eastAsia"/>
        </w:rPr>
        <w:t>结果比对：分析酸解工段时间对后续工艺和产品出品率的影响，选取最佳参数，其他同上。</w:t>
      </w:r>
    </w:p>
    <w:p>
      <w:pPr>
        <w:ind w:firstLine="482"/>
        <w:rPr>
          <w:b/>
          <w:bCs/>
        </w:rPr>
      </w:pPr>
      <w:r>
        <w:rPr>
          <w:rFonts w:hint="eastAsia"/>
          <w:b/>
          <w:bCs/>
        </w:rPr>
        <w:t>试验十一：醚提工段固液比试验</w:t>
      </w:r>
    </w:p>
    <w:p>
      <w:pPr>
        <w:ind w:firstLine="480"/>
      </w:pPr>
      <w:r>
        <w:rPr>
          <w:rFonts w:hint="eastAsia"/>
        </w:rPr>
        <w:t>试验设计：控制试验一至试验十得出的各指标最佳参数不变，分别选取醚提工段固液比为1:2、1:2.5、1:3、1:3.5、1:4，分别与后续工段参数各进行一次比对试验，每次比对重复试验10次。</w:t>
      </w:r>
    </w:p>
    <w:p>
      <w:pPr>
        <w:ind w:firstLine="480"/>
      </w:pPr>
      <w:r>
        <w:rPr>
          <w:rFonts w:hint="eastAsia"/>
        </w:rPr>
        <w:t>结果比对：分析醚提工段固液比对后续工艺和产品出品率的影响，选取最佳参数，其他同上。</w:t>
      </w:r>
    </w:p>
    <w:p>
      <w:pPr>
        <w:ind w:firstLine="482"/>
        <w:rPr>
          <w:b/>
          <w:bCs/>
        </w:rPr>
      </w:pPr>
      <w:r>
        <w:rPr>
          <w:rFonts w:hint="eastAsia"/>
          <w:b/>
          <w:bCs/>
        </w:rPr>
        <w:t>试验十二：醚提工段温度试验</w:t>
      </w:r>
    </w:p>
    <w:p>
      <w:pPr>
        <w:ind w:firstLine="480"/>
      </w:pPr>
      <w:r>
        <w:rPr>
          <w:rFonts w:hint="eastAsia"/>
        </w:rPr>
        <w:t>试验设计：控制试验一至试验十一得出的各指标最佳参数不变，分别选取醚提工段温度为30、35、40、45、50℃，分别与后续工段参数各进行一次比对试验，每次比对重复试验10次。</w:t>
      </w:r>
    </w:p>
    <w:p>
      <w:pPr>
        <w:ind w:firstLine="480"/>
      </w:pPr>
      <w:r>
        <w:rPr>
          <w:rFonts w:hint="eastAsia"/>
        </w:rPr>
        <w:t>结果比对：分析醚提工段温度对后续工艺和产品出品率的影响，选取最佳参数，其他同上。</w:t>
      </w:r>
    </w:p>
    <w:p>
      <w:pPr>
        <w:ind w:firstLine="482"/>
        <w:rPr>
          <w:b/>
          <w:bCs/>
        </w:rPr>
      </w:pPr>
      <w:r>
        <w:rPr>
          <w:rFonts w:hint="eastAsia"/>
          <w:b/>
          <w:bCs/>
        </w:rPr>
        <w:t>试验十三：醚提工段时间试验</w:t>
      </w:r>
    </w:p>
    <w:p>
      <w:pPr>
        <w:ind w:firstLine="480"/>
      </w:pPr>
      <w:r>
        <w:rPr>
          <w:rFonts w:hint="eastAsia"/>
        </w:rPr>
        <w:t>试验设计：控制试验一至试验十二得出的各指标最佳参数不变，分别选取醚提工段时间为60、80、100、120、140min，分别与后续工段参数各进行一次比对试验，每次比对重复试验10次。</w:t>
      </w:r>
    </w:p>
    <w:p>
      <w:pPr>
        <w:ind w:firstLine="480"/>
      </w:pPr>
      <w:r>
        <w:rPr>
          <w:rFonts w:hint="eastAsia"/>
        </w:rPr>
        <w:t>结果比对：分析醚提工段时间对后续工艺和产品出品率的影响，选取最佳参数，其他同上。</w:t>
      </w:r>
    </w:p>
    <w:p>
      <w:pPr>
        <w:ind w:firstLine="482"/>
        <w:rPr>
          <w:b/>
          <w:bCs/>
        </w:rPr>
      </w:pPr>
      <w:r>
        <w:rPr>
          <w:rFonts w:hint="eastAsia"/>
          <w:b/>
          <w:bCs/>
        </w:rPr>
        <w:t>试验十四：结晶工段时间试验</w:t>
      </w:r>
    </w:p>
    <w:p>
      <w:pPr>
        <w:ind w:firstLine="480"/>
      </w:pPr>
      <w:r>
        <w:rPr>
          <w:rFonts w:hint="eastAsia"/>
        </w:rPr>
        <w:t>试验设计：控制试验一至试验十三得出的各指标最佳参数不变，分别选取醚提工段时间为24、36、48、60、72h，进行比对试验，每次比对重复试验10次。</w:t>
      </w:r>
    </w:p>
    <w:p>
      <w:pPr>
        <w:ind w:firstLine="480"/>
      </w:pPr>
      <w:r>
        <w:rPr>
          <w:rFonts w:hint="eastAsia"/>
        </w:rPr>
        <w:t>结果比对：分析结晶工段时间对产品质量的影响，选取最佳参数，其他同上。</w:t>
      </w:r>
    </w:p>
    <w:p>
      <w:pPr>
        <w:ind w:firstLine="482"/>
        <w:rPr>
          <w:b/>
          <w:bCs/>
        </w:rPr>
      </w:pPr>
      <w:r>
        <w:rPr>
          <w:rFonts w:hint="eastAsia"/>
          <w:b/>
          <w:bCs/>
        </w:rPr>
        <w:t>试验十五：废酸水循环利用比对试验</w:t>
      </w:r>
    </w:p>
    <w:p>
      <w:pPr>
        <w:ind w:firstLine="480"/>
      </w:pPr>
      <w:r>
        <w:rPr>
          <w:rFonts w:hint="eastAsia"/>
        </w:rPr>
        <w:t>试验设计：1、控制试验一至试验十四得出的各指标最佳参数不变，先进行一次试验。第二次试验时，将酸解废水进行处理，使用浓硫酸对酸解废水调整酸度，进行循环利用，重复10次。2、控制试验一至试验十四得出的各指标最佳参数不变，先进行一次试验。第二次试验时，直接使用新配比的稀硫酸进行酸解，重复10次。</w:t>
      </w:r>
    </w:p>
    <w:p>
      <w:pPr>
        <w:ind w:firstLine="480"/>
      </w:pPr>
      <w:r>
        <w:rPr>
          <w:rFonts w:hint="eastAsia"/>
        </w:rPr>
        <w:t>结果比对：分析酸解废水循环利用对出品率及产品质量的影响，确定是否对酸解废水进行循环使用。</w:t>
      </w:r>
    </w:p>
    <w:p>
      <w:pPr>
        <w:ind w:firstLine="482"/>
        <w:rPr>
          <w:b/>
          <w:bCs/>
        </w:rPr>
      </w:pPr>
      <w:r>
        <w:rPr>
          <w:rFonts w:hint="eastAsia"/>
          <w:b/>
          <w:bCs/>
        </w:rPr>
        <w:t>试验十六：综合性稳定试验</w:t>
      </w:r>
    </w:p>
    <w:p>
      <w:pPr>
        <w:ind w:firstLine="480"/>
      </w:pPr>
      <w:r>
        <w:rPr>
          <w:rFonts w:hint="eastAsia"/>
        </w:rPr>
        <w:t>选用试验一至十五分别得出的各工段关键指标的最佳参数值，进行综合性重复试验，重复次数不低于20次。</w:t>
      </w:r>
    </w:p>
    <w:p>
      <w:pPr>
        <w:ind w:firstLine="480"/>
      </w:pPr>
      <w:r>
        <w:rPr>
          <w:rFonts w:hint="eastAsia"/>
        </w:rPr>
        <w:t>结果比对：</w:t>
      </w:r>
    </w:p>
    <w:p>
      <w:pPr>
        <w:ind w:firstLine="480"/>
      </w:pPr>
      <w:r>
        <w:rPr>
          <w:rFonts w:hint="eastAsia"/>
        </w:rPr>
        <w:t>（1）分析在最佳参数情况下，设备的稳定性，各种消耗品与产品产出的稳定性。</w:t>
      </w:r>
    </w:p>
    <w:p>
      <w:pPr>
        <w:ind w:firstLine="480"/>
      </w:pPr>
      <w:r>
        <w:rPr>
          <w:rFonts w:hint="eastAsia"/>
        </w:rPr>
        <w:t>（2）再次分析酸解废水循环使用对出品率和产品质量的影响关系。</w:t>
      </w:r>
    </w:p>
    <w:p>
      <w:pPr>
        <w:ind w:firstLine="480"/>
      </w:pPr>
      <w:r>
        <w:rPr>
          <w:rFonts w:hint="eastAsia"/>
        </w:rPr>
        <w:t>（3）分析产品质量是否稳定和达标。</w:t>
      </w:r>
    </w:p>
    <w:p>
      <w:pPr>
        <w:ind w:firstLine="480"/>
      </w:pPr>
    </w:p>
    <w:p>
      <w:pPr>
        <w:ind w:firstLine="480"/>
      </w:pPr>
    </w:p>
    <w:p>
      <w:pPr>
        <w:ind w:firstLine="480"/>
      </w:pPr>
    </w:p>
    <w:p>
      <w:pPr>
        <w:ind w:firstLine="480"/>
      </w:pPr>
    </w:p>
    <w:p>
      <w:pPr>
        <w:ind w:firstLine="480"/>
        <w:rPr>
          <w:rFonts w:hint="eastAsia"/>
        </w:rPr>
        <w:sectPr>
          <w:headerReference r:id="rId20" w:type="default"/>
          <w:headerReference r:id="rId21" w:type="even"/>
          <w:type w:val="oddPage"/>
          <w:pgSz w:w="11906" w:h="16838"/>
          <w:pgMar w:top="1418" w:right="1418" w:bottom="1418" w:left="1418" w:header="992" w:footer="992" w:gutter="0"/>
          <w:pgNumType w:fmt="numberInDash"/>
          <w:cols w:space="425" w:num="1"/>
          <w:docGrid w:type="lines" w:linePitch="326" w:charSpace="0"/>
        </w:sectPr>
      </w:pPr>
    </w:p>
    <w:p>
      <w:pPr>
        <w:pStyle w:val="93"/>
      </w:pPr>
      <w:r>
        <w:rPr>
          <w:rFonts w:hint="eastAsia"/>
        </w:rPr>
        <w:t>表3.1-2</w:t>
      </w:r>
      <w:r>
        <w:t xml:space="preserve">  </w:t>
      </w:r>
      <w:r>
        <w:rPr>
          <w:rFonts w:hint="eastAsia"/>
        </w:rPr>
        <w:t>黄姜提取物研究基地项目中试研究指标表</w:t>
      </w:r>
    </w:p>
    <w:tbl>
      <w:tblPr>
        <w:tblStyle w:val="36"/>
        <w:tblW w:w="139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4"/>
        <w:gridCol w:w="846"/>
        <w:gridCol w:w="1122"/>
        <w:gridCol w:w="921"/>
        <w:gridCol w:w="865"/>
        <w:gridCol w:w="985"/>
        <w:gridCol w:w="921"/>
        <w:gridCol w:w="918"/>
        <w:gridCol w:w="846"/>
        <w:gridCol w:w="1021"/>
        <w:gridCol w:w="1038"/>
        <w:gridCol w:w="918"/>
        <w:gridCol w:w="921"/>
        <w:gridCol w:w="999"/>
        <w:gridCol w:w="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14" w:type="dxa"/>
            <w:vAlign w:val="center"/>
          </w:tcPr>
          <w:p>
            <w:pPr>
              <w:pStyle w:val="97"/>
            </w:pPr>
            <w:r>
              <w:rPr>
                <w:rFonts w:hint="eastAsia"/>
              </w:rPr>
              <w:t>工段</w:t>
            </w:r>
          </w:p>
          <w:p>
            <w:pPr>
              <w:pStyle w:val="97"/>
            </w:pPr>
            <w:r>
              <w:rPr>
                <w:rFonts w:hint="eastAsia"/>
              </w:rPr>
              <w:t>分类</w:t>
            </w:r>
          </w:p>
        </w:tc>
        <w:tc>
          <w:tcPr>
            <w:tcW w:w="846" w:type="dxa"/>
            <w:vAlign w:val="center"/>
          </w:tcPr>
          <w:p>
            <w:pPr>
              <w:pStyle w:val="97"/>
            </w:pPr>
            <w:r>
              <w:rPr>
                <w:rFonts w:hint="eastAsia"/>
              </w:rPr>
              <w:t>前处理</w:t>
            </w:r>
          </w:p>
        </w:tc>
        <w:tc>
          <w:tcPr>
            <w:tcW w:w="1122" w:type="dxa"/>
            <w:vAlign w:val="center"/>
          </w:tcPr>
          <w:p>
            <w:pPr>
              <w:pStyle w:val="97"/>
            </w:pPr>
            <w:r>
              <w:rPr>
                <w:rFonts w:hint="eastAsia"/>
              </w:rPr>
              <w:t>破壁</w:t>
            </w:r>
          </w:p>
        </w:tc>
        <w:tc>
          <w:tcPr>
            <w:tcW w:w="3692" w:type="dxa"/>
            <w:gridSpan w:val="4"/>
            <w:vAlign w:val="center"/>
          </w:tcPr>
          <w:p>
            <w:pPr>
              <w:pStyle w:val="97"/>
            </w:pPr>
            <w:r>
              <w:rPr>
                <w:rFonts w:hint="eastAsia"/>
              </w:rPr>
              <w:t>醇提</w:t>
            </w:r>
          </w:p>
        </w:tc>
        <w:tc>
          <w:tcPr>
            <w:tcW w:w="3823" w:type="dxa"/>
            <w:gridSpan w:val="4"/>
            <w:vAlign w:val="center"/>
          </w:tcPr>
          <w:p>
            <w:pPr>
              <w:pStyle w:val="97"/>
            </w:pPr>
            <w:r>
              <w:rPr>
                <w:rFonts w:hint="eastAsia"/>
              </w:rPr>
              <w:t>酸解</w:t>
            </w:r>
          </w:p>
        </w:tc>
        <w:tc>
          <w:tcPr>
            <w:tcW w:w="2838" w:type="dxa"/>
            <w:gridSpan w:val="3"/>
            <w:vAlign w:val="center"/>
          </w:tcPr>
          <w:p>
            <w:pPr>
              <w:pStyle w:val="97"/>
            </w:pPr>
            <w:r>
              <w:rPr>
                <w:rFonts w:hint="eastAsia"/>
              </w:rPr>
              <w:t>醚提</w:t>
            </w:r>
          </w:p>
        </w:tc>
        <w:tc>
          <w:tcPr>
            <w:tcW w:w="837" w:type="dxa"/>
            <w:vAlign w:val="center"/>
          </w:tcPr>
          <w:p>
            <w:pPr>
              <w:pStyle w:val="97"/>
            </w:pPr>
            <w:r>
              <w:rPr>
                <w:rFonts w:hint="eastAsia"/>
              </w:rPr>
              <w:t>结晶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814" w:type="dxa"/>
            <w:vAlign w:val="center"/>
          </w:tcPr>
          <w:p>
            <w:pPr>
              <w:pStyle w:val="97"/>
            </w:pPr>
            <w:r>
              <w:rPr>
                <w:rFonts w:hint="eastAsia"/>
              </w:rPr>
              <w:t>指标</w:t>
            </w:r>
          </w:p>
        </w:tc>
        <w:tc>
          <w:tcPr>
            <w:tcW w:w="846" w:type="dxa"/>
            <w:vAlign w:val="center"/>
          </w:tcPr>
          <w:p>
            <w:pPr>
              <w:pStyle w:val="97"/>
            </w:pPr>
            <w:r>
              <w:rPr>
                <w:rFonts w:hint="eastAsia"/>
              </w:rPr>
              <w:t>颗粒度（目）</w:t>
            </w:r>
          </w:p>
        </w:tc>
        <w:tc>
          <w:tcPr>
            <w:tcW w:w="1122" w:type="dxa"/>
            <w:vAlign w:val="center"/>
          </w:tcPr>
          <w:p>
            <w:pPr>
              <w:pStyle w:val="97"/>
            </w:pPr>
            <w:r>
              <w:rPr>
                <w:rFonts w:hint="eastAsia"/>
              </w:rPr>
              <w:t>压力（Mpa）</w:t>
            </w:r>
          </w:p>
        </w:tc>
        <w:tc>
          <w:tcPr>
            <w:tcW w:w="921" w:type="dxa"/>
            <w:vAlign w:val="center"/>
          </w:tcPr>
          <w:p>
            <w:pPr>
              <w:pStyle w:val="97"/>
            </w:pPr>
            <w:r>
              <w:rPr>
                <w:rFonts w:hint="eastAsia"/>
              </w:rPr>
              <w:t>固液比</w:t>
            </w:r>
          </w:p>
        </w:tc>
        <w:tc>
          <w:tcPr>
            <w:tcW w:w="865" w:type="dxa"/>
            <w:vAlign w:val="center"/>
          </w:tcPr>
          <w:p>
            <w:pPr>
              <w:pStyle w:val="97"/>
            </w:pPr>
            <w:r>
              <w:rPr>
                <w:rFonts w:hint="eastAsia"/>
              </w:rPr>
              <w:t>温度（℃）</w:t>
            </w:r>
          </w:p>
        </w:tc>
        <w:tc>
          <w:tcPr>
            <w:tcW w:w="985" w:type="dxa"/>
            <w:vAlign w:val="center"/>
          </w:tcPr>
          <w:p>
            <w:pPr>
              <w:pStyle w:val="97"/>
            </w:pPr>
            <w:r>
              <w:rPr>
                <w:rFonts w:hint="eastAsia"/>
              </w:rPr>
              <w:t>时间</w:t>
            </w:r>
          </w:p>
          <w:p>
            <w:pPr>
              <w:pStyle w:val="97"/>
            </w:pPr>
            <w:r>
              <w:rPr>
                <w:rFonts w:hint="eastAsia"/>
              </w:rPr>
              <w:t>（min）</w:t>
            </w:r>
          </w:p>
        </w:tc>
        <w:tc>
          <w:tcPr>
            <w:tcW w:w="921" w:type="dxa"/>
            <w:vAlign w:val="center"/>
          </w:tcPr>
          <w:p>
            <w:pPr>
              <w:pStyle w:val="97"/>
            </w:pPr>
            <w:r>
              <w:rPr>
                <w:rFonts w:hint="eastAsia"/>
              </w:rPr>
              <w:t>精滤度（目）</w:t>
            </w:r>
          </w:p>
        </w:tc>
        <w:tc>
          <w:tcPr>
            <w:tcW w:w="918" w:type="dxa"/>
            <w:vAlign w:val="center"/>
          </w:tcPr>
          <w:p>
            <w:pPr>
              <w:pStyle w:val="97"/>
            </w:pPr>
            <w:r>
              <w:rPr>
                <w:rFonts w:hint="eastAsia"/>
              </w:rPr>
              <w:t>酸度</w:t>
            </w:r>
          </w:p>
          <w:p>
            <w:pPr>
              <w:pStyle w:val="97"/>
            </w:pPr>
            <w:r>
              <w:rPr>
                <w:rFonts w:hint="eastAsia"/>
              </w:rPr>
              <w:t>（%）</w:t>
            </w:r>
          </w:p>
        </w:tc>
        <w:tc>
          <w:tcPr>
            <w:tcW w:w="846" w:type="dxa"/>
            <w:vAlign w:val="center"/>
          </w:tcPr>
          <w:p>
            <w:pPr>
              <w:pStyle w:val="97"/>
            </w:pPr>
            <w:r>
              <w:rPr>
                <w:rFonts w:hint="eastAsia"/>
              </w:rPr>
              <w:t>温度（℃）</w:t>
            </w:r>
          </w:p>
        </w:tc>
        <w:tc>
          <w:tcPr>
            <w:tcW w:w="1021" w:type="dxa"/>
            <w:vAlign w:val="center"/>
          </w:tcPr>
          <w:p>
            <w:pPr>
              <w:pStyle w:val="97"/>
            </w:pPr>
            <w:r>
              <w:rPr>
                <w:rFonts w:hint="eastAsia"/>
              </w:rPr>
              <w:t>压力（Mpa）</w:t>
            </w:r>
          </w:p>
        </w:tc>
        <w:tc>
          <w:tcPr>
            <w:tcW w:w="1038" w:type="dxa"/>
            <w:vAlign w:val="center"/>
          </w:tcPr>
          <w:p>
            <w:pPr>
              <w:pStyle w:val="97"/>
            </w:pPr>
            <w:r>
              <w:rPr>
                <w:rFonts w:hint="eastAsia"/>
              </w:rPr>
              <w:t>时间</w:t>
            </w:r>
          </w:p>
          <w:p>
            <w:pPr>
              <w:pStyle w:val="97"/>
            </w:pPr>
            <w:r>
              <w:rPr>
                <w:rFonts w:hint="eastAsia"/>
              </w:rPr>
              <w:t>（min）</w:t>
            </w:r>
          </w:p>
        </w:tc>
        <w:tc>
          <w:tcPr>
            <w:tcW w:w="918" w:type="dxa"/>
            <w:vAlign w:val="center"/>
          </w:tcPr>
          <w:p>
            <w:pPr>
              <w:pStyle w:val="97"/>
            </w:pPr>
            <w:r>
              <w:rPr>
                <w:rFonts w:hint="eastAsia"/>
              </w:rPr>
              <w:t>固液比</w:t>
            </w:r>
          </w:p>
        </w:tc>
        <w:tc>
          <w:tcPr>
            <w:tcW w:w="921" w:type="dxa"/>
            <w:vAlign w:val="center"/>
          </w:tcPr>
          <w:p>
            <w:pPr>
              <w:pStyle w:val="97"/>
              <w:rPr>
                <w:kern w:val="2"/>
              </w:rPr>
            </w:pPr>
            <w:r>
              <w:rPr>
                <w:rFonts w:hint="eastAsia"/>
              </w:rPr>
              <w:t>温度（℃）</w:t>
            </w:r>
          </w:p>
        </w:tc>
        <w:tc>
          <w:tcPr>
            <w:tcW w:w="999" w:type="dxa"/>
            <w:vAlign w:val="center"/>
          </w:tcPr>
          <w:p>
            <w:pPr>
              <w:pStyle w:val="97"/>
            </w:pPr>
            <w:r>
              <w:rPr>
                <w:rFonts w:hint="eastAsia"/>
              </w:rPr>
              <w:t>时间</w:t>
            </w:r>
          </w:p>
          <w:p>
            <w:pPr>
              <w:pStyle w:val="97"/>
              <w:rPr>
                <w:kern w:val="2"/>
              </w:rPr>
            </w:pPr>
            <w:r>
              <w:rPr>
                <w:rFonts w:hint="eastAsia"/>
              </w:rPr>
              <w:t>（min）</w:t>
            </w:r>
          </w:p>
        </w:tc>
        <w:tc>
          <w:tcPr>
            <w:tcW w:w="837" w:type="dxa"/>
            <w:vAlign w:val="center"/>
          </w:tcPr>
          <w:p>
            <w:pPr>
              <w:pStyle w:val="97"/>
            </w:pPr>
            <w:r>
              <w:rPr>
                <w:rFonts w:hint="eastAsia"/>
              </w:rPr>
              <w:t>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4" w:type="dxa"/>
            <w:vMerge w:val="restart"/>
            <w:vAlign w:val="center"/>
          </w:tcPr>
          <w:p>
            <w:pPr>
              <w:pStyle w:val="97"/>
            </w:pPr>
            <w:r>
              <w:rPr>
                <w:rFonts w:hint="eastAsia"/>
              </w:rPr>
              <w:t>参数</w:t>
            </w:r>
          </w:p>
          <w:p>
            <w:pPr>
              <w:pStyle w:val="97"/>
            </w:pPr>
            <w:r>
              <w:rPr>
                <w:rFonts w:hint="eastAsia"/>
              </w:rPr>
              <w:t>范围</w:t>
            </w:r>
          </w:p>
        </w:tc>
        <w:tc>
          <w:tcPr>
            <w:tcW w:w="846" w:type="dxa"/>
            <w:vAlign w:val="center"/>
          </w:tcPr>
          <w:p>
            <w:pPr>
              <w:pStyle w:val="97"/>
            </w:pPr>
            <w:r>
              <w:rPr>
                <w:rFonts w:hint="eastAsia"/>
              </w:rPr>
              <w:t>150</w:t>
            </w:r>
          </w:p>
        </w:tc>
        <w:tc>
          <w:tcPr>
            <w:tcW w:w="1122" w:type="dxa"/>
            <w:vAlign w:val="center"/>
          </w:tcPr>
          <w:p>
            <w:pPr>
              <w:pStyle w:val="97"/>
            </w:pPr>
            <w:r>
              <w:rPr>
                <w:rFonts w:hint="eastAsia"/>
              </w:rPr>
              <w:t>150</w:t>
            </w:r>
          </w:p>
        </w:tc>
        <w:tc>
          <w:tcPr>
            <w:tcW w:w="921" w:type="dxa"/>
            <w:vAlign w:val="center"/>
          </w:tcPr>
          <w:p>
            <w:pPr>
              <w:pStyle w:val="97"/>
            </w:pPr>
            <w:r>
              <w:rPr>
                <w:rFonts w:hint="eastAsia"/>
              </w:rPr>
              <w:t>1:2</w:t>
            </w:r>
          </w:p>
        </w:tc>
        <w:tc>
          <w:tcPr>
            <w:tcW w:w="865" w:type="dxa"/>
            <w:vAlign w:val="center"/>
          </w:tcPr>
          <w:p>
            <w:pPr>
              <w:pStyle w:val="97"/>
            </w:pPr>
            <w:r>
              <w:rPr>
                <w:rFonts w:hint="eastAsia"/>
              </w:rPr>
              <w:t>30</w:t>
            </w:r>
          </w:p>
        </w:tc>
        <w:tc>
          <w:tcPr>
            <w:tcW w:w="985" w:type="dxa"/>
            <w:vAlign w:val="center"/>
          </w:tcPr>
          <w:p>
            <w:pPr>
              <w:pStyle w:val="97"/>
            </w:pPr>
            <w:r>
              <w:rPr>
                <w:rFonts w:hint="eastAsia"/>
              </w:rPr>
              <w:t>60</w:t>
            </w:r>
          </w:p>
        </w:tc>
        <w:tc>
          <w:tcPr>
            <w:tcW w:w="921" w:type="dxa"/>
            <w:vAlign w:val="center"/>
          </w:tcPr>
          <w:p>
            <w:pPr>
              <w:pStyle w:val="97"/>
            </w:pPr>
            <w:r>
              <w:rPr>
                <w:rFonts w:hint="eastAsia"/>
              </w:rPr>
              <w:t>1400</w:t>
            </w:r>
          </w:p>
        </w:tc>
        <w:tc>
          <w:tcPr>
            <w:tcW w:w="918" w:type="dxa"/>
            <w:vAlign w:val="center"/>
          </w:tcPr>
          <w:p>
            <w:pPr>
              <w:pStyle w:val="97"/>
            </w:pPr>
            <w:r>
              <w:rPr>
                <w:rFonts w:hint="eastAsia"/>
              </w:rPr>
              <w:t>3</w:t>
            </w:r>
          </w:p>
        </w:tc>
        <w:tc>
          <w:tcPr>
            <w:tcW w:w="846" w:type="dxa"/>
            <w:vAlign w:val="center"/>
          </w:tcPr>
          <w:p>
            <w:pPr>
              <w:pStyle w:val="97"/>
            </w:pPr>
            <w:r>
              <w:rPr>
                <w:rFonts w:hint="eastAsia"/>
              </w:rPr>
              <w:t>90</w:t>
            </w:r>
          </w:p>
        </w:tc>
        <w:tc>
          <w:tcPr>
            <w:tcW w:w="1021" w:type="dxa"/>
            <w:vAlign w:val="center"/>
          </w:tcPr>
          <w:p>
            <w:pPr>
              <w:pStyle w:val="97"/>
            </w:pPr>
            <w:r>
              <w:rPr>
                <w:rFonts w:hint="eastAsia"/>
              </w:rPr>
              <w:t>1.5</w:t>
            </w:r>
          </w:p>
        </w:tc>
        <w:tc>
          <w:tcPr>
            <w:tcW w:w="1038" w:type="dxa"/>
            <w:vAlign w:val="center"/>
          </w:tcPr>
          <w:p>
            <w:pPr>
              <w:pStyle w:val="97"/>
            </w:pPr>
            <w:r>
              <w:rPr>
                <w:rFonts w:hint="eastAsia"/>
              </w:rPr>
              <w:t>80</w:t>
            </w:r>
          </w:p>
        </w:tc>
        <w:tc>
          <w:tcPr>
            <w:tcW w:w="918" w:type="dxa"/>
            <w:vAlign w:val="center"/>
          </w:tcPr>
          <w:p>
            <w:pPr>
              <w:pStyle w:val="97"/>
            </w:pPr>
            <w:r>
              <w:rPr>
                <w:rFonts w:hint="eastAsia"/>
              </w:rPr>
              <w:t>1:2</w:t>
            </w:r>
          </w:p>
        </w:tc>
        <w:tc>
          <w:tcPr>
            <w:tcW w:w="921" w:type="dxa"/>
            <w:vAlign w:val="center"/>
          </w:tcPr>
          <w:p>
            <w:pPr>
              <w:pStyle w:val="97"/>
            </w:pPr>
            <w:r>
              <w:rPr>
                <w:rFonts w:hint="eastAsia"/>
              </w:rPr>
              <w:t>30</w:t>
            </w:r>
          </w:p>
        </w:tc>
        <w:tc>
          <w:tcPr>
            <w:tcW w:w="999" w:type="dxa"/>
            <w:vAlign w:val="center"/>
          </w:tcPr>
          <w:p>
            <w:pPr>
              <w:pStyle w:val="97"/>
            </w:pPr>
            <w:r>
              <w:rPr>
                <w:rFonts w:hint="eastAsia"/>
              </w:rPr>
              <w:t>60</w:t>
            </w:r>
          </w:p>
        </w:tc>
        <w:tc>
          <w:tcPr>
            <w:tcW w:w="837" w:type="dxa"/>
            <w:vAlign w:val="center"/>
          </w:tcPr>
          <w:p>
            <w:pPr>
              <w:pStyle w:val="97"/>
            </w:pPr>
            <w:r>
              <w:rPr>
                <w:rFonts w:hint="eastAsia"/>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4" w:type="dxa"/>
            <w:vMerge w:val="continue"/>
            <w:vAlign w:val="center"/>
          </w:tcPr>
          <w:p>
            <w:pPr>
              <w:pStyle w:val="97"/>
            </w:pPr>
          </w:p>
        </w:tc>
        <w:tc>
          <w:tcPr>
            <w:tcW w:w="846" w:type="dxa"/>
            <w:vAlign w:val="center"/>
          </w:tcPr>
          <w:p>
            <w:pPr>
              <w:pStyle w:val="97"/>
            </w:pPr>
            <w:r>
              <w:rPr>
                <w:rFonts w:hint="eastAsia"/>
              </w:rPr>
              <w:t>200</w:t>
            </w:r>
          </w:p>
        </w:tc>
        <w:tc>
          <w:tcPr>
            <w:tcW w:w="1122" w:type="dxa"/>
            <w:vAlign w:val="center"/>
          </w:tcPr>
          <w:p>
            <w:pPr>
              <w:pStyle w:val="97"/>
            </w:pPr>
            <w:r>
              <w:rPr>
                <w:rFonts w:hint="eastAsia"/>
              </w:rPr>
              <w:t>170</w:t>
            </w:r>
          </w:p>
        </w:tc>
        <w:tc>
          <w:tcPr>
            <w:tcW w:w="921" w:type="dxa"/>
            <w:vAlign w:val="center"/>
          </w:tcPr>
          <w:p>
            <w:pPr>
              <w:pStyle w:val="97"/>
            </w:pPr>
            <w:r>
              <w:rPr>
                <w:rFonts w:hint="eastAsia"/>
              </w:rPr>
              <w:t>1:2.5</w:t>
            </w:r>
          </w:p>
        </w:tc>
        <w:tc>
          <w:tcPr>
            <w:tcW w:w="865" w:type="dxa"/>
            <w:vAlign w:val="center"/>
          </w:tcPr>
          <w:p>
            <w:pPr>
              <w:pStyle w:val="97"/>
            </w:pPr>
            <w:r>
              <w:rPr>
                <w:rFonts w:hint="eastAsia"/>
              </w:rPr>
              <w:t>35</w:t>
            </w:r>
          </w:p>
        </w:tc>
        <w:tc>
          <w:tcPr>
            <w:tcW w:w="985" w:type="dxa"/>
            <w:vAlign w:val="center"/>
          </w:tcPr>
          <w:p>
            <w:pPr>
              <w:pStyle w:val="97"/>
            </w:pPr>
            <w:r>
              <w:rPr>
                <w:rFonts w:hint="eastAsia"/>
              </w:rPr>
              <w:t>80</w:t>
            </w:r>
          </w:p>
        </w:tc>
        <w:tc>
          <w:tcPr>
            <w:tcW w:w="921" w:type="dxa"/>
            <w:vAlign w:val="center"/>
          </w:tcPr>
          <w:p>
            <w:pPr>
              <w:pStyle w:val="97"/>
            </w:pPr>
            <w:r>
              <w:rPr>
                <w:rFonts w:hint="eastAsia"/>
              </w:rPr>
              <w:t>1600</w:t>
            </w:r>
          </w:p>
        </w:tc>
        <w:tc>
          <w:tcPr>
            <w:tcW w:w="918" w:type="dxa"/>
            <w:vAlign w:val="center"/>
          </w:tcPr>
          <w:p>
            <w:pPr>
              <w:pStyle w:val="97"/>
            </w:pPr>
            <w:r>
              <w:rPr>
                <w:rFonts w:hint="eastAsia"/>
              </w:rPr>
              <w:t>4</w:t>
            </w:r>
          </w:p>
        </w:tc>
        <w:tc>
          <w:tcPr>
            <w:tcW w:w="846" w:type="dxa"/>
            <w:vAlign w:val="center"/>
          </w:tcPr>
          <w:p>
            <w:pPr>
              <w:pStyle w:val="97"/>
            </w:pPr>
            <w:r>
              <w:rPr>
                <w:rFonts w:hint="eastAsia"/>
              </w:rPr>
              <w:t>100</w:t>
            </w:r>
          </w:p>
        </w:tc>
        <w:tc>
          <w:tcPr>
            <w:tcW w:w="1021" w:type="dxa"/>
            <w:vAlign w:val="center"/>
          </w:tcPr>
          <w:p>
            <w:pPr>
              <w:pStyle w:val="97"/>
            </w:pPr>
            <w:r>
              <w:rPr>
                <w:rFonts w:hint="eastAsia"/>
              </w:rPr>
              <w:t>1.7</w:t>
            </w:r>
          </w:p>
        </w:tc>
        <w:tc>
          <w:tcPr>
            <w:tcW w:w="1038" w:type="dxa"/>
            <w:vAlign w:val="center"/>
          </w:tcPr>
          <w:p>
            <w:pPr>
              <w:pStyle w:val="97"/>
            </w:pPr>
            <w:r>
              <w:rPr>
                <w:rFonts w:hint="eastAsia"/>
              </w:rPr>
              <w:t>90</w:t>
            </w:r>
          </w:p>
        </w:tc>
        <w:tc>
          <w:tcPr>
            <w:tcW w:w="918" w:type="dxa"/>
            <w:vAlign w:val="center"/>
          </w:tcPr>
          <w:p>
            <w:pPr>
              <w:pStyle w:val="97"/>
            </w:pPr>
            <w:r>
              <w:rPr>
                <w:rFonts w:hint="eastAsia"/>
              </w:rPr>
              <w:t>1:2.5</w:t>
            </w:r>
          </w:p>
        </w:tc>
        <w:tc>
          <w:tcPr>
            <w:tcW w:w="921" w:type="dxa"/>
            <w:vAlign w:val="center"/>
          </w:tcPr>
          <w:p>
            <w:pPr>
              <w:pStyle w:val="97"/>
            </w:pPr>
            <w:r>
              <w:rPr>
                <w:rFonts w:hint="eastAsia"/>
              </w:rPr>
              <w:t>35</w:t>
            </w:r>
          </w:p>
        </w:tc>
        <w:tc>
          <w:tcPr>
            <w:tcW w:w="999" w:type="dxa"/>
            <w:vAlign w:val="center"/>
          </w:tcPr>
          <w:p>
            <w:pPr>
              <w:pStyle w:val="97"/>
            </w:pPr>
            <w:r>
              <w:rPr>
                <w:rFonts w:hint="eastAsia"/>
              </w:rPr>
              <w:t>80</w:t>
            </w:r>
          </w:p>
        </w:tc>
        <w:tc>
          <w:tcPr>
            <w:tcW w:w="837" w:type="dxa"/>
            <w:vAlign w:val="center"/>
          </w:tcPr>
          <w:p>
            <w:pPr>
              <w:pStyle w:val="97"/>
            </w:pPr>
            <w:r>
              <w:rPr>
                <w:rFonts w:hint="eastAsia"/>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4" w:type="dxa"/>
            <w:vMerge w:val="continue"/>
            <w:vAlign w:val="center"/>
          </w:tcPr>
          <w:p>
            <w:pPr>
              <w:pStyle w:val="97"/>
            </w:pPr>
          </w:p>
        </w:tc>
        <w:tc>
          <w:tcPr>
            <w:tcW w:w="846" w:type="dxa"/>
            <w:vAlign w:val="center"/>
          </w:tcPr>
          <w:p>
            <w:pPr>
              <w:pStyle w:val="97"/>
            </w:pPr>
            <w:r>
              <w:rPr>
                <w:rFonts w:hint="eastAsia"/>
              </w:rPr>
              <w:t>250</w:t>
            </w:r>
          </w:p>
        </w:tc>
        <w:tc>
          <w:tcPr>
            <w:tcW w:w="1122" w:type="dxa"/>
            <w:vAlign w:val="center"/>
          </w:tcPr>
          <w:p>
            <w:pPr>
              <w:pStyle w:val="97"/>
            </w:pPr>
            <w:r>
              <w:rPr>
                <w:rFonts w:hint="eastAsia"/>
              </w:rPr>
              <w:t>190</w:t>
            </w:r>
          </w:p>
        </w:tc>
        <w:tc>
          <w:tcPr>
            <w:tcW w:w="921" w:type="dxa"/>
            <w:vAlign w:val="center"/>
          </w:tcPr>
          <w:p>
            <w:pPr>
              <w:pStyle w:val="97"/>
            </w:pPr>
            <w:r>
              <w:rPr>
                <w:rFonts w:hint="eastAsia"/>
              </w:rPr>
              <w:t>1:3</w:t>
            </w:r>
          </w:p>
        </w:tc>
        <w:tc>
          <w:tcPr>
            <w:tcW w:w="865" w:type="dxa"/>
            <w:vAlign w:val="center"/>
          </w:tcPr>
          <w:p>
            <w:pPr>
              <w:pStyle w:val="97"/>
            </w:pPr>
            <w:r>
              <w:rPr>
                <w:rFonts w:hint="eastAsia"/>
              </w:rPr>
              <w:t>40</w:t>
            </w:r>
          </w:p>
        </w:tc>
        <w:tc>
          <w:tcPr>
            <w:tcW w:w="985" w:type="dxa"/>
            <w:vAlign w:val="center"/>
          </w:tcPr>
          <w:p>
            <w:pPr>
              <w:pStyle w:val="97"/>
            </w:pPr>
            <w:r>
              <w:rPr>
                <w:rFonts w:hint="eastAsia"/>
              </w:rPr>
              <w:t>100</w:t>
            </w:r>
          </w:p>
        </w:tc>
        <w:tc>
          <w:tcPr>
            <w:tcW w:w="921" w:type="dxa"/>
            <w:vAlign w:val="center"/>
          </w:tcPr>
          <w:p>
            <w:pPr>
              <w:pStyle w:val="97"/>
            </w:pPr>
            <w:r>
              <w:rPr>
                <w:rFonts w:hint="eastAsia"/>
              </w:rPr>
              <w:t>1800</w:t>
            </w:r>
          </w:p>
        </w:tc>
        <w:tc>
          <w:tcPr>
            <w:tcW w:w="918" w:type="dxa"/>
            <w:vAlign w:val="center"/>
          </w:tcPr>
          <w:p>
            <w:pPr>
              <w:pStyle w:val="97"/>
            </w:pPr>
            <w:r>
              <w:rPr>
                <w:rFonts w:hint="eastAsia"/>
              </w:rPr>
              <w:t>5</w:t>
            </w:r>
          </w:p>
        </w:tc>
        <w:tc>
          <w:tcPr>
            <w:tcW w:w="846" w:type="dxa"/>
            <w:vAlign w:val="center"/>
          </w:tcPr>
          <w:p>
            <w:pPr>
              <w:pStyle w:val="97"/>
            </w:pPr>
            <w:r>
              <w:rPr>
                <w:rFonts w:hint="eastAsia"/>
              </w:rPr>
              <w:t>110</w:t>
            </w:r>
          </w:p>
        </w:tc>
        <w:tc>
          <w:tcPr>
            <w:tcW w:w="1021" w:type="dxa"/>
            <w:vAlign w:val="center"/>
          </w:tcPr>
          <w:p>
            <w:pPr>
              <w:pStyle w:val="97"/>
            </w:pPr>
            <w:r>
              <w:rPr>
                <w:rFonts w:hint="eastAsia"/>
              </w:rPr>
              <w:t>1.9</w:t>
            </w:r>
          </w:p>
        </w:tc>
        <w:tc>
          <w:tcPr>
            <w:tcW w:w="1038" w:type="dxa"/>
            <w:vAlign w:val="center"/>
          </w:tcPr>
          <w:p>
            <w:pPr>
              <w:pStyle w:val="97"/>
            </w:pPr>
            <w:r>
              <w:rPr>
                <w:rFonts w:hint="eastAsia"/>
              </w:rPr>
              <w:t>100</w:t>
            </w:r>
          </w:p>
        </w:tc>
        <w:tc>
          <w:tcPr>
            <w:tcW w:w="918" w:type="dxa"/>
            <w:vAlign w:val="center"/>
          </w:tcPr>
          <w:p>
            <w:pPr>
              <w:pStyle w:val="97"/>
            </w:pPr>
            <w:r>
              <w:rPr>
                <w:rFonts w:hint="eastAsia"/>
              </w:rPr>
              <w:t>1:3</w:t>
            </w:r>
          </w:p>
        </w:tc>
        <w:tc>
          <w:tcPr>
            <w:tcW w:w="921" w:type="dxa"/>
            <w:vAlign w:val="center"/>
          </w:tcPr>
          <w:p>
            <w:pPr>
              <w:pStyle w:val="97"/>
            </w:pPr>
            <w:r>
              <w:rPr>
                <w:rFonts w:hint="eastAsia"/>
              </w:rPr>
              <w:t>40</w:t>
            </w:r>
          </w:p>
        </w:tc>
        <w:tc>
          <w:tcPr>
            <w:tcW w:w="999" w:type="dxa"/>
            <w:vAlign w:val="center"/>
          </w:tcPr>
          <w:p>
            <w:pPr>
              <w:pStyle w:val="97"/>
            </w:pPr>
            <w:r>
              <w:rPr>
                <w:rFonts w:hint="eastAsia"/>
              </w:rPr>
              <w:t>100</w:t>
            </w:r>
          </w:p>
        </w:tc>
        <w:tc>
          <w:tcPr>
            <w:tcW w:w="837" w:type="dxa"/>
            <w:vAlign w:val="center"/>
          </w:tcPr>
          <w:p>
            <w:pPr>
              <w:pStyle w:val="97"/>
            </w:pPr>
            <w:r>
              <w:rPr>
                <w:rFonts w:hint="eastAsia"/>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4" w:type="dxa"/>
            <w:vMerge w:val="continue"/>
            <w:vAlign w:val="center"/>
          </w:tcPr>
          <w:p>
            <w:pPr>
              <w:pStyle w:val="97"/>
            </w:pPr>
          </w:p>
        </w:tc>
        <w:tc>
          <w:tcPr>
            <w:tcW w:w="846" w:type="dxa"/>
            <w:vAlign w:val="center"/>
          </w:tcPr>
          <w:p>
            <w:pPr>
              <w:pStyle w:val="97"/>
            </w:pPr>
            <w:r>
              <w:rPr>
                <w:rFonts w:hint="eastAsia"/>
              </w:rPr>
              <w:t>300</w:t>
            </w:r>
          </w:p>
        </w:tc>
        <w:tc>
          <w:tcPr>
            <w:tcW w:w="1122" w:type="dxa"/>
            <w:vAlign w:val="center"/>
          </w:tcPr>
          <w:p>
            <w:pPr>
              <w:pStyle w:val="97"/>
            </w:pPr>
            <w:r>
              <w:rPr>
                <w:rFonts w:hint="eastAsia"/>
              </w:rPr>
              <w:t>210</w:t>
            </w:r>
          </w:p>
        </w:tc>
        <w:tc>
          <w:tcPr>
            <w:tcW w:w="921" w:type="dxa"/>
            <w:vAlign w:val="center"/>
          </w:tcPr>
          <w:p>
            <w:pPr>
              <w:pStyle w:val="97"/>
            </w:pPr>
            <w:r>
              <w:rPr>
                <w:rFonts w:hint="eastAsia"/>
              </w:rPr>
              <w:t>1:3.5</w:t>
            </w:r>
          </w:p>
        </w:tc>
        <w:tc>
          <w:tcPr>
            <w:tcW w:w="865" w:type="dxa"/>
            <w:vAlign w:val="center"/>
          </w:tcPr>
          <w:p>
            <w:pPr>
              <w:pStyle w:val="97"/>
            </w:pPr>
            <w:r>
              <w:rPr>
                <w:rFonts w:hint="eastAsia"/>
              </w:rPr>
              <w:t>45</w:t>
            </w:r>
          </w:p>
        </w:tc>
        <w:tc>
          <w:tcPr>
            <w:tcW w:w="985" w:type="dxa"/>
            <w:vAlign w:val="center"/>
          </w:tcPr>
          <w:p>
            <w:pPr>
              <w:pStyle w:val="97"/>
            </w:pPr>
            <w:r>
              <w:rPr>
                <w:rFonts w:hint="eastAsia"/>
              </w:rPr>
              <w:t>120</w:t>
            </w:r>
          </w:p>
        </w:tc>
        <w:tc>
          <w:tcPr>
            <w:tcW w:w="921" w:type="dxa"/>
            <w:vAlign w:val="center"/>
          </w:tcPr>
          <w:p>
            <w:pPr>
              <w:pStyle w:val="97"/>
            </w:pPr>
            <w:r>
              <w:rPr>
                <w:rFonts w:hint="eastAsia"/>
              </w:rPr>
              <w:t>2000</w:t>
            </w:r>
          </w:p>
        </w:tc>
        <w:tc>
          <w:tcPr>
            <w:tcW w:w="918" w:type="dxa"/>
            <w:vAlign w:val="center"/>
          </w:tcPr>
          <w:p>
            <w:pPr>
              <w:pStyle w:val="97"/>
            </w:pPr>
            <w:r>
              <w:rPr>
                <w:rFonts w:hint="eastAsia"/>
              </w:rPr>
              <w:t>6</w:t>
            </w:r>
          </w:p>
        </w:tc>
        <w:tc>
          <w:tcPr>
            <w:tcW w:w="846" w:type="dxa"/>
            <w:vAlign w:val="center"/>
          </w:tcPr>
          <w:p>
            <w:pPr>
              <w:pStyle w:val="97"/>
            </w:pPr>
            <w:r>
              <w:rPr>
                <w:rFonts w:hint="eastAsia"/>
              </w:rPr>
              <w:t>120</w:t>
            </w:r>
          </w:p>
        </w:tc>
        <w:tc>
          <w:tcPr>
            <w:tcW w:w="1021" w:type="dxa"/>
            <w:vAlign w:val="center"/>
          </w:tcPr>
          <w:p>
            <w:pPr>
              <w:pStyle w:val="97"/>
            </w:pPr>
            <w:r>
              <w:rPr>
                <w:rFonts w:hint="eastAsia"/>
              </w:rPr>
              <w:t>2.1</w:t>
            </w:r>
          </w:p>
        </w:tc>
        <w:tc>
          <w:tcPr>
            <w:tcW w:w="1038" w:type="dxa"/>
            <w:vAlign w:val="center"/>
          </w:tcPr>
          <w:p>
            <w:pPr>
              <w:pStyle w:val="97"/>
            </w:pPr>
            <w:r>
              <w:rPr>
                <w:rFonts w:hint="eastAsia"/>
              </w:rPr>
              <w:t>110</w:t>
            </w:r>
          </w:p>
        </w:tc>
        <w:tc>
          <w:tcPr>
            <w:tcW w:w="918" w:type="dxa"/>
            <w:vAlign w:val="center"/>
          </w:tcPr>
          <w:p>
            <w:pPr>
              <w:pStyle w:val="97"/>
            </w:pPr>
            <w:r>
              <w:rPr>
                <w:rFonts w:hint="eastAsia"/>
              </w:rPr>
              <w:t>1:3.5</w:t>
            </w:r>
          </w:p>
        </w:tc>
        <w:tc>
          <w:tcPr>
            <w:tcW w:w="921" w:type="dxa"/>
            <w:vAlign w:val="center"/>
          </w:tcPr>
          <w:p>
            <w:pPr>
              <w:pStyle w:val="97"/>
            </w:pPr>
            <w:r>
              <w:rPr>
                <w:rFonts w:hint="eastAsia"/>
              </w:rPr>
              <w:t>45</w:t>
            </w:r>
          </w:p>
        </w:tc>
        <w:tc>
          <w:tcPr>
            <w:tcW w:w="999" w:type="dxa"/>
            <w:vAlign w:val="center"/>
          </w:tcPr>
          <w:p>
            <w:pPr>
              <w:pStyle w:val="97"/>
            </w:pPr>
            <w:r>
              <w:rPr>
                <w:rFonts w:hint="eastAsia"/>
              </w:rPr>
              <w:t>120</w:t>
            </w:r>
          </w:p>
        </w:tc>
        <w:tc>
          <w:tcPr>
            <w:tcW w:w="837" w:type="dxa"/>
            <w:vAlign w:val="center"/>
          </w:tcPr>
          <w:p>
            <w:pPr>
              <w:pStyle w:val="97"/>
            </w:pPr>
            <w:r>
              <w:rPr>
                <w:rFonts w:hint="eastAsi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14" w:type="dxa"/>
            <w:vMerge w:val="continue"/>
            <w:vAlign w:val="center"/>
          </w:tcPr>
          <w:p>
            <w:pPr>
              <w:pStyle w:val="97"/>
            </w:pPr>
          </w:p>
        </w:tc>
        <w:tc>
          <w:tcPr>
            <w:tcW w:w="846" w:type="dxa"/>
            <w:vAlign w:val="center"/>
          </w:tcPr>
          <w:p>
            <w:pPr>
              <w:pStyle w:val="97"/>
            </w:pPr>
            <w:r>
              <w:rPr>
                <w:rFonts w:hint="eastAsia"/>
              </w:rPr>
              <w:t>350</w:t>
            </w:r>
          </w:p>
        </w:tc>
        <w:tc>
          <w:tcPr>
            <w:tcW w:w="1122" w:type="dxa"/>
            <w:vAlign w:val="center"/>
          </w:tcPr>
          <w:p>
            <w:pPr>
              <w:pStyle w:val="97"/>
            </w:pPr>
            <w:r>
              <w:rPr>
                <w:rFonts w:hint="eastAsia"/>
              </w:rPr>
              <w:t>230</w:t>
            </w:r>
          </w:p>
        </w:tc>
        <w:tc>
          <w:tcPr>
            <w:tcW w:w="921" w:type="dxa"/>
            <w:vAlign w:val="center"/>
          </w:tcPr>
          <w:p>
            <w:pPr>
              <w:pStyle w:val="97"/>
            </w:pPr>
            <w:r>
              <w:rPr>
                <w:rFonts w:hint="eastAsia"/>
              </w:rPr>
              <w:t>1:4</w:t>
            </w:r>
          </w:p>
        </w:tc>
        <w:tc>
          <w:tcPr>
            <w:tcW w:w="865" w:type="dxa"/>
            <w:vAlign w:val="center"/>
          </w:tcPr>
          <w:p>
            <w:pPr>
              <w:pStyle w:val="97"/>
            </w:pPr>
            <w:r>
              <w:rPr>
                <w:rFonts w:hint="eastAsia"/>
              </w:rPr>
              <w:t>50</w:t>
            </w:r>
          </w:p>
        </w:tc>
        <w:tc>
          <w:tcPr>
            <w:tcW w:w="985" w:type="dxa"/>
            <w:vAlign w:val="center"/>
          </w:tcPr>
          <w:p>
            <w:pPr>
              <w:pStyle w:val="97"/>
            </w:pPr>
            <w:r>
              <w:rPr>
                <w:rFonts w:hint="eastAsia"/>
              </w:rPr>
              <w:t>140</w:t>
            </w:r>
          </w:p>
        </w:tc>
        <w:tc>
          <w:tcPr>
            <w:tcW w:w="921" w:type="dxa"/>
            <w:vAlign w:val="center"/>
          </w:tcPr>
          <w:p>
            <w:pPr>
              <w:pStyle w:val="97"/>
            </w:pPr>
            <w:r>
              <w:rPr>
                <w:rFonts w:hint="eastAsia"/>
              </w:rPr>
              <w:t>2200</w:t>
            </w:r>
          </w:p>
        </w:tc>
        <w:tc>
          <w:tcPr>
            <w:tcW w:w="918" w:type="dxa"/>
            <w:vAlign w:val="center"/>
          </w:tcPr>
          <w:p>
            <w:pPr>
              <w:pStyle w:val="97"/>
            </w:pPr>
            <w:r>
              <w:rPr>
                <w:rFonts w:hint="eastAsia"/>
              </w:rPr>
              <w:t>7</w:t>
            </w:r>
          </w:p>
        </w:tc>
        <w:tc>
          <w:tcPr>
            <w:tcW w:w="846" w:type="dxa"/>
            <w:vAlign w:val="center"/>
          </w:tcPr>
          <w:p>
            <w:pPr>
              <w:pStyle w:val="97"/>
            </w:pPr>
            <w:r>
              <w:rPr>
                <w:rFonts w:hint="eastAsia"/>
              </w:rPr>
              <w:t>130</w:t>
            </w:r>
          </w:p>
        </w:tc>
        <w:tc>
          <w:tcPr>
            <w:tcW w:w="1021" w:type="dxa"/>
            <w:vAlign w:val="center"/>
          </w:tcPr>
          <w:p>
            <w:pPr>
              <w:pStyle w:val="97"/>
            </w:pPr>
            <w:r>
              <w:rPr>
                <w:rFonts w:hint="eastAsia"/>
              </w:rPr>
              <w:t>2.3</w:t>
            </w:r>
          </w:p>
        </w:tc>
        <w:tc>
          <w:tcPr>
            <w:tcW w:w="1038" w:type="dxa"/>
            <w:vAlign w:val="center"/>
          </w:tcPr>
          <w:p>
            <w:pPr>
              <w:pStyle w:val="97"/>
            </w:pPr>
            <w:r>
              <w:rPr>
                <w:rFonts w:hint="eastAsia"/>
              </w:rPr>
              <w:t>120</w:t>
            </w:r>
          </w:p>
        </w:tc>
        <w:tc>
          <w:tcPr>
            <w:tcW w:w="918" w:type="dxa"/>
            <w:vAlign w:val="center"/>
          </w:tcPr>
          <w:p>
            <w:pPr>
              <w:pStyle w:val="97"/>
            </w:pPr>
            <w:r>
              <w:rPr>
                <w:rFonts w:hint="eastAsia"/>
              </w:rPr>
              <w:t>1:4</w:t>
            </w:r>
          </w:p>
        </w:tc>
        <w:tc>
          <w:tcPr>
            <w:tcW w:w="921" w:type="dxa"/>
            <w:vAlign w:val="center"/>
          </w:tcPr>
          <w:p>
            <w:pPr>
              <w:pStyle w:val="97"/>
            </w:pPr>
            <w:r>
              <w:rPr>
                <w:rFonts w:hint="eastAsia"/>
              </w:rPr>
              <w:t>50</w:t>
            </w:r>
          </w:p>
        </w:tc>
        <w:tc>
          <w:tcPr>
            <w:tcW w:w="999" w:type="dxa"/>
            <w:vAlign w:val="center"/>
          </w:tcPr>
          <w:p>
            <w:pPr>
              <w:pStyle w:val="97"/>
            </w:pPr>
            <w:r>
              <w:rPr>
                <w:rFonts w:hint="eastAsia"/>
              </w:rPr>
              <w:t>140</w:t>
            </w:r>
          </w:p>
        </w:tc>
        <w:tc>
          <w:tcPr>
            <w:tcW w:w="837" w:type="dxa"/>
            <w:vAlign w:val="center"/>
          </w:tcPr>
          <w:p>
            <w:pPr>
              <w:pStyle w:val="97"/>
            </w:pPr>
            <w:r>
              <w:rPr>
                <w:rFonts w:hint="eastAsia"/>
              </w:rPr>
              <w:t>72</w:t>
            </w:r>
          </w:p>
        </w:tc>
      </w:tr>
    </w:tbl>
    <w:p>
      <w:pPr>
        <w:ind w:firstLine="480"/>
      </w:pPr>
    </w:p>
    <w:p>
      <w:pPr>
        <w:ind w:firstLine="480"/>
      </w:pPr>
    </w:p>
    <w:p>
      <w:pPr>
        <w:ind w:firstLine="480"/>
      </w:pPr>
    </w:p>
    <w:p>
      <w:pPr>
        <w:ind w:firstLine="480"/>
        <w:sectPr>
          <w:headerReference r:id="rId22" w:type="even"/>
          <w:pgSz w:w="16838" w:h="11906" w:orient="landscape"/>
          <w:pgMar w:top="1418" w:right="1418" w:bottom="1418" w:left="1418" w:header="992" w:footer="992" w:gutter="0"/>
          <w:pgNumType w:fmt="numberInDash"/>
          <w:cols w:space="425" w:num="1"/>
          <w:docGrid w:type="lines" w:linePitch="326" w:charSpace="0"/>
        </w:sectPr>
      </w:pPr>
    </w:p>
    <w:p>
      <w:pPr>
        <w:pStyle w:val="4"/>
      </w:pPr>
      <w:r>
        <w:rPr>
          <w:rFonts w:hint="eastAsia"/>
        </w:rPr>
        <w:t>产品规模</w:t>
      </w:r>
    </w:p>
    <w:p>
      <w:pPr>
        <w:ind w:firstLine="480"/>
      </w:pPr>
      <w:r>
        <w:rPr>
          <w:rFonts w:hint="eastAsia"/>
        </w:rPr>
        <w:t>本项目参照小试模型，放大10倍产能和设备选型，建设日产100kg-200kg中试模型一套，</w:t>
      </w:r>
      <w:r>
        <w:t>项目</w:t>
      </w:r>
      <w:r>
        <w:rPr>
          <w:rFonts w:hint="eastAsia"/>
        </w:rPr>
        <w:t>产品</w:t>
      </w:r>
      <w:r>
        <w:t>主要为</w:t>
      </w:r>
      <w:r>
        <w:rPr>
          <w:rFonts w:hint="eastAsia"/>
        </w:rPr>
        <w:t>皂素以及</w:t>
      </w:r>
      <w:r>
        <w:t>副产品黄姜粕。</w:t>
      </w:r>
      <w:r>
        <w:rPr>
          <w:rFonts w:hint="eastAsia"/>
        </w:rPr>
        <w:t>根据</w:t>
      </w:r>
      <w:r>
        <w:t>建设单位提供本项目</w:t>
      </w:r>
      <w:r>
        <w:rPr>
          <w:rFonts w:hint="eastAsia"/>
        </w:rPr>
        <w:t>中试产品</w:t>
      </w:r>
      <w:r>
        <w:t>方案见</w:t>
      </w:r>
      <w:r>
        <w:rPr>
          <w:rFonts w:hint="eastAsia"/>
        </w:rPr>
        <w:t>表3.1-3。</w:t>
      </w:r>
    </w:p>
    <w:p>
      <w:pPr>
        <w:pStyle w:val="93"/>
      </w:pPr>
      <w:bookmarkStart w:id="48" w:name="_Ref37236917"/>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bookmarkEnd w:id="48"/>
      <w:r>
        <w:t xml:space="preserve">3  </w:t>
      </w:r>
      <w:r>
        <w:rPr>
          <w:rFonts w:hint="eastAsia"/>
        </w:rPr>
        <w:t>项目</w:t>
      </w:r>
      <w:r>
        <w:t>产品方案统计表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4656"/>
        <w:gridCol w:w="3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28" w:type="dxa"/>
          </w:tcPr>
          <w:p>
            <w:pPr>
              <w:pStyle w:val="97"/>
              <w:ind w:left="115" w:right="170"/>
            </w:pPr>
            <w:r>
              <w:rPr>
                <w:rFonts w:hint="eastAsia"/>
              </w:rPr>
              <w:t>序号</w:t>
            </w:r>
          </w:p>
        </w:tc>
        <w:tc>
          <w:tcPr>
            <w:tcW w:w="4656" w:type="dxa"/>
          </w:tcPr>
          <w:p>
            <w:pPr>
              <w:pStyle w:val="97"/>
              <w:ind w:left="115" w:right="170"/>
            </w:pPr>
            <w:r>
              <w:rPr>
                <w:rFonts w:hint="eastAsia"/>
              </w:rPr>
              <w:t>种类</w:t>
            </w:r>
          </w:p>
        </w:tc>
        <w:tc>
          <w:tcPr>
            <w:tcW w:w="3056" w:type="dxa"/>
          </w:tcPr>
          <w:p>
            <w:pPr>
              <w:pStyle w:val="97"/>
              <w:ind w:left="115" w:right="170"/>
            </w:pPr>
            <w:r>
              <w:rPr>
                <w:rFonts w:hint="eastAsia"/>
              </w:rPr>
              <w:t>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28" w:type="dxa"/>
          </w:tcPr>
          <w:p>
            <w:pPr>
              <w:pStyle w:val="97"/>
              <w:numPr>
                <w:ilvl w:val="0"/>
                <w:numId w:val="11"/>
              </w:numPr>
              <w:ind w:left="115" w:right="170"/>
            </w:pPr>
          </w:p>
        </w:tc>
        <w:tc>
          <w:tcPr>
            <w:tcW w:w="4656" w:type="dxa"/>
          </w:tcPr>
          <w:p>
            <w:pPr>
              <w:pStyle w:val="97"/>
              <w:ind w:left="115" w:right="170"/>
            </w:pPr>
            <w:r>
              <w:rPr>
                <w:rFonts w:hint="eastAsia"/>
              </w:rPr>
              <w:t>皂素</w:t>
            </w:r>
          </w:p>
        </w:tc>
        <w:tc>
          <w:tcPr>
            <w:tcW w:w="3056" w:type="dxa"/>
          </w:tcPr>
          <w:p>
            <w:pPr>
              <w:pStyle w:val="97"/>
              <w:ind w:left="115" w:right="170"/>
            </w:pPr>
            <w:r>
              <w:t>100kg/d~200kg/d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28" w:type="dxa"/>
          </w:tcPr>
          <w:p>
            <w:pPr>
              <w:pStyle w:val="97"/>
              <w:numPr>
                <w:ilvl w:val="0"/>
                <w:numId w:val="11"/>
              </w:numPr>
              <w:ind w:left="115" w:right="170"/>
            </w:pPr>
          </w:p>
        </w:tc>
        <w:tc>
          <w:tcPr>
            <w:tcW w:w="4656" w:type="dxa"/>
          </w:tcPr>
          <w:p>
            <w:pPr>
              <w:pStyle w:val="97"/>
              <w:ind w:left="115" w:right="170"/>
            </w:pPr>
            <w:r>
              <w:rPr>
                <w:rFonts w:hint="eastAsia"/>
              </w:rPr>
              <w:t>黄姜粕</w:t>
            </w:r>
          </w:p>
        </w:tc>
        <w:tc>
          <w:tcPr>
            <w:tcW w:w="3056" w:type="dxa"/>
          </w:tcPr>
          <w:p>
            <w:pPr>
              <w:pStyle w:val="97"/>
              <w:ind w:left="115" w:right="170"/>
            </w:pPr>
            <w:r>
              <w:t>2400kg/d~4800kg/d</w:t>
            </w:r>
          </w:p>
        </w:tc>
      </w:tr>
    </w:tbl>
    <w:p>
      <w:pPr>
        <w:pStyle w:val="4"/>
      </w:pPr>
      <w:r>
        <w:t>生产设备</w:t>
      </w:r>
    </w:p>
    <w:p>
      <w:pPr>
        <w:ind w:firstLine="480"/>
      </w:pPr>
      <w:r>
        <w:t>本项目生产设备详见表3.1-4。</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t>4  项目主要设备一览表</w:t>
      </w:r>
    </w:p>
    <w:tbl>
      <w:tblPr>
        <w:tblStyle w:val="36"/>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450"/>
        <w:gridCol w:w="2848"/>
        <w:gridCol w:w="879"/>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blHeader/>
        </w:trPr>
        <w:tc>
          <w:tcPr>
            <w:tcW w:w="878" w:type="dxa"/>
            <w:vMerge w:val="restart"/>
            <w:vAlign w:val="center"/>
          </w:tcPr>
          <w:p>
            <w:pPr>
              <w:pStyle w:val="93"/>
              <w:rPr>
                <w:b w:val="0"/>
              </w:rPr>
            </w:pPr>
            <w:r>
              <w:rPr>
                <w:rFonts w:hint="eastAsia"/>
                <w:b w:val="0"/>
              </w:rPr>
              <w:t>序号</w:t>
            </w:r>
          </w:p>
        </w:tc>
        <w:tc>
          <w:tcPr>
            <w:tcW w:w="2450" w:type="dxa"/>
            <w:vMerge w:val="restart"/>
            <w:vAlign w:val="center"/>
          </w:tcPr>
          <w:p>
            <w:pPr>
              <w:pStyle w:val="93"/>
              <w:rPr>
                <w:b w:val="0"/>
              </w:rPr>
            </w:pPr>
            <w:r>
              <w:rPr>
                <w:rFonts w:hint="eastAsia"/>
                <w:b w:val="0"/>
              </w:rPr>
              <w:t>名  称</w:t>
            </w:r>
          </w:p>
        </w:tc>
        <w:tc>
          <w:tcPr>
            <w:tcW w:w="2848" w:type="dxa"/>
            <w:vMerge w:val="restart"/>
            <w:vAlign w:val="center"/>
          </w:tcPr>
          <w:p>
            <w:pPr>
              <w:pStyle w:val="93"/>
              <w:rPr>
                <w:b w:val="0"/>
              </w:rPr>
            </w:pPr>
            <w:r>
              <w:rPr>
                <w:rFonts w:hint="eastAsia"/>
                <w:b w:val="0"/>
              </w:rPr>
              <w:t>规格型号</w:t>
            </w:r>
          </w:p>
        </w:tc>
        <w:tc>
          <w:tcPr>
            <w:tcW w:w="879" w:type="dxa"/>
            <w:vMerge w:val="restart"/>
            <w:vAlign w:val="center"/>
          </w:tcPr>
          <w:p>
            <w:pPr>
              <w:pStyle w:val="93"/>
              <w:rPr>
                <w:b w:val="0"/>
              </w:rPr>
            </w:pPr>
            <w:r>
              <w:rPr>
                <w:rFonts w:hint="eastAsia"/>
                <w:b w:val="0"/>
              </w:rPr>
              <w:t>数量</w:t>
            </w:r>
          </w:p>
        </w:tc>
        <w:tc>
          <w:tcPr>
            <w:tcW w:w="1985" w:type="dxa"/>
            <w:vMerge w:val="restart"/>
            <w:vAlign w:val="center"/>
          </w:tcPr>
          <w:p>
            <w:pPr>
              <w:pStyle w:val="93"/>
              <w:rPr>
                <w:b w:val="0"/>
              </w:rPr>
            </w:pPr>
            <w:r>
              <w:rPr>
                <w:rFonts w:hint="eastAsia"/>
                <w:b w:val="0"/>
              </w:rPr>
              <w:t>厂家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878" w:type="dxa"/>
            <w:vMerge w:val="continue"/>
            <w:vAlign w:val="center"/>
          </w:tcPr>
          <w:p>
            <w:pPr>
              <w:pStyle w:val="93"/>
              <w:rPr>
                <w:b w:val="0"/>
              </w:rPr>
            </w:pPr>
          </w:p>
        </w:tc>
        <w:tc>
          <w:tcPr>
            <w:tcW w:w="2450" w:type="dxa"/>
            <w:vMerge w:val="continue"/>
            <w:vAlign w:val="center"/>
          </w:tcPr>
          <w:p>
            <w:pPr>
              <w:pStyle w:val="93"/>
              <w:rPr>
                <w:b w:val="0"/>
              </w:rPr>
            </w:pPr>
          </w:p>
        </w:tc>
        <w:tc>
          <w:tcPr>
            <w:tcW w:w="2848" w:type="dxa"/>
            <w:vMerge w:val="continue"/>
            <w:vAlign w:val="center"/>
          </w:tcPr>
          <w:p>
            <w:pPr>
              <w:pStyle w:val="93"/>
              <w:rPr>
                <w:b w:val="0"/>
              </w:rPr>
            </w:pPr>
          </w:p>
        </w:tc>
        <w:tc>
          <w:tcPr>
            <w:tcW w:w="879" w:type="dxa"/>
            <w:vMerge w:val="continue"/>
            <w:vAlign w:val="center"/>
          </w:tcPr>
          <w:p>
            <w:pPr>
              <w:pStyle w:val="93"/>
              <w:rPr>
                <w:b w:val="0"/>
              </w:rPr>
            </w:pP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w:t>
            </w:r>
          </w:p>
        </w:tc>
        <w:tc>
          <w:tcPr>
            <w:tcW w:w="2450" w:type="dxa"/>
            <w:noWrap/>
            <w:vAlign w:val="center"/>
          </w:tcPr>
          <w:p>
            <w:pPr>
              <w:pStyle w:val="93"/>
              <w:rPr>
                <w:b w:val="0"/>
              </w:rPr>
            </w:pPr>
            <w:r>
              <w:rPr>
                <w:rFonts w:hint="eastAsia"/>
                <w:b w:val="0"/>
              </w:rPr>
              <w:t>圆锥初清筛</w:t>
            </w:r>
          </w:p>
        </w:tc>
        <w:tc>
          <w:tcPr>
            <w:tcW w:w="2848" w:type="dxa"/>
            <w:noWrap/>
            <w:vAlign w:val="center"/>
          </w:tcPr>
          <w:p>
            <w:pPr>
              <w:pStyle w:val="93"/>
              <w:rPr>
                <w:b w:val="0"/>
              </w:rPr>
            </w:pPr>
            <w:r>
              <w:rPr>
                <w:rFonts w:hint="eastAsia"/>
                <w:b w:val="0"/>
              </w:rPr>
              <w:t>SCQ.60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w:t>
            </w:r>
          </w:p>
        </w:tc>
        <w:tc>
          <w:tcPr>
            <w:tcW w:w="2450" w:type="dxa"/>
            <w:vAlign w:val="center"/>
          </w:tcPr>
          <w:p>
            <w:pPr>
              <w:pStyle w:val="93"/>
              <w:rPr>
                <w:b w:val="0"/>
              </w:rPr>
            </w:pPr>
            <w:r>
              <w:rPr>
                <w:rFonts w:hint="eastAsia"/>
                <w:b w:val="0"/>
              </w:rPr>
              <w:t>卸料仓</w:t>
            </w:r>
          </w:p>
        </w:tc>
        <w:tc>
          <w:tcPr>
            <w:tcW w:w="2848" w:type="dxa"/>
            <w:vAlign w:val="center"/>
          </w:tcPr>
          <w:p>
            <w:pPr>
              <w:pStyle w:val="93"/>
              <w:rPr>
                <w:b w:val="0"/>
              </w:rPr>
            </w:pPr>
            <w:r>
              <w:rPr>
                <w:rFonts w:hint="eastAsia"/>
                <w:b w:val="0"/>
              </w:rPr>
              <w:t>XL500/300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w:t>
            </w:r>
          </w:p>
        </w:tc>
        <w:tc>
          <w:tcPr>
            <w:tcW w:w="2450" w:type="dxa"/>
            <w:vAlign w:val="center"/>
          </w:tcPr>
          <w:p>
            <w:pPr>
              <w:pStyle w:val="93"/>
              <w:rPr>
                <w:b w:val="0"/>
              </w:rPr>
            </w:pPr>
            <w:r>
              <w:rPr>
                <w:rFonts w:hint="eastAsia"/>
                <w:b w:val="0"/>
              </w:rPr>
              <w:t>卸料沙克龙</w:t>
            </w:r>
          </w:p>
        </w:tc>
        <w:tc>
          <w:tcPr>
            <w:tcW w:w="2848" w:type="dxa"/>
            <w:vAlign w:val="center"/>
          </w:tcPr>
          <w:p>
            <w:pPr>
              <w:pStyle w:val="93"/>
              <w:rPr>
                <w:b w:val="0"/>
              </w:rPr>
            </w:pPr>
            <w:r>
              <w:rPr>
                <w:rFonts w:hint="eastAsia"/>
                <w:b w:val="0"/>
              </w:rPr>
              <w:t>LHX-800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w:t>
            </w:r>
          </w:p>
        </w:tc>
        <w:tc>
          <w:tcPr>
            <w:tcW w:w="2450" w:type="dxa"/>
            <w:vAlign w:val="center"/>
          </w:tcPr>
          <w:p>
            <w:pPr>
              <w:pStyle w:val="93"/>
              <w:rPr>
                <w:b w:val="0"/>
              </w:rPr>
            </w:pPr>
            <w:r>
              <w:rPr>
                <w:rFonts w:hint="eastAsia"/>
                <w:b w:val="0"/>
              </w:rPr>
              <w:t>锤片粉碎机</w:t>
            </w:r>
          </w:p>
        </w:tc>
        <w:tc>
          <w:tcPr>
            <w:tcW w:w="2848" w:type="dxa"/>
            <w:vAlign w:val="center"/>
          </w:tcPr>
          <w:p>
            <w:pPr>
              <w:pStyle w:val="93"/>
              <w:rPr>
                <w:b w:val="0"/>
              </w:rPr>
            </w:pPr>
            <w:r>
              <w:rPr>
                <w:rFonts w:hint="eastAsia"/>
                <w:b w:val="0"/>
              </w:rPr>
              <w:t>SF.5636</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w:t>
            </w:r>
          </w:p>
        </w:tc>
        <w:tc>
          <w:tcPr>
            <w:tcW w:w="2450" w:type="dxa"/>
            <w:vAlign w:val="center"/>
          </w:tcPr>
          <w:p>
            <w:pPr>
              <w:pStyle w:val="93"/>
              <w:rPr>
                <w:b w:val="0"/>
              </w:rPr>
            </w:pPr>
            <w:r>
              <w:rPr>
                <w:rFonts w:hint="eastAsia"/>
                <w:b w:val="0"/>
              </w:rPr>
              <w:t>关风器</w:t>
            </w:r>
          </w:p>
        </w:tc>
        <w:tc>
          <w:tcPr>
            <w:tcW w:w="2848" w:type="dxa"/>
            <w:vAlign w:val="center"/>
          </w:tcPr>
          <w:p>
            <w:pPr>
              <w:pStyle w:val="93"/>
              <w:rPr>
                <w:b w:val="0"/>
              </w:rPr>
            </w:pPr>
            <w:r>
              <w:rPr>
                <w:rFonts w:hint="eastAsia"/>
                <w:b w:val="0"/>
              </w:rPr>
              <w:t>YCD-8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w:t>
            </w:r>
          </w:p>
        </w:tc>
        <w:tc>
          <w:tcPr>
            <w:tcW w:w="2450" w:type="dxa"/>
            <w:vAlign w:val="center"/>
          </w:tcPr>
          <w:p>
            <w:pPr>
              <w:pStyle w:val="93"/>
              <w:rPr>
                <w:b w:val="0"/>
              </w:rPr>
            </w:pPr>
            <w:r>
              <w:rPr>
                <w:rFonts w:hint="eastAsia"/>
                <w:b w:val="0"/>
              </w:rPr>
              <w:t>中间料仓</w:t>
            </w:r>
          </w:p>
        </w:tc>
        <w:tc>
          <w:tcPr>
            <w:tcW w:w="2848" w:type="dxa"/>
            <w:vAlign w:val="center"/>
          </w:tcPr>
          <w:p>
            <w:pPr>
              <w:pStyle w:val="93"/>
              <w:rPr>
                <w:b w:val="0"/>
              </w:rPr>
            </w:pPr>
            <w:r>
              <w:rPr>
                <w:rFonts w:hint="eastAsia"/>
                <w:b w:val="0"/>
              </w:rPr>
              <w:t>CGG.200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w:t>
            </w:r>
          </w:p>
        </w:tc>
        <w:tc>
          <w:tcPr>
            <w:tcW w:w="2450" w:type="dxa"/>
            <w:vAlign w:val="center"/>
          </w:tcPr>
          <w:p>
            <w:pPr>
              <w:pStyle w:val="93"/>
              <w:rPr>
                <w:b w:val="0"/>
              </w:rPr>
            </w:pPr>
            <w:r>
              <w:rPr>
                <w:rFonts w:hint="eastAsia"/>
                <w:b w:val="0"/>
              </w:rPr>
              <w:t>进料绞龙</w:t>
            </w:r>
          </w:p>
        </w:tc>
        <w:tc>
          <w:tcPr>
            <w:tcW w:w="2848" w:type="dxa"/>
            <w:vAlign w:val="center"/>
          </w:tcPr>
          <w:p>
            <w:pPr>
              <w:pStyle w:val="93"/>
              <w:rPr>
                <w:b w:val="0"/>
              </w:rPr>
            </w:pPr>
            <w:r>
              <w:rPr>
                <w:rFonts w:hint="eastAsia"/>
                <w:b w:val="0"/>
              </w:rPr>
              <w:t>LSS-150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w:t>
            </w:r>
          </w:p>
        </w:tc>
        <w:tc>
          <w:tcPr>
            <w:tcW w:w="2450" w:type="dxa"/>
            <w:vAlign w:val="center"/>
          </w:tcPr>
          <w:p>
            <w:pPr>
              <w:pStyle w:val="93"/>
              <w:rPr>
                <w:b w:val="0"/>
              </w:rPr>
            </w:pPr>
            <w:r>
              <w:rPr>
                <w:rFonts w:hint="eastAsia"/>
                <w:b w:val="0"/>
              </w:rPr>
              <w:t>超微粉粉碎机组</w:t>
            </w:r>
          </w:p>
        </w:tc>
        <w:tc>
          <w:tcPr>
            <w:tcW w:w="2848" w:type="dxa"/>
            <w:vAlign w:val="center"/>
          </w:tcPr>
          <w:p>
            <w:pPr>
              <w:pStyle w:val="93"/>
              <w:rPr>
                <w:b w:val="0"/>
              </w:rPr>
            </w:pPr>
            <w:r>
              <w:rPr>
                <w:rFonts w:hint="eastAsia"/>
                <w:b w:val="0"/>
              </w:rPr>
              <w:t>CR1000</w:t>
            </w:r>
          </w:p>
        </w:tc>
        <w:tc>
          <w:tcPr>
            <w:tcW w:w="879" w:type="dxa"/>
            <w:vAlign w:val="center"/>
          </w:tcPr>
          <w:p>
            <w:pPr>
              <w:pStyle w:val="93"/>
              <w:rPr>
                <w:b w:val="0"/>
              </w:rPr>
            </w:pPr>
            <w:r>
              <w:rPr>
                <w:rFonts w:hint="eastAsia"/>
                <w:b w:val="0"/>
              </w:rPr>
              <w:t>2</w:t>
            </w:r>
          </w:p>
        </w:tc>
        <w:tc>
          <w:tcPr>
            <w:tcW w:w="1985" w:type="dxa"/>
            <w:vAlign w:val="center"/>
          </w:tcPr>
          <w:p>
            <w:pPr>
              <w:pStyle w:val="93"/>
              <w:rPr>
                <w:b w:val="0"/>
              </w:rPr>
            </w:pPr>
            <w:r>
              <w:rPr>
                <w:rFonts w:hint="eastAsia"/>
                <w:b w:val="0"/>
              </w:rPr>
              <w:t>山东潍坊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w:t>
            </w:r>
          </w:p>
        </w:tc>
        <w:tc>
          <w:tcPr>
            <w:tcW w:w="2450" w:type="dxa"/>
            <w:vAlign w:val="center"/>
          </w:tcPr>
          <w:p>
            <w:pPr>
              <w:pStyle w:val="93"/>
              <w:rPr>
                <w:b w:val="0"/>
              </w:rPr>
            </w:pPr>
            <w:r>
              <w:rPr>
                <w:rFonts w:hint="eastAsia"/>
                <w:b w:val="0"/>
              </w:rPr>
              <w:t>旋风收集器</w:t>
            </w:r>
          </w:p>
        </w:tc>
        <w:tc>
          <w:tcPr>
            <w:tcW w:w="2848" w:type="dxa"/>
            <w:vAlign w:val="center"/>
          </w:tcPr>
          <w:p>
            <w:pPr>
              <w:pStyle w:val="93"/>
              <w:rPr>
                <w:b w:val="0"/>
              </w:rPr>
            </w:pPr>
            <w:r>
              <w:rPr>
                <w:rFonts w:hint="eastAsia"/>
                <w:b w:val="0"/>
              </w:rPr>
              <w:t>LHX-800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山东潍坊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w:t>
            </w:r>
          </w:p>
        </w:tc>
        <w:tc>
          <w:tcPr>
            <w:tcW w:w="2450" w:type="dxa"/>
            <w:vAlign w:val="center"/>
          </w:tcPr>
          <w:p>
            <w:pPr>
              <w:pStyle w:val="93"/>
              <w:rPr>
                <w:b w:val="0"/>
              </w:rPr>
            </w:pPr>
            <w:r>
              <w:rPr>
                <w:rFonts w:hint="eastAsia"/>
                <w:b w:val="0"/>
              </w:rPr>
              <w:t>脉冲除尘器</w:t>
            </w:r>
          </w:p>
        </w:tc>
        <w:tc>
          <w:tcPr>
            <w:tcW w:w="2848" w:type="dxa"/>
            <w:vAlign w:val="center"/>
          </w:tcPr>
          <w:p>
            <w:pPr>
              <w:pStyle w:val="93"/>
              <w:rPr>
                <w:b w:val="0"/>
              </w:rPr>
            </w:pPr>
            <w:r>
              <w:rPr>
                <w:rFonts w:hint="eastAsia"/>
                <w:b w:val="0"/>
              </w:rPr>
              <w:t>MDC154</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山东潍坊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w:t>
            </w:r>
          </w:p>
        </w:tc>
        <w:tc>
          <w:tcPr>
            <w:tcW w:w="2450" w:type="dxa"/>
            <w:vAlign w:val="center"/>
          </w:tcPr>
          <w:p>
            <w:pPr>
              <w:pStyle w:val="93"/>
              <w:rPr>
                <w:b w:val="0"/>
              </w:rPr>
            </w:pPr>
            <w:r>
              <w:rPr>
                <w:rFonts w:hint="eastAsia"/>
                <w:b w:val="0"/>
              </w:rPr>
              <w:t>引风机</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山东潍坊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w:t>
            </w:r>
          </w:p>
        </w:tc>
        <w:tc>
          <w:tcPr>
            <w:tcW w:w="2450" w:type="dxa"/>
            <w:vAlign w:val="center"/>
          </w:tcPr>
          <w:p>
            <w:pPr>
              <w:pStyle w:val="93"/>
              <w:rPr>
                <w:b w:val="0"/>
              </w:rPr>
            </w:pPr>
            <w:r>
              <w:rPr>
                <w:rFonts w:hint="eastAsia"/>
                <w:b w:val="0"/>
              </w:rPr>
              <w:t>微粉成品料仓</w:t>
            </w:r>
          </w:p>
        </w:tc>
        <w:tc>
          <w:tcPr>
            <w:tcW w:w="2848" w:type="dxa"/>
            <w:vAlign w:val="center"/>
          </w:tcPr>
          <w:p>
            <w:pPr>
              <w:pStyle w:val="93"/>
              <w:rPr>
                <w:b w:val="0"/>
              </w:rPr>
            </w:pPr>
            <w:r>
              <w:rPr>
                <w:rFonts w:hint="eastAsia"/>
                <w:b w:val="0"/>
              </w:rPr>
              <w:t>CGG.200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w:t>
            </w:r>
          </w:p>
        </w:tc>
        <w:tc>
          <w:tcPr>
            <w:tcW w:w="2450" w:type="dxa"/>
            <w:vAlign w:val="center"/>
          </w:tcPr>
          <w:p>
            <w:pPr>
              <w:pStyle w:val="93"/>
              <w:rPr>
                <w:b w:val="0"/>
              </w:rPr>
            </w:pPr>
            <w:r>
              <w:rPr>
                <w:rFonts w:hint="eastAsia"/>
                <w:b w:val="0"/>
              </w:rPr>
              <w:t>溶剂自动计量</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天津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w:t>
            </w:r>
          </w:p>
        </w:tc>
        <w:tc>
          <w:tcPr>
            <w:tcW w:w="2450" w:type="dxa"/>
            <w:vAlign w:val="center"/>
          </w:tcPr>
          <w:p>
            <w:pPr>
              <w:pStyle w:val="93"/>
              <w:rPr>
                <w:b w:val="0"/>
              </w:rPr>
            </w:pPr>
            <w:r>
              <w:rPr>
                <w:rFonts w:hint="eastAsia"/>
                <w:b w:val="0"/>
              </w:rPr>
              <w:t>定量进料器</w:t>
            </w:r>
          </w:p>
        </w:tc>
        <w:tc>
          <w:tcPr>
            <w:tcW w:w="2848" w:type="dxa"/>
            <w:vAlign w:val="center"/>
          </w:tcPr>
          <w:p>
            <w:pPr>
              <w:pStyle w:val="93"/>
              <w:rPr>
                <w:b w:val="0"/>
              </w:rPr>
            </w:pPr>
            <w:r>
              <w:rPr>
                <w:rFonts w:hint="eastAsia"/>
                <w:b w:val="0"/>
              </w:rPr>
              <w:t>JL.150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w:t>
            </w:r>
          </w:p>
        </w:tc>
        <w:tc>
          <w:tcPr>
            <w:tcW w:w="2450" w:type="dxa"/>
            <w:vAlign w:val="center"/>
          </w:tcPr>
          <w:p>
            <w:pPr>
              <w:pStyle w:val="93"/>
              <w:rPr>
                <w:b w:val="0"/>
              </w:rPr>
            </w:pPr>
            <w:r>
              <w:rPr>
                <w:rFonts w:hint="eastAsia"/>
                <w:b w:val="0"/>
              </w:rPr>
              <w:t>预混合罐</w:t>
            </w:r>
          </w:p>
        </w:tc>
        <w:tc>
          <w:tcPr>
            <w:tcW w:w="2848" w:type="dxa"/>
            <w:vAlign w:val="center"/>
          </w:tcPr>
          <w:p>
            <w:pPr>
              <w:pStyle w:val="93"/>
              <w:rPr>
                <w:b w:val="0"/>
              </w:rPr>
            </w:pPr>
            <w:r>
              <w:rPr>
                <w:rFonts w:hint="eastAsia"/>
                <w:b w:val="0"/>
              </w:rPr>
              <w:t>YGYH.100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w:t>
            </w:r>
          </w:p>
        </w:tc>
        <w:tc>
          <w:tcPr>
            <w:tcW w:w="2450" w:type="dxa"/>
            <w:vAlign w:val="center"/>
          </w:tcPr>
          <w:p>
            <w:pPr>
              <w:pStyle w:val="93"/>
              <w:rPr>
                <w:b w:val="0"/>
              </w:rPr>
            </w:pPr>
            <w:r>
              <w:rPr>
                <w:rFonts w:hint="eastAsia"/>
                <w:b w:val="0"/>
              </w:rPr>
              <w:t>捏合循环泵</w:t>
            </w:r>
          </w:p>
        </w:tc>
        <w:tc>
          <w:tcPr>
            <w:tcW w:w="2848" w:type="dxa"/>
            <w:vAlign w:val="center"/>
          </w:tcPr>
          <w:p>
            <w:pPr>
              <w:pStyle w:val="93"/>
              <w:rPr>
                <w:b w:val="0"/>
              </w:rPr>
            </w:pPr>
            <w:r>
              <w:rPr>
                <w:rFonts w:hint="eastAsia"/>
                <w:b w:val="0"/>
              </w:rPr>
              <w:t>GJB4-25B</w:t>
            </w:r>
          </w:p>
        </w:tc>
        <w:tc>
          <w:tcPr>
            <w:tcW w:w="879" w:type="dxa"/>
            <w:vAlign w:val="center"/>
          </w:tcPr>
          <w:p>
            <w:pPr>
              <w:pStyle w:val="93"/>
              <w:rPr>
                <w:b w:val="0"/>
              </w:rPr>
            </w:pPr>
            <w:r>
              <w:rPr>
                <w:rFonts w:hint="eastAsia"/>
                <w:b w:val="0"/>
              </w:rPr>
              <w:t>4</w:t>
            </w:r>
          </w:p>
        </w:tc>
        <w:tc>
          <w:tcPr>
            <w:tcW w:w="1985" w:type="dxa"/>
            <w:vAlign w:val="center"/>
          </w:tcPr>
          <w:p>
            <w:pPr>
              <w:pStyle w:val="93"/>
              <w:rPr>
                <w:b w:val="0"/>
              </w:rPr>
            </w:pPr>
            <w:r>
              <w:rPr>
                <w:rFonts w:hint="eastAsia"/>
                <w:b w:val="0"/>
              </w:rPr>
              <w:t>江苏、上海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17</w:t>
            </w:r>
          </w:p>
        </w:tc>
        <w:tc>
          <w:tcPr>
            <w:tcW w:w="2450" w:type="dxa"/>
            <w:vAlign w:val="center"/>
          </w:tcPr>
          <w:p>
            <w:pPr>
              <w:pStyle w:val="93"/>
              <w:rPr>
                <w:b w:val="0"/>
              </w:rPr>
            </w:pPr>
            <w:r>
              <w:rPr>
                <w:rFonts w:hint="eastAsia"/>
                <w:b w:val="0"/>
              </w:rPr>
              <w:t>卸料除尘器</w:t>
            </w:r>
          </w:p>
        </w:tc>
        <w:tc>
          <w:tcPr>
            <w:tcW w:w="2848" w:type="dxa"/>
            <w:vAlign w:val="center"/>
          </w:tcPr>
          <w:p>
            <w:pPr>
              <w:pStyle w:val="93"/>
              <w:rPr>
                <w:b w:val="0"/>
              </w:rPr>
            </w:pPr>
            <w:r>
              <w:rPr>
                <w:rFonts w:hint="eastAsia"/>
                <w:b w:val="0"/>
              </w:rPr>
              <w:t>TBLMZa.32</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18</w:t>
            </w:r>
          </w:p>
        </w:tc>
        <w:tc>
          <w:tcPr>
            <w:tcW w:w="2450" w:type="dxa"/>
            <w:vAlign w:val="center"/>
          </w:tcPr>
          <w:p>
            <w:pPr>
              <w:pStyle w:val="93"/>
              <w:rPr>
                <w:b w:val="0"/>
              </w:rPr>
            </w:pPr>
            <w:r>
              <w:rPr>
                <w:rFonts w:hint="eastAsia"/>
                <w:b w:val="0"/>
              </w:rPr>
              <w:t>高位储罐</w:t>
            </w:r>
          </w:p>
        </w:tc>
        <w:tc>
          <w:tcPr>
            <w:tcW w:w="2848" w:type="dxa"/>
            <w:vAlign w:val="center"/>
          </w:tcPr>
          <w:p>
            <w:pPr>
              <w:pStyle w:val="93"/>
              <w:rPr>
                <w:b w:val="0"/>
              </w:rPr>
            </w:pPr>
            <w:r>
              <w:rPr>
                <w:rFonts w:hint="eastAsia"/>
                <w:b w:val="0"/>
              </w:rPr>
              <w:t>XHL1200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19</w:t>
            </w:r>
          </w:p>
        </w:tc>
        <w:tc>
          <w:tcPr>
            <w:tcW w:w="2450" w:type="dxa"/>
            <w:vAlign w:val="center"/>
          </w:tcPr>
          <w:p>
            <w:pPr>
              <w:pStyle w:val="93"/>
              <w:rPr>
                <w:b w:val="0"/>
              </w:rPr>
            </w:pPr>
            <w:r>
              <w:rPr>
                <w:rFonts w:hint="eastAsia"/>
                <w:b w:val="0"/>
              </w:rPr>
              <w:t>除尘沙克龙</w:t>
            </w:r>
          </w:p>
        </w:tc>
        <w:tc>
          <w:tcPr>
            <w:tcW w:w="2848" w:type="dxa"/>
            <w:vAlign w:val="center"/>
          </w:tcPr>
          <w:p>
            <w:pPr>
              <w:pStyle w:val="93"/>
              <w:rPr>
                <w:b w:val="0"/>
              </w:rPr>
            </w:pPr>
            <w:r>
              <w:rPr>
                <w:rFonts w:hint="eastAsia"/>
                <w:b w:val="0"/>
              </w:rPr>
              <w:t>XKL100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20</w:t>
            </w:r>
          </w:p>
        </w:tc>
        <w:tc>
          <w:tcPr>
            <w:tcW w:w="2450" w:type="dxa"/>
            <w:vAlign w:val="center"/>
          </w:tcPr>
          <w:p>
            <w:pPr>
              <w:pStyle w:val="93"/>
              <w:rPr>
                <w:b w:val="0"/>
              </w:rPr>
            </w:pPr>
            <w:r>
              <w:rPr>
                <w:rFonts w:hint="eastAsia"/>
                <w:b w:val="0"/>
              </w:rPr>
              <w:t>脉冲除尘器</w:t>
            </w:r>
          </w:p>
        </w:tc>
        <w:tc>
          <w:tcPr>
            <w:tcW w:w="2848" w:type="dxa"/>
            <w:vAlign w:val="center"/>
          </w:tcPr>
          <w:p>
            <w:pPr>
              <w:pStyle w:val="93"/>
              <w:rPr>
                <w:b w:val="0"/>
              </w:rPr>
            </w:pPr>
            <w:r>
              <w:rPr>
                <w:rFonts w:hint="eastAsia"/>
                <w:b w:val="0"/>
              </w:rPr>
              <w:t>TBLMZa.28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开封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21</w:t>
            </w:r>
          </w:p>
        </w:tc>
        <w:tc>
          <w:tcPr>
            <w:tcW w:w="2450" w:type="dxa"/>
            <w:vAlign w:val="center"/>
          </w:tcPr>
          <w:p>
            <w:pPr>
              <w:pStyle w:val="93"/>
              <w:rPr>
                <w:b w:val="0"/>
              </w:rPr>
            </w:pPr>
            <w:r>
              <w:rPr>
                <w:rFonts w:hint="eastAsia"/>
                <w:b w:val="0"/>
              </w:rPr>
              <w:t>溶剂加热器</w:t>
            </w:r>
          </w:p>
        </w:tc>
        <w:tc>
          <w:tcPr>
            <w:tcW w:w="2848" w:type="dxa"/>
            <w:vAlign w:val="center"/>
          </w:tcPr>
          <w:p>
            <w:pPr>
              <w:pStyle w:val="93"/>
              <w:rPr>
                <w:b w:val="0"/>
              </w:rPr>
            </w:pPr>
            <w:r>
              <w:rPr>
                <w:rFonts w:hint="eastAsia"/>
                <w:b w:val="0"/>
              </w:rPr>
              <w:t>BR02-10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佛山禅能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22</w:t>
            </w:r>
          </w:p>
        </w:tc>
        <w:tc>
          <w:tcPr>
            <w:tcW w:w="2450" w:type="dxa"/>
            <w:vAlign w:val="center"/>
          </w:tcPr>
          <w:p>
            <w:pPr>
              <w:pStyle w:val="93"/>
              <w:rPr>
                <w:b w:val="0"/>
              </w:rPr>
            </w:pPr>
            <w:r>
              <w:rPr>
                <w:rFonts w:hint="eastAsia"/>
                <w:b w:val="0"/>
              </w:rPr>
              <w:t>1#萃取器</w:t>
            </w:r>
          </w:p>
        </w:tc>
        <w:tc>
          <w:tcPr>
            <w:tcW w:w="2848" w:type="dxa"/>
            <w:vAlign w:val="center"/>
          </w:tcPr>
          <w:p>
            <w:pPr>
              <w:pStyle w:val="93"/>
              <w:rPr>
                <w:b w:val="0"/>
              </w:rPr>
            </w:pPr>
            <w:r>
              <w:rPr>
                <w:rFonts w:hint="eastAsia"/>
                <w:b w:val="0"/>
              </w:rPr>
              <w:t>FFYG.220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23</w:t>
            </w:r>
          </w:p>
        </w:tc>
        <w:tc>
          <w:tcPr>
            <w:tcW w:w="2450" w:type="dxa"/>
            <w:vAlign w:val="center"/>
          </w:tcPr>
          <w:p>
            <w:pPr>
              <w:pStyle w:val="93"/>
              <w:rPr>
                <w:b w:val="0"/>
              </w:rPr>
            </w:pPr>
            <w:r>
              <w:rPr>
                <w:rFonts w:hint="eastAsia"/>
                <w:b w:val="0"/>
              </w:rPr>
              <w:t>1#出料泵</w:t>
            </w:r>
          </w:p>
        </w:tc>
        <w:tc>
          <w:tcPr>
            <w:tcW w:w="2848" w:type="dxa"/>
            <w:vAlign w:val="center"/>
          </w:tcPr>
          <w:p>
            <w:pPr>
              <w:pStyle w:val="93"/>
              <w:rPr>
                <w:b w:val="0"/>
              </w:rPr>
            </w:pPr>
            <w:r>
              <w:rPr>
                <w:rFonts w:hint="eastAsia"/>
                <w:b w:val="0"/>
              </w:rPr>
              <w:t>PN40-01L</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24</w:t>
            </w:r>
          </w:p>
        </w:tc>
        <w:tc>
          <w:tcPr>
            <w:tcW w:w="2450" w:type="dxa"/>
            <w:vAlign w:val="center"/>
          </w:tcPr>
          <w:p>
            <w:pPr>
              <w:pStyle w:val="93"/>
              <w:rPr>
                <w:b w:val="0"/>
              </w:rPr>
            </w:pPr>
            <w:r>
              <w:rPr>
                <w:rFonts w:hint="eastAsia"/>
                <w:b w:val="0"/>
              </w:rPr>
              <w:t>旋液卸料器</w:t>
            </w:r>
          </w:p>
        </w:tc>
        <w:tc>
          <w:tcPr>
            <w:tcW w:w="2848" w:type="dxa"/>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25</w:t>
            </w:r>
          </w:p>
        </w:tc>
        <w:tc>
          <w:tcPr>
            <w:tcW w:w="2450" w:type="dxa"/>
            <w:vAlign w:val="center"/>
          </w:tcPr>
          <w:p>
            <w:pPr>
              <w:pStyle w:val="93"/>
              <w:rPr>
                <w:b w:val="0"/>
              </w:rPr>
            </w:pPr>
            <w:r>
              <w:rPr>
                <w:rFonts w:hint="eastAsia"/>
                <w:b w:val="0"/>
              </w:rPr>
              <w:t>叶片过滤机</w:t>
            </w:r>
          </w:p>
        </w:tc>
        <w:tc>
          <w:tcPr>
            <w:tcW w:w="2848" w:type="dxa"/>
            <w:vAlign w:val="center"/>
          </w:tcPr>
          <w:p>
            <w:pPr>
              <w:pStyle w:val="93"/>
              <w:rPr>
                <w:b w:val="0"/>
              </w:rPr>
            </w:pPr>
            <w:r>
              <w:rPr>
                <w:rFonts w:hint="eastAsia"/>
                <w:b w:val="0"/>
              </w:rPr>
              <w:t>NYB-60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巨能机械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26</w:t>
            </w:r>
          </w:p>
        </w:tc>
        <w:tc>
          <w:tcPr>
            <w:tcW w:w="2450" w:type="dxa"/>
            <w:vAlign w:val="center"/>
          </w:tcPr>
          <w:p>
            <w:pPr>
              <w:pStyle w:val="93"/>
              <w:rPr>
                <w:b w:val="0"/>
              </w:rPr>
            </w:pPr>
            <w:r>
              <w:rPr>
                <w:rFonts w:hint="eastAsia"/>
                <w:b w:val="0"/>
              </w:rPr>
              <w:t>精滤系统</w:t>
            </w:r>
          </w:p>
        </w:tc>
        <w:tc>
          <w:tcPr>
            <w:tcW w:w="2848" w:type="dxa"/>
            <w:vAlign w:val="center"/>
          </w:tcPr>
          <w:p>
            <w:pPr>
              <w:pStyle w:val="93"/>
              <w:rPr>
                <w:b w:val="0"/>
              </w:rPr>
            </w:pPr>
            <w:r>
              <w:rPr>
                <w:rFonts w:hint="eastAsia"/>
                <w:b w:val="0"/>
              </w:rPr>
              <w:t>TLT18*500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山东淄博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27</w:t>
            </w:r>
          </w:p>
        </w:tc>
        <w:tc>
          <w:tcPr>
            <w:tcW w:w="2450" w:type="dxa"/>
            <w:vAlign w:val="center"/>
          </w:tcPr>
          <w:p>
            <w:pPr>
              <w:pStyle w:val="93"/>
              <w:rPr>
                <w:b w:val="0"/>
              </w:rPr>
            </w:pPr>
            <w:r>
              <w:rPr>
                <w:rFonts w:hint="eastAsia"/>
                <w:b w:val="0"/>
              </w:rPr>
              <w:t>暂存料仓</w:t>
            </w:r>
          </w:p>
        </w:tc>
        <w:tc>
          <w:tcPr>
            <w:tcW w:w="2848" w:type="dxa"/>
            <w:vAlign w:val="center"/>
          </w:tcPr>
          <w:p>
            <w:pPr>
              <w:pStyle w:val="93"/>
              <w:rPr>
                <w:b w:val="0"/>
              </w:rPr>
            </w:pPr>
            <w:r>
              <w:rPr>
                <w:rFonts w:hint="eastAsia"/>
                <w:b w:val="0"/>
              </w:rPr>
              <w:t>LC.150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28</w:t>
            </w:r>
          </w:p>
        </w:tc>
        <w:tc>
          <w:tcPr>
            <w:tcW w:w="2450" w:type="dxa"/>
            <w:vAlign w:val="center"/>
          </w:tcPr>
          <w:p>
            <w:pPr>
              <w:pStyle w:val="93"/>
              <w:rPr>
                <w:b w:val="0"/>
              </w:rPr>
            </w:pPr>
            <w:r>
              <w:rPr>
                <w:rFonts w:hint="eastAsia"/>
                <w:b w:val="0"/>
              </w:rPr>
              <w:t>双向绞龙</w:t>
            </w:r>
          </w:p>
        </w:tc>
        <w:tc>
          <w:tcPr>
            <w:tcW w:w="2848" w:type="dxa"/>
            <w:vAlign w:val="center"/>
          </w:tcPr>
          <w:p>
            <w:pPr>
              <w:pStyle w:val="93"/>
              <w:rPr>
                <w:b w:val="0"/>
              </w:rPr>
            </w:pPr>
            <w:r>
              <w:rPr>
                <w:rFonts w:hint="eastAsia"/>
                <w:b w:val="0"/>
              </w:rPr>
              <w:t>Φ400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29</w:t>
            </w:r>
          </w:p>
        </w:tc>
        <w:tc>
          <w:tcPr>
            <w:tcW w:w="2450" w:type="dxa"/>
            <w:vAlign w:val="center"/>
          </w:tcPr>
          <w:p>
            <w:pPr>
              <w:pStyle w:val="93"/>
              <w:rPr>
                <w:b w:val="0"/>
              </w:rPr>
            </w:pPr>
            <w:r>
              <w:rPr>
                <w:rFonts w:hint="eastAsia"/>
                <w:b w:val="0"/>
              </w:rPr>
              <w:t>2#萃取器</w:t>
            </w:r>
          </w:p>
        </w:tc>
        <w:tc>
          <w:tcPr>
            <w:tcW w:w="2848" w:type="dxa"/>
            <w:vAlign w:val="center"/>
          </w:tcPr>
          <w:p>
            <w:pPr>
              <w:pStyle w:val="93"/>
              <w:rPr>
                <w:b w:val="0"/>
              </w:rPr>
            </w:pPr>
            <w:r>
              <w:rPr>
                <w:rFonts w:hint="eastAsia"/>
                <w:b w:val="0"/>
              </w:rPr>
              <w:t>FFYG.220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30</w:t>
            </w:r>
          </w:p>
        </w:tc>
        <w:tc>
          <w:tcPr>
            <w:tcW w:w="2450" w:type="dxa"/>
            <w:vAlign w:val="center"/>
          </w:tcPr>
          <w:p>
            <w:pPr>
              <w:pStyle w:val="93"/>
              <w:rPr>
                <w:b w:val="0"/>
              </w:rPr>
            </w:pPr>
            <w:r>
              <w:rPr>
                <w:rFonts w:hint="eastAsia"/>
                <w:b w:val="0"/>
              </w:rPr>
              <w:t>2#出料泵</w:t>
            </w:r>
          </w:p>
        </w:tc>
        <w:tc>
          <w:tcPr>
            <w:tcW w:w="2848" w:type="dxa"/>
            <w:vAlign w:val="center"/>
          </w:tcPr>
          <w:p>
            <w:pPr>
              <w:pStyle w:val="93"/>
              <w:rPr>
                <w:b w:val="0"/>
              </w:rPr>
            </w:pPr>
            <w:r>
              <w:rPr>
                <w:rFonts w:hint="eastAsia"/>
                <w:b w:val="0"/>
              </w:rPr>
              <w:t>PN40-01L</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31</w:t>
            </w:r>
          </w:p>
        </w:tc>
        <w:tc>
          <w:tcPr>
            <w:tcW w:w="2450" w:type="dxa"/>
            <w:vAlign w:val="center"/>
          </w:tcPr>
          <w:p>
            <w:pPr>
              <w:pStyle w:val="93"/>
              <w:rPr>
                <w:b w:val="0"/>
              </w:rPr>
            </w:pPr>
            <w:r>
              <w:rPr>
                <w:rFonts w:hint="eastAsia"/>
                <w:b w:val="0"/>
              </w:rPr>
              <w:t>旋液卸料器</w:t>
            </w:r>
          </w:p>
        </w:tc>
        <w:tc>
          <w:tcPr>
            <w:tcW w:w="2848" w:type="dxa"/>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32</w:t>
            </w:r>
          </w:p>
        </w:tc>
        <w:tc>
          <w:tcPr>
            <w:tcW w:w="2450" w:type="dxa"/>
            <w:vAlign w:val="center"/>
          </w:tcPr>
          <w:p>
            <w:pPr>
              <w:pStyle w:val="93"/>
              <w:rPr>
                <w:b w:val="0"/>
              </w:rPr>
            </w:pPr>
            <w:r>
              <w:rPr>
                <w:rFonts w:hint="eastAsia"/>
                <w:b w:val="0"/>
              </w:rPr>
              <w:t>叶片过滤机</w:t>
            </w:r>
          </w:p>
        </w:tc>
        <w:tc>
          <w:tcPr>
            <w:tcW w:w="2848" w:type="dxa"/>
            <w:vAlign w:val="center"/>
          </w:tcPr>
          <w:p>
            <w:pPr>
              <w:pStyle w:val="93"/>
              <w:rPr>
                <w:b w:val="0"/>
              </w:rPr>
            </w:pPr>
            <w:r>
              <w:rPr>
                <w:rFonts w:hint="eastAsia"/>
                <w:b w:val="0"/>
              </w:rPr>
              <w:t>NYB-60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巨能机械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34</w:t>
            </w:r>
          </w:p>
        </w:tc>
        <w:tc>
          <w:tcPr>
            <w:tcW w:w="2450" w:type="dxa"/>
            <w:vAlign w:val="center"/>
          </w:tcPr>
          <w:p>
            <w:pPr>
              <w:pStyle w:val="93"/>
              <w:rPr>
                <w:b w:val="0"/>
              </w:rPr>
            </w:pPr>
            <w:r>
              <w:rPr>
                <w:rFonts w:hint="eastAsia"/>
                <w:b w:val="0"/>
              </w:rPr>
              <w:t>暂存料仓</w:t>
            </w:r>
          </w:p>
        </w:tc>
        <w:tc>
          <w:tcPr>
            <w:tcW w:w="2848" w:type="dxa"/>
            <w:vAlign w:val="center"/>
          </w:tcPr>
          <w:p>
            <w:pPr>
              <w:pStyle w:val="93"/>
              <w:rPr>
                <w:b w:val="0"/>
              </w:rPr>
            </w:pPr>
            <w:r>
              <w:rPr>
                <w:rFonts w:hint="eastAsia"/>
                <w:b w:val="0"/>
              </w:rPr>
              <w:t>LC.150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35</w:t>
            </w:r>
          </w:p>
        </w:tc>
        <w:tc>
          <w:tcPr>
            <w:tcW w:w="2450" w:type="dxa"/>
            <w:vAlign w:val="center"/>
          </w:tcPr>
          <w:p>
            <w:pPr>
              <w:pStyle w:val="93"/>
              <w:rPr>
                <w:b w:val="0"/>
              </w:rPr>
            </w:pPr>
            <w:r>
              <w:rPr>
                <w:rFonts w:hint="eastAsia"/>
                <w:b w:val="0"/>
              </w:rPr>
              <w:t>双向绞龙</w:t>
            </w:r>
          </w:p>
        </w:tc>
        <w:tc>
          <w:tcPr>
            <w:tcW w:w="2848" w:type="dxa"/>
            <w:vAlign w:val="center"/>
          </w:tcPr>
          <w:p>
            <w:pPr>
              <w:pStyle w:val="93"/>
              <w:rPr>
                <w:b w:val="0"/>
              </w:rPr>
            </w:pPr>
            <w:r>
              <w:rPr>
                <w:rFonts w:hint="eastAsia"/>
                <w:b w:val="0"/>
              </w:rPr>
              <w:t>Φ400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36</w:t>
            </w:r>
          </w:p>
        </w:tc>
        <w:tc>
          <w:tcPr>
            <w:tcW w:w="2450" w:type="dxa"/>
            <w:vAlign w:val="center"/>
          </w:tcPr>
          <w:p>
            <w:pPr>
              <w:pStyle w:val="93"/>
              <w:rPr>
                <w:b w:val="0"/>
              </w:rPr>
            </w:pPr>
            <w:r>
              <w:rPr>
                <w:rFonts w:hint="eastAsia"/>
                <w:b w:val="0"/>
              </w:rPr>
              <w:t>一蒸发器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37</w:t>
            </w:r>
          </w:p>
        </w:tc>
        <w:tc>
          <w:tcPr>
            <w:tcW w:w="2450" w:type="dxa"/>
            <w:vAlign w:val="center"/>
          </w:tcPr>
          <w:p>
            <w:pPr>
              <w:pStyle w:val="93"/>
              <w:rPr>
                <w:b w:val="0"/>
              </w:rPr>
            </w:pPr>
            <w:r>
              <w:rPr>
                <w:rFonts w:hint="eastAsia"/>
                <w:b w:val="0"/>
              </w:rPr>
              <w:t>一蒸散发器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40</w:t>
            </w:r>
          </w:p>
        </w:tc>
        <w:tc>
          <w:tcPr>
            <w:tcW w:w="2450" w:type="dxa"/>
            <w:vAlign w:val="center"/>
          </w:tcPr>
          <w:p>
            <w:pPr>
              <w:pStyle w:val="93"/>
              <w:rPr>
                <w:b w:val="0"/>
              </w:rPr>
            </w:pPr>
            <w:r>
              <w:rPr>
                <w:rFonts w:hint="eastAsia"/>
                <w:b w:val="0"/>
              </w:rPr>
              <w:t>蒸发冷凝器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41</w:t>
            </w:r>
          </w:p>
        </w:tc>
        <w:tc>
          <w:tcPr>
            <w:tcW w:w="2450" w:type="dxa"/>
            <w:vAlign w:val="center"/>
          </w:tcPr>
          <w:p>
            <w:pPr>
              <w:pStyle w:val="93"/>
              <w:rPr>
                <w:b w:val="0"/>
              </w:rPr>
            </w:pPr>
            <w:r>
              <w:rPr>
                <w:rFonts w:hint="eastAsia"/>
                <w:b w:val="0"/>
              </w:rPr>
              <w:t>蒸发冷凝器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42</w:t>
            </w:r>
          </w:p>
        </w:tc>
        <w:tc>
          <w:tcPr>
            <w:tcW w:w="2450" w:type="dxa"/>
            <w:vAlign w:val="center"/>
          </w:tcPr>
          <w:p>
            <w:pPr>
              <w:pStyle w:val="93"/>
              <w:rPr>
                <w:b w:val="0"/>
              </w:rPr>
            </w:pPr>
            <w:r>
              <w:rPr>
                <w:rFonts w:hint="eastAsia"/>
                <w:b w:val="0"/>
              </w:rPr>
              <w:t>一蒸出料泵</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太平洋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44</w:t>
            </w:r>
          </w:p>
        </w:tc>
        <w:tc>
          <w:tcPr>
            <w:tcW w:w="2450" w:type="dxa"/>
            <w:vAlign w:val="center"/>
          </w:tcPr>
          <w:p>
            <w:pPr>
              <w:pStyle w:val="93"/>
              <w:rPr>
                <w:b w:val="0"/>
              </w:rPr>
            </w:pPr>
            <w:r>
              <w:rPr>
                <w:rFonts w:hint="eastAsia"/>
                <w:b w:val="0"/>
              </w:rPr>
              <w:t>1#尾气冷凝器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45</w:t>
            </w:r>
          </w:p>
        </w:tc>
        <w:tc>
          <w:tcPr>
            <w:tcW w:w="2450" w:type="dxa"/>
            <w:vAlign w:val="center"/>
          </w:tcPr>
          <w:p>
            <w:pPr>
              <w:pStyle w:val="93"/>
              <w:rPr>
                <w:b w:val="0"/>
              </w:rPr>
            </w:pPr>
            <w:r>
              <w:rPr>
                <w:rFonts w:hint="eastAsia"/>
                <w:b w:val="0"/>
              </w:rPr>
              <w:t>1#水环真空泵</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淄博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46</w:t>
            </w:r>
          </w:p>
        </w:tc>
        <w:tc>
          <w:tcPr>
            <w:tcW w:w="2450" w:type="dxa"/>
            <w:vAlign w:val="center"/>
          </w:tcPr>
          <w:p>
            <w:pPr>
              <w:pStyle w:val="93"/>
              <w:rPr>
                <w:b w:val="0"/>
              </w:rPr>
            </w:pPr>
            <w:r>
              <w:rPr>
                <w:rFonts w:hint="eastAsia"/>
                <w:b w:val="0"/>
              </w:rPr>
              <w:t>3#萃取器</w:t>
            </w:r>
          </w:p>
        </w:tc>
        <w:tc>
          <w:tcPr>
            <w:tcW w:w="2848" w:type="dxa"/>
            <w:vAlign w:val="center"/>
          </w:tcPr>
          <w:p>
            <w:pPr>
              <w:pStyle w:val="93"/>
              <w:rPr>
                <w:b w:val="0"/>
              </w:rPr>
            </w:pPr>
            <w:r>
              <w:rPr>
                <w:rFonts w:hint="eastAsia"/>
                <w:b w:val="0"/>
              </w:rPr>
              <w:t>FFYG.220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47</w:t>
            </w:r>
          </w:p>
        </w:tc>
        <w:tc>
          <w:tcPr>
            <w:tcW w:w="2450" w:type="dxa"/>
            <w:vAlign w:val="center"/>
          </w:tcPr>
          <w:p>
            <w:pPr>
              <w:pStyle w:val="93"/>
              <w:rPr>
                <w:b w:val="0"/>
              </w:rPr>
            </w:pPr>
            <w:r>
              <w:rPr>
                <w:rFonts w:hint="eastAsia"/>
                <w:b w:val="0"/>
              </w:rPr>
              <w:t>3#出料泵</w:t>
            </w:r>
          </w:p>
        </w:tc>
        <w:tc>
          <w:tcPr>
            <w:tcW w:w="2848" w:type="dxa"/>
            <w:vAlign w:val="center"/>
          </w:tcPr>
          <w:p>
            <w:pPr>
              <w:pStyle w:val="93"/>
              <w:rPr>
                <w:b w:val="0"/>
              </w:rPr>
            </w:pPr>
            <w:r>
              <w:rPr>
                <w:rFonts w:hint="eastAsia"/>
                <w:b w:val="0"/>
              </w:rPr>
              <w:t>PN40-01L</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48</w:t>
            </w:r>
          </w:p>
        </w:tc>
        <w:tc>
          <w:tcPr>
            <w:tcW w:w="2450" w:type="dxa"/>
            <w:vAlign w:val="center"/>
          </w:tcPr>
          <w:p>
            <w:pPr>
              <w:pStyle w:val="93"/>
              <w:rPr>
                <w:b w:val="0"/>
              </w:rPr>
            </w:pPr>
            <w:r>
              <w:rPr>
                <w:rFonts w:hint="eastAsia"/>
                <w:b w:val="0"/>
              </w:rPr>
              <w:t>旋液卸料器</w:t>
            </w:r>
          </w:p>
        </w:tc>
        <w:tc>
          <w:tcPr>
            <w:tcW w:w="2848" w:type="dxa"/>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49</w:t>
            </w:r>
          </w:p>
        </w:tc>
        <w:tc>
          <w:tcPr>
            <w:tcW w:w="2450" w:type="dxa"/>
            <w:vAlign w:val="center"/>
          </w:tcPr>
          <w:p>
            <w:pPr>
              <w:pStyle w:val="93"/>
              <w:rPr>
                <w:b w:val="0"/>
              </w:rPr>
            </w:pPr>
            <w:r>
              <w:rPr>
                <w:rFonts w:hint="eastAsia"/>
                <w:b w:val="0"/>
              </w:rPr>
              <w:t>叶片过滤机</w:t>
            </w:r>
          </w:p>
        </w:tc>
        <w:tc>
          <w:tcPr>
            <w:tcW w:w="2848" w:type="dxa"/>
            <w:vAlign w:val="center"/>
          </w:tcPr>
          <w:p>
            <w:pPr>
              <w:pStyle w:val="93"/>
              <w:rPr>
                <w:b w:val="0"/>
              </w:rPr>
            </w:pPr>
            <w:r>
              <w:rPr>
                <w:rFonts w:hint="eastAsia"/>
                <w:b w:val="0"/>
              </w:rPr>
              <w:t>NYB-60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巨能机械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51</w:t>
            </w:r>
          </w:p>
        </w:tc>
        <w:tc>
          <w:tcPr>
            <w:tcW w:w="2450" w:type="dxa"/>
            <w:vAlign w:val="center"/>
          </w:tcPr>
          <w:p>
            <w:pPr>
              <w:pStyle w:val="93"/>
              <w:rPr>
                <w:b w:val="0"/>
              </w:rPr>
            </w:pPr>
            <w:r>
              <w:rPr>
                <w:rFonts w:hint="eastAsia"/>
                <w:b w:val="0"/>
              </w:rPr>
              <w:t>暂存料仓</w:t>
            </w:r>
          </w:p>
        </w:tc>
        <w:tc>
          <w:tcPr>
            <w:tcW w:w="2848" w:type="dxa"/>
            <w:vAlign w:val="center"/>
          </w:tcPr>
          <w:p>
            <w:pPr>
              <w:pStyle w:val="93"/>
              <w:rPr>
                <w:b w:val="0"/>
              </w:rPr>
            </w:pPr>
            <w:r>
              <w:rPr>
                <w:rFonts w:hint="eastAsia"/>
                <w:b w:val="0"/>
              </w:rPr>
              <w:t>LC.150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52</w:t>
            </w:r>
          </w:p>
        </w:tc>
        <w:tc>
          <w:tcPr>
            <w:tcW w:w="2450" w:type="dxa"/>
            <w:vAlign w:val="center"/>
          </w:tcPr>
          <w:p>
            <w:pPr>
              <w:pStyle w:val="93"/>
              <w:rPr>
                <w:b w:val="0"/>
              </w:rPr>
            </w:pPr>
            <w:r>
              <w:rPr>
                <w:rFonts w:hint="eastAsia"/>
                <w:b w:val="0"/>
              </w:rPr>
              <w:t>双向绞龙</w:t>
            </w:r>
          </w:p>
        </w:tc>
        <w:tc>
          <w:tcPr>
            <w:tcW w:w="2848" w:type="dxa"/>
            <w:vAlign w:val="center"/>
          </w:tcPr>
          <w:p>
            <w:pPr>
              <w:pStyle w:val="93"/>
              <w:rPr>
                <w:b w:val="0"/>
              </w:rPr>
            </w:pPr>
            <w:r>
              <w:rPr>
                <w:rFonts w:hint="eastAsia"/>
                <w:b w:val="0"/>
              </w:rPr>
              <w:t>Φ400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53</w:t>
            </w:r>
          </w:p>
        </w:tc>
        <w:tc>
          <w:tcPr>
            <w:tcW w:w="2450" w:type="dxa"/>
            <w:vAlign w:val="center"/>
          </w:tcPr>
          <w:p>
            <w:pPr>
              <w:pStyle w:val="93"/>
              <w:rPr>
                <w:b w:val="0"/>
              </w:rPr>
            </w:pPr>
            <w:r>
              <w:rPr>
                <w:rFonts w:hint="eastAsia"/>
                <w:b w:val="0"/>
              </w:rPr>
              <w:t>4#萃取器</w:t>
            </w:r>
          </w:p>
        </w:tc>
        <w:tc>
          <w:tcPr>
            <w:tcW w:w="2848" w:type="dxa"/>
            <w:vAlign w:val="center"/>
          </w:tcPr>
          <w:p>
            <w:pPr>
              <w:pStyle w:val="93"/>
              <w:rPr>
                <w:b w:val="0"/>
              </w:rPr>
            </w:pPr>
            <w:r>
              <w:rPr>
                <w:rFonts w:hint="eastAsia"/>
                <w:b w:val="0"/>
              </w:rPr>
              <w:t>FFYG.220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54</w:t>
            </w:r>
          </w:p>
        </w:tc>
        <w:tc>
          <w:tcPr>
            <w:tcW w:w="2450" w:type="dxa"/>
            <w:vAlign w:val="center"/>
          </w:tcPr>
          <w:p>
            <w:pPr>
              <w:pStyle w:val="93"/>
              <w:rPr>
                <w:b w:val="0"/>
              </w:rPr>
            </w:pPr>
            <w:r>
              <w:rPr>
                <w:rFonts w:hint="eastAsia"/>
                <w:b w:val="0"/>
              </w:rPr>
              <w:t>4#出料泵</w:t>
            </w:r>
          </w:p>
        </w:tc>
        <w:tc>
          <w:tcPr>
            <w:tcW w:w="2848" w:type="dxa"/>
            <w:vAlign w:val="center"/>
          </w:tcPr>
          <w:p>
            <w:pPr>
              <w:pStyle w:val="93"/>
              <w:rPr>
                <w:b w:val="0"/>
              </w:rPr>
            </w:pPr>
            <w:r>
              <w:rPr>
                <w:rFonts w:hint="eastAsia"/>
                <w:b w:val="0"/>
              </w:rPr>
              <w:t>PN40-01L</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55</w:t>
            </w:r>
          </w:p>
        </w:tc>
        <w:tc>
          <w:tcPr>
            <w:tcW w:w="2450" w:type="dxa"/>
            <w:vAlign w:val="center"/>
          </w:tcPr>
          <w:p>
            <w:pPr>
              <w:pStyle w:val="93"/>
              <w:rPr>
                <w:b w:val="0"/>
              </w:rPr>
            </w:pPr>
            <w:r>
              <w:rPr>
                <w:rFonts w:hint="eastAsia"/>
                <w:b w:val="0"/>
              </w:rPr>
              <w:t>旋液卸料器</w:t>
            </w:r>
          </w:p>
        </w:tc>
        <w:tc>
          <w:tcPr>
            <w:tcW w:w="2848" w:type="dxa"/>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56</w:t>
            </w:r>
          </w:p>
        </w:tc>
        <w:tc>
          <w:tcPr>
            <w:tcW w:w="2450" w:type="dxa"/>
            <w:vAlign w:val="center"/>
          </w:tcPr>
          <w:p>
            <w:pPr>
              <w:pStyle w:val="93"/>
              <w:rPr>
                <w:b w:val="0"/>
              </w:rPr>
            </w:pPr>
            <w:r>
              <w:rPr>
                <w:rFonts w:hint="eastAsia"/>
                <w:b w:val="0"/>
              </w:rPr>
              <w:t>叶片过滤机</w:t>
            </w:r>
          </w:p>
        </w:tc>
        <w:tc>
          <w:tcPr>
            <w:tcW w:w="2848" w:type="dxa"/>
            <w:vAlign w:val="center"/>
          </w:tcPr>
          <w:p>
            <w:pPr>
              <w:pStyle w:val="93"/>
              <w:rPr>
                <w:b w:val="0"/>
              </w:rPr>
            </w:pPr>
            <w:r>
              <w:rPr>
                <w:rFonts w:hint="eastAsia"/>
                <w:b w:val="0"/>
              </w:rPr>
              <w:t>NYB-60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巨能机械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58</w:t>
            </w:r>
          </w:p>
        </w:tc>
        <w:tc>
          <w:tcPr>
            <w:tcW w:w="2450" w:type="dxa"/>
            <w:vAlign w:val="center"/>
          </w:tcPr>
          <w:p>
            <w:pPr>
              <w:pStyle w:val="93"/>
              <w:rPr>
                <w:b w:val="0"/>
              </w:rPr>
            </w:pPr>
            <w:r>
              <w:rPr>
                <w:rFonts w:hint="eastAsia"/>
                <w:b w:val="0"/>
              </w:rPr>
              <w:t>暂存料仓</w:t>
            </w:r>
          </w:p>
        </w:tc>
        <w:tc>
          <w:tcPr>
            <w:tcW w:w="2848" w:type="dxa"/>
            <w:vAlign w:val="center"/>
          </w:tcPr>
          <w:p>
            <w:pPr>
              <w:pStyle w:val="93"/>
              <w:rPr>
                <w:b w:val="0"/>
              </w:rPr>
            </w:pPr>
            <w:r>
              <w:rPr>
                <w:rFonts w:hint="eastAsia"/>
                <w:b w:val="0"/>
              </w:rPr>
              <w:t>LC.150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59</w:t>
            </w:r>
          </w:p>
        </w:tc>
        <w:tc>
          <w:tcPr>
            <w:tcW w:w="2450" w:type="dxa"/>
            <w:vAlign w:val="center"/>
          </w:tcPr>
          <w:p>
            <w:pPr>
              <w:pStyle w:val="93"/>
              <w:rPr>
                <w:b w:val="0"/>
              </w:rPr>
            </w:pPr>
            <w:r>
              <w:rPr>
                <w:rFonts w:hint="eastAsia"/>
                <w:b w:val="0"/>
              </w:rPr>
              <w:t>双向绞龙</w:t>
            </w:r>
          </w:p>
        </w:tc>
        <w:tc>
          <w:tcPr>
            <w:tcW w:w="2848" w:type="dxa"/>
            <w:vAlign w:val="center"/>
          </w:tcPr>
          <w:p>
            <w:pPr>
              <w:pStyle w:val="93"/>
              <w:rPr>
                <w:b w:val="0"/>
              </w:rPr>
            </w:pPr>
            <w:r>
              <w:rPr>
                <w:rFonts w:hint="eastAsia"/>
                <w:b w:val="0"/>
              </w:rPr>
              <w:t>Φ400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60</w:t>
            </w:r>
          </w:p>
        </w:tc>
        <w:tc>
          <w:tcPr>
            <w:tcW w:w="2450" w:type="dxa"/>
            <w:vAlign w:val="center"/>
          </w:tcPr>
          <w:p>
            <w:pPr>
              <w:pStyle w:val="93"/>
              <w:rPr>
                <w:b w:val="0"/>
              </w:rPr>
            </w:pPr>
            <w:r>
              <w:rPr>
                <w:rFonts w:hint="eastAsia"/>
                <w:b w:val="0"/>
              </w:rPr>
              <w:t>一蒸发器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61</w:t>
            </w:r>
          </w:p>
        </w:tc>
        <w:tc>
          <w:tcPr>
            <w:tcW w:w="2450" w:type="dxa"/>
            <w:vAlign w:val="center"/>
          </w:tcPr>
          <w:p>
            <w:pPr>
              <w:pStyle w:val="93"/>
              <w:rPr>
                <w:b w:val="0"/>
              </w:rPr>
            </w:pPr>
            <w:r>
              <w:rPr>
                <w:rFonts w:hint="eastAsia"/>
                <w:b w:val="0"/>
              </w:rPr>
              <w:t>一蒸散发器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64</w:t>
            </w:r>
          </w:p>
        </w:tc>
        <w:tc>
          <w:tcPr>
            <w:tcW w:w="2450" w:type="dxa"/>
            <w:vAlign w:val="center"/>
          </w:tcPr>
          <w:p>
            <w:pPr>
              <w:pStyle w:val="93"/>
              <w:rPr>
                <w:b w:val="0"/>
              </w:rPr>
            </w:pPr>
            <w:r>
              <w:rPr>
                <w:rFonts w:hint="eastAsia"/>
                <w:b w:val="0"/>
              </w:rPr>
              <w:t>蒸发冷凝器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65</w:t>
            </w:r>
          </w:p>
        </w:tc>
        <w:tc>
          <w:tcPr>
            <w:tcW w:w="2450" w:type="dxa"/>
            <w:vAlign w:val="center"/>
          </w:tcPr>
          <w:p>
            <w:pPr>
              <w:pStyle w:val="93"/>
              <w:rPr>
                <w:b w:val="0"/>
              </w:rPr>
            </w:pPr>
            <w:r>
              <w:rPr>
                <w:rFonts w:hint="eastAsia"/>
                <w:b w:val="0"/>
              </w:rPr>
              <w:t>蒸发冷凝器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66</w:t>
            </w:r>
          </w:p>
        </w:tc>
        <w:tc>
          <w:tcPr>
            <w:tcW w:w="2450" w:type="dxa"/>
            <w:vAlign w:val="center"/>
          </w:tcPr>
          <w:p>
            <w:pPr>
              <w:pStyle w:val="93"/>
              <w:rPr>
                <w:b w:val="0"/>
              </w:rPr>
            </w:pPr>
            <w:r>
              <w:rPr>
                <w:rFonts w:hint="eastAsia"/>
                <w:b w:val="0"/>
              </w:rPr>
              <w:t>一蒸出料泵</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太平洋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68</w:t>
            </w:r>
          </w:p>
        </w:tc>
        <w:tc>
          <w:tcPr>
            <w:tcW w:w="2450" w:type="dxa"/>
            <w:vAlign w:val="center"/>
          </w:tcPr>
          <w:p>
            <w:pPr>
              <w:pStyle w:val="93"/>
              <w:rPr>
                <w:b w:val="0"/>
              </w:rPr>
            </w:pPr>
            <w:r>
              <w:rPr>
                <w:rFonts w:hint="eastAsia"/>
                <w:b w:val="0"/>
              </w:rPr>
              <w:t>1#尾气冷凝器</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69</w:t>
            </w:r>
          </w:p>
        </w:tc>
        <w:tc>
          <w:tcPr>
            <w:tcW w:w="2450" w:type="dxa"/>
            <w:vAlign w:val="center"/>
          </w:tcPr>
          <w:p>
            <w:pPr>
              <w:pStyle w:val="93"/>
              <w:rPr>
                <w:b w:val="0"/>
              </w:rPr>
            </w:pPr>
            <w:r>
              <w:rPr>
                <w:rFonts w:hint="eastAsia"/>
                <w:b w:val="0"/>
              </w:rPr>
              <w:t>1#水环真空泵</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淄博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70</w:t>
            </w:r>
          </w:p>
        </w:tc>
        <w:tc>
          <w:tcPr>
            <w:tcW w:w="2450" w:type="dxa"/>
            <w:vAlign w:val="center"/>
          </w:tcPr>
          <w:p>
            <w:pPr>
              <w:pStyle w:val="93"/>
              <w:rPr>
                <w:b w:val="0"/>
              </w:rPr>
            </w:pPr>
            <w:r>
              <w:rPr>
                <w:rFonts w:hint="eastAsia"/>
                <w:b w:val="0"/>
              </w:rPr>
              <w:t>出料斜刮板</w:t>
            </w:r>
          </w:p>
        </w:tc>
        <w:tc>
          <w:tcPr>
            <w:tcW w:w="2848" w:type="dxa"/>
            <w:vAlign w:val="center"/>
          </w:tcPr>
          <w:p>
            <w:pPr>
              <w:pStyle w:val="93"/>
              <w:rPr>
                <w:b w:val="0"/>
              </w:rPr>
            </w:pPr>
            <w:r>
              <w:rPr>
                <w:rFonts w:hint="eastAsia"/>
                <w:b w:val="0"/>
              </w:rPr>
              <w:t>RMC.16</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71</w:t>
            </w:r>
          </w:p>
        </w:tc>
        <w:tc>
          <w:tcPr>
            <w:tcW w:w="2450" w:type="dxa"/>
            <w:vAlign w:val="center"/>
          </w:tcPr>
          <w:p>
            <w:pPr>
              <w:pStyle w:val="93"/>
              <w:rPr>
                <w:b w:val="0"/>
              </w:rPr>
            </w:pPr>
            <w:r>
              <w:rPr>
                <w:rFonts w:hint="eastAsia"/>
                <w:b w:val="0"/>
              </w:rPr>
              <w:t>耙式干燥器</w:t>
            </w:r>
          </w:p>
        </w:tc>
        <w:tc>
          <w:tcPr>
            <w:tcW w:w="2848" w:type="dxa"/>
            <w:vAlign w:val="center"/>
          </w:tcPr>
          <w:p>
            <w:pPr>
              <w:pStyle w:val="93"/>
              <w:rPr>
                <w:b w:val="0"/>
              </w:rPr>
            </w:pPr>
            <w:r>
              <w:rPr>
                <w:rFonts w:hint="eastAsia"/>
                <w:b w:val="0"/>
              </w:rPr>
              <w:t>PLG-2500*12</w:t>
            </w:r>
          </w:p>
        </w:tc>
        <w:tc>
          <w:tcPr>
            <w:tcW w:w="879" w:type="dxa"/>
            <w:vAlign w:val="center"/>
          </w:tcPr>
          <w:p>
            <w:pPr>
              <w:pStyle w:val="93"/>
              <w:rPr>
                <w:b w:val="0"/>
              </w:rPr>
            </w:pPr>
            <w:r>
              <w:rPr>
                <w:rFonts w:hint="eastAsia"/>
                <w:b w:val="0"/>
              </w:rPr>
              <w:t>2</w:t>
            </w:r>
          </w:p>
        </w:tc>
        <w:tc>
          <w:tcPr>
            <w:tcW w:w="1985" w:type="dxa"/>
            <w:vAlign w:val="center"/>
          </w:tcPr>
          <w:p>
            <w:pPr>
              <w:pStyle w:val="93"/>
              <w:rPr>
                <w:b w:val="0"/>
              </w:rPr>
            </w:pPr>
            <w:r>
              <w:rPr>
                <w:rFonts w:hint="eastAsia"/>
                <w:b w:val="0"/>
              </w:rPr>
              <w:t>常州盛丰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72</w:t>
            </w:r>
          </w:p>
        </w:tc>
        <w:tc>
          <w:tcPr>
            <w:tcW w:w="2450" w:type="dxa"/>
            <w:vAlign w:val="center"/>
          </w:tcPr>
          <w:p>
            <w:pPr>
              <w:pStyle w:val="93"/>
              <w:rPr>
                <w:b w:val="0"/>
              </w:rPr>
            </w:pPr>
            <w:r>
              <w:rPr>
                <w:rFonts w:hint="eastAsia"/>
                <w:b w:val="0"/>
              </w:rPr>
              <w:t>干式捕集器</w:t>
            </w:r>
          </w:p>
        </w:tc>
        <w:tc>
          <w:tcPr>
            <w:tcW w:w="2848" w:type="dxa"/>
            <w:vAlign w:val="center"/>
          </w:tcPr>
          <w:p>
            <w:pPr>
              <w:pStyle w:val="93"/>
              <w:rPr>
                <w:b w:val="0"/>
              </w:rPr>
            </w:pPr>
            <w:r>
              <w:rPr>
                <w:rFonts w:hint="eastAsia"/>
                <w:b w:val="0"/>
              </w:rPr>
              <w:t>BJQ.100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73</w:t>
            </w:r>
          </w:p>
        </w:tc>
        <w:tc>
          <w:tcPr>
            <w:tcW w:w="2450" w:type="dxa"/>
            <w:vAlign w:val="center"/>
          </w:tcPr>
          <w:p>
            <w:pPr>
              <w:pStyle w:val="93"/>
              <w:rPr>
                <w:b w:val="0"/>
              </w:rPr>
            </w:pPr>
            <w:r>
              <w:rPr>
                <w:rFonts w:hint="eastAsia"/>
                <w:b w:val="0"/>
              </w:rPr>
              <w:t>高压风机</w:t>
            </w:r>
          </w:p>
        </w:tc>
        <w:tc>
          <w:tcPr>
            <w:tcW w:w="2848" w:type="dxa"/>
            <w:vAlign w:val="center"/>
          </w:tcPr>
          <w:p>
            <w:pPr>
              <w:pStyle w:val="93"/>
              <w:rPr>
                <w:b w:val="0"/>
              </w:rPr>
            </w:pP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74</w:t>
            </w:r>
          </w:p>
        </w:tc>
        <w:tc>
          <w:tcPr>
            <w:tcW w:w="2450" w:type="dxa"/>
            <w:vAlign w:val="center"/>
          </w:tcPr>
          <w:p>
            <w:pPr>
              <w:pStyle w:val="93"/>
              <w:rPr>
                <w:b w:val="0"/>
              </w:rPr>
            </w:pPr>
            <w:r>
              <w:rPr>
                <w:rFonts w:hint="eastAsia"/>
                <w:b w:val="0"/>
              </w:rPr>
              <w:t>淀粉料仓</w:t>
            </w:r>
          </w:p>
        </w:tc>
        <w:tc>
          <w:tcPr>
            <w:tcW w:w="2848" w:type="dxa"/>
            <w:vAlign w:val="center"/>
          </w:tcPr>
          <w:p>
            <w:pPr>
              <w:pStyle w:val="93"/>
              <w:rPr>
                <w:b w:val="0"/>
              </w:rPr>
            </w:pPr>
            <w:r>
              <w:rPr>
                <w:rFonts w:hint="eastAsia"/>
                <w:b w:val="0"/>
              </w:rPr>
              <w:t>XKL120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75</w:t>
            </w:r>
          </w:p>
        </w:tc>
        <w:tc>
          <w:tcPr>
            <w:tcW w:w="2450" w:type="dxa"/>
            <w:vAlign w:val="center"/>
          </w:tcPr>
          <w:p>
            <w:pPr>
              <w:pStyle w:val="93"/>
              <w:rPr>
                <w:b w:val="0"/>
              </w:rPr>
            </w:pPr>
            <w:r>
              <w:rPr>
                <w:rFonts w:hint="eastAsia"/>
                <w:b w:val="0"/>
              </w:rPr>
              <w:t>脉冲除尘器</w:t>
            </w:r>
          </w:p>
        </w:tc>
        <w:tc>
          <w:tcPr>
            <w:tcW w:w="2848" w:type="dxa"/>
            <w:vAlign w:val="center"/>
          </w:tcPr>
          <w:p>
            <w:pPr>
              <w:pStyle w:val="93"/>
              <w:rPr>
                <w:b w:val="0"/>
              </w:rPr>
            </w:pPr>
            <w:r>
              <w:rPr>
                <w:rFonts w:hint="eastAsia"/>
                <w:b w:val="0"/>
              </w:rPr>
              <w:t>TBLMZa.28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开封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76</w:t>
            </w:r>
          </w:p>
        </w:tc>
        <w:tc>
          <w:tcPr>
            <w:tcW w:w="2450" w:type="dxa"/>
            <w:vAlign w:val="center"/>
          </w:tcPr>
          <w:p>
            <w:pPr>
              <w:pStyle w:val="93"/>
              <w:rPr>
                <w:b w:val="0"/>
              </w:rPr>
            </w:pPr>
            <w:r>
              <w:rPr>
                <w:rFonts w:hint="eastAsia"/>
                <w:b w:val="0"/>
              </w:rPr>
              <w:t>自动计量称</w:t>
            </w:r>
          </w:p>
        </w:tc>
        <w:tc>
          <w:tcPr>
            <w:tcW w:w="2848" w:type="dxa"/>
            <w:vAlign w:val="center"/>
          </w:tcPr>
          <w:p>
            <w:pPr>
              <w:pStyle w:val="93"/>
              <w:rPr>
                <w:b w:val="0"/>
              </w:rPr>
            </w:pPr>
            <w:r>
              <w:rPr>
                <w:rFonts w:hint="eastAsia"/>
                <w:b w:val="0"/>
              </w:rPr>
              <w:t>YYPQ50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77</w:t>
            </w:r>
          </w:p>
        </w:tc>
        <w:tc>
          <w:tcPr>
            <w:tcW w:w="2450" w:type="dxa"/>
            <w:vAlign w:val="center"/>
          </w:tcPr>
          <w:p>
            <w:pPr>
              <w:pStyle w:val="93"/>
              <w:rPr>
                <w:b w:val="0"/>
              </w:rPr>
            </w:pPr>
            <w:r>
              <w:rPr>
                <w:rFonts w:hint="eastAsia"/>
                <w:b w:val="0"/>
              </w:rPr>
              <w:t>封包平台</w:t>
            </w:r>
          </w:p>
        </w:tc>
        <w:tc>
          <w:tcPr>
            <w:tcW w:w="2848" w:type="dxa"/>
            <w:vAlign w:val="center"/>
          </w:tcPr>
          <w:p>
            <w:pPr>
              <w:pStyle w:val="93"/>
              <w:rPr>
                <w:b w:val="0"/>
              </w:rPr>
            </w:pPr>
            <w:r>
              <w:rPr>
                <w:rFonts w:hint="eastAsia"/>
                <w:b w:val="0"/>
              </w:rPr>
              <w:t>YRJG30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78</w:t>
            </w:r>
          </w:p>
        </w:tc>
        <w:tc>
          <w:tcPr>
            <w:tcW w:w="2450" w:type="dxa"/>
            <w:vAlign w:val="center"/>
          </w:tcPr>
          <w:p>
            <w:pPr>
              <w:pStyle w:val="93"/>
              <w:rPr>
                <w:b w:val="0"/>
              </w:rPr>
            </w:pPr>
            <w:r>
              <w:rPr>
                <w:rFonts w:hint="eastAsia"/>
                <w:b w:val="0"/>
              </w:rPr>
              <w:t>1级节能换热器</w:t>
            </w:r>
          </w:p>
        </w:tc>
        <w:tc>
          <w:tcPr>
            <w:tcW w:w="2848" w:type="dxa"/>
            <w:vAlign w:val="center"/>
          </w:tcPr>
          <w:p>
            <w:pPr>
              <w:pStyle w:val="93"/>
              <w:rPr>
                <w:b w:val="0"/>
              </w:rPr>
            </w:pPr>
            <w:r>
              <w:rPr>
                <w:rFonts w:hint="eastAsia"/>
                <w:b w:val="0"/>
              </w:rPr>
              <w:t>LZB30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79</w:t>
            </w:r>
          </w:p>
        </w:tc>
        <w:tc>
          <w:tcPr>
            <w:tcW w:w="2450" w:type="dxa"/>
            <w:vAlign w:val="center"/>
          </w:tcPr>
          <w:p>
            <w:pPr>
              <w:pStyle w:val="93"/>
              <w:rPr>
                <w:b w:val="0"/>
              </w:rPr>
            </w:pPr>
            <w:r>
              <w:rPr>
                <w:rFonts w:hint="eastAsia"/>
                <w:b w:val="0"/>
              </w:rPr>
              <w:t>1级蒸汽加热器</w:t>
            </w:r>
          </w:p>
        </w:tc>
        <w:tc>
          <w:tcPr>
            <w:tcW w:w="2848" w:type="dxa"/>
            <w:vAlign w:val="center"/>
          </w:tcPr>
          <w:p>
            <w:pPr>
              <w:pStyle w:val="93"/>
              <w:rPr>
                <w:b w:val="0"/>
              </w:rPr>
            </w:pPr>
            <w:r>
              <w:rPr>
                <w:rFonts w:hint="eastAsia"/>
                <w:b w:val="0"/>
              </w:rPr>
              <w:t>BR02-10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80</w:t>
            </w:r>
          </w:p>
        </w:tc>
        <w:tc>
          <w:tcPr>
            <w:tcW w:w="2450" w:type="dxa"/>
            <w:vAlign w:val="center"/>
          </w:tcPr>
          <w:p>
            <w:pPr>
              <w:pStyle w:val="93"/>
              <w:rPr>
                <w:b w:val="0"/>
              </w:rPr>
            </w:pPr>
            <w:r>
              <w:rPr>
                <w:rFonts w:hint="eastAsia"/>
                <w:b w:val="0"/>
              </w:rPr>
              <w:t>1级精馏塔</w:t>
            </w:r>
          </w:p>
        </w:tc>
        <w:tc>
          <w:tcPr>
            <w:tcW w:w="2848" w:type="dxa"/>
            <w:noWrap/>
            <w:vAlign w:val="center"/>
          </w:tcPr>
          <w:p>
            <w:pPr>
              <w:pStyle w:val="93"/>
              <w:rPr>
                <w:b w:val="0"/>
              </w:rPr>
            </w:pPr>
            <w:r>
              <w:rPr>
                <w:rFonts w:hint="eastAsia"/>
                <w:b w:val="0"/>
              </w:rPr>
              <w:t>JLT.120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81</w:t>
            </w:r>
          </w:p>
        </w:tc>
        <w:tc>
          <w:tcPr>
            <w:tcW w:w="2450" w:type="dxa"/>
            <w:vAlign w:val="center"/>
          </w:tcPr>
          <w:p>
            <w:pPr>
              <w:pStyle w:val="93"/>
              <w:rPr>
                <w:b w:val="0"/>
              </w:rPr>
            </w:pPr>
            <w:r>
              <w:rPr>
                <w:rFonts w:hint="eastAsia"/>
                <w:b w:val="0"/>
              </w:rPr>
              <w:t>1级再沸器</w:t>
            </w:r>
          </w:p>
        </w:tc>
        <w:tc>
          <w:tcPr>
            <w:tcW w:w="2848" w:type="dxa"/>
            <w:noWrap/>
            <w:vAlign w:val="center"/>
          </w:tcPr>
          <w:p>
            <w:pPr>
              <w:pStyle w:val="93"/>
              <w:rPr>
                <w:b w:val="0"/>
              </w:rPr>
            </w:pPr>
            <w:r>
              <w:rPr>
                <w:rFonts w:hint="eastAsia"/>
                <w:b w:val="0"/>
              </w:rPr>
              <w:t>JF.120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82</w:t>
            </w:r>
          </w:p>
        </w:tc>
        <w:tc>
          <w:tcPr>
            <w:tcW w:w="2450" w:type="dxa"/>
            <w:vAlign w:val="center"/>
          </w:tcPr>
          <w:p>
            <w:pPr>
              <w:pStyle w:val="93"/>
              <w:rPr>
                <w:b w:val="0"/>
              </w:rPr>
            </w:pPr>
            <w:r>
              <w:rPr>
                <w:rFonts w:hint="eastAsia"/>
                <w:b w:val="0"/>
              </w:rPr>
              <w:t>1级冷却器</w:t>
            </w:r>
          </w:p>
        </w:tc>
        <w:tc>
          <w:tcPr>
            <w:tcW w:w="2848" w:type="dxa"/>
            <w:vAlign w:val="center"/>
          </w:tcPr>
          <w:p>
            <w:pPr>
              <w:pStyle w:val="93"/>
              <w:rPr>
                <w:b w:val="0"/>
              </w:rPr>
            </w:pPr>
            <w:r>
              <w:rPr>
                <w:rFonts w:hint="eastAsia"/>
                <w:b w:val="0"/>
              </w:rPr>
              <w:t>LZB30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83</w:t>
            </w:r>
          </w:p>
        </w:tc>
        <w:tc>
          <w:tcPr>
            <w:tcW w:w="2450" w:type="dxa"/>
            <w:vAlign w:val="center"/>
          </w:tcPr>
          <w:p>
            <w:pPr>
              <w:pStyle w:val="93"/>
              <w:rPr>
                <w:b w:val="0"/>
              </w:rPr>
            </w:pPr>
            <w:r>
              <w:rPr>
                <w:rFonts w:hint="eastAsia"/>
                <w:b w:val="0"/>
              </w:rPr>
              <w:t>1级冷却接收器</w:t>
            </w:r>
          </w:p>
        </w:tc>
        <w:tc>
          <w:tcPr>
            <w:tcW w:w="2848" w:type="dxa"/>
            <w:vAlign w:val="center"/>
          </w:tcPr>
          <w:p>
            <w:pPr>
              <w:pStyle w:val="93"/>
              <w:rPr>
                <w:b w:val="0"/>
              </w:rPr>
            </w:pPr>
            <w:r>
              <w:rPr>
                <w:rFonts w:hint="eastAsia"/>
                <w:b w:val="0"/>
              </w:rPr>
              <w:t>LZB30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84</w:t>
            </w:r>
          </w:p>
        </w:tc>
        <w:tc>
          <w:tcPr>
            <w:tcW w:w="2450" w:type="dxa"/>
            <w:vAlign w:val="center"/>
          </w:tcPr>
          <w:p>
            <w:pPr>
              <w:pStyle w:val="93"/>
              <w:rPr>
                <w:b w:val="0"/>
              </w:rPr>
            </w:pPr>
            <w:r>
              <w:rPr>
                <w:rFonts w:hint="eastAsia"/>
                <w:b w:val="0"/>
              </w:rPr>
              <w:t>1级尾气冷凝器</w:t>
            </w:r>
          </w:p>
        </w:tc>
        <w:tc>
          <w:tcPr>
            <w:tcW w:w="2848" w:type="dxa"/>
            <w:vAlign w:val="center"/>
          </w:tcPr>
          <w:p>
            <w:pPr>
              <w:pStyle w:val="93"/>
              <w:rPr>
                <w:b w:val="0"/>
              </w:rPr>
            </w:pPr>
            <w:r>
              <w:rPr>
                <w:rFonts w:hint="eastAsia"/>
                <w:b w:val="0"/>
              </w:rPr>
              <w:t>LZB30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85</w:t>
            </w:r>
          </w:p>
        </w:tc>
        <w:tc>
          <w:tcPr>
            <w:tcW w:w="2450" w:type="dxa"/>
            <w:vAlign w:val="center"/>
          </w:tcPr>
          <w:p>
            <w:pPr>
              <w:pStyle w:val="93"/>
              <w:rPr>
                <w:b w:val="0"/>
              </w:rPr>
            </w:pPr>
            <w:r>
              <w:rPr>
                <w:rFonts w:hint="eastAsia"/>
                <w:b w:val="0"/>
              </w:rPr>
              <w:t>1级接收罐</w:t>
            </w:r>
          </w:p>
        </w:tc>
        <w:tc>
          <w:tcPr>
            <w:tcW w:w="2848" w:type="dxa"/>
            <w:vAlign w:val="center"/>
          </w:tcPr>
          <w:p>
            <w:pPr>
              <w:pStyle w:val="93"/>
              <w:rPr>
                <w:b w:val="0"/>
              </w:rPr>
            </w:pPr>
            <w:r>
              <w:rPr>
                <w:rFonts w:hint="eastAsia"/>
                <w:b w:val="0"/>
              </w:rPr>
              <w:t>JYG.120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86</w:t>
            </w:r>
          </w:p>
        </w:tc>
        <w:tc>
          <w:tcPr>
            <w:tcW w:w="2450" w:type="dxa"/>
            <w:vAlign w:val="center"/>
          </w:tcPr>
          <w:p>
            <w:pPr>
              <w:pStyle w:val="93"/>
              <w:rPr>
                <w:b w:val="0"/>
              </w:rPr>
            </w:pPr>
            <w:r>
              <w:rPr>
                <w:rFonts w:hint="eastAsia"/>
                <w:b w:val="0"/>
              </w:rPr>
              <w:t>1级再沸回流罐</w:t>
            </w:r>
          </w:p>
        </w:tc>
        <w:tc>
          <w:tcPr>
            <w:tcW w:w="2848" w:type="dxa"/>
            <w:vAlign w:val="center"/>
          </w:tcPr>
          <w:p>
            <w:pPr>
              <w:pStyle w:val="93"/>
              <w:rPr>
                <w:b w:val="0"/>
              </w:rPr>
            </w:pPr>
            <w:r>
              <w:rPr>
                <w:rFonts w:hint="eastAsia"/>
                <w:b w:val="0"/>
              </w:rPr>
              <w:t>JYG.60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87</w:t>
            </w:r>
          </w:p>
        </w:tc>
        <w:tc>
          <w:tcPr>
            <w:tcW w:w="2450" w:type="dxa"/>
            <w:vAlign w:val="center"/>
          </w:tcPr>
          <w:p>
            <w:pPr>
              <w:pStyle w:val="93"/>
              <w:rPr>
                <w:b w:val="0"/>
              </w:rPr>
            </w:pPr>
            <w:r>
              <w:rPr>
                <w:rFonts w:hint="eastAsia"/>
                <w:b w:val="0"/>
              </w:rPr>
              <w:t>1级抽出泵</w:t>
            </w:r>
          </w:p>
        </w:tc>
        <w:tc>
          <w:tcPr>
            <w:tcW w:w="2848" w:type="dxa"/>
            <w:vAlign w:val="center"/>
          </w:tcPr>
          <w:p>
            <w:pPr>
              <w:pStyle w:val="93"/>
              <w:rPr>
                <w:b w:val="0"/>
              </w:rPr>
            </w:pPr>
            <w:r>
              <w:rPr>
                <w:rFonts w:hint="eastAsia"/>
                <w:b w:val="0"/>
              </w:rPr>
              <w:t>PN40-01L</w:t>
            </w:r>
          </w:p>
        </w:tc>
        <w:tc>
          <w:tcPr>
            <w:tcW w:w="879" w:type="dxa"/>
            <w:vAlign w:val="center"/>
          </w:tcPr>
          <w:p>
            <w:pPr>
              <w:pStyle w:val="93"/>
              <w:rPr>
                <w:b w:val="0"/>
              </w:rPr>
            </w:pPr>
            <w:r>
              <w:rPr>
                <w:rFonts w:hint="eastAsia"/>
                <w:b w:val="0"/>
              </w:rPr>
              <w:t>2</w:t>
            </w:r>
          </w:p>
        </w:tc>
        <w:tc>
          <w:tcPr>
            <w:tcW w:w="1985" w:type="dxa"/>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88</w:t>
            </w:r>
          </w:p>
        </w:tc>
        <w:tc>
          <w:tcPr>
            <w:tcW w:w="2450" w:type="dxa"/>
            <w:vAlign w:val="center"/>
          </w:tcPr>
          <w:p>
            <w:pPr>
              <w:pStyle w:val="93"/>
              <w:rPr>
                <w:b w:val="0"/>
              </w:rPr>
            </w:pPr>
            <w:r>
              <w:rPr>
                <w:rFonts w:hint="eastAsia"/>
                <w:b w:val="0"/>
              </w:rPr>
              <w:t>1级成品冷却器</w:t>
            </w:r>
          </w:p>
        </w:tc>
        <w:tc>
          <w:tcPr>
            <w:tcW w:w="2848" w:type="dxa"/>
            <w:vAlign w:val="center"/>
          </w:tcPr>
          <w:p>
            <w:pPr>
              <w:pStyle w:val="93"/>
              <w:rPr>
                <w:b w:val="0"/>
              </w:rPr>
            </w:pPr>
            <w:r>
              <w:rPr>
                <w:rFonts w:hint="eastAsia"/>
                <w:b w:val="0"/>
              </w:rPr>
              <w:t>BR02-10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89</w:t>
            </w:r>
          </w:p>
        </w:tc>
        <w:tc>
          <w:tcPr>
            <w:tcW w:w="2450" w:type="dxa"/>
            <w:vAlign w:val="center"/>
          </w:tcPr>
          <w:p>
            <w:pPr>
              <w:pStyle w:val="93"/>
              <w:rPr>
                <w:b w:val="0"/>
              </w:rPr>
            </w:pPr>
            <w:r>
              <w:rPr>
                <w:rFonts w:hint="eastAsia"/>
                <w:b w:val="0"/>
              </w:rPr>
              <w:t>1级回收储罐</w:t>
            </w:r>
          </w:p>
        </w:tc>
        <w:tc>
          <w:tcPr>
            <w:tcW w:w="2848" w:type="dxa"/>
            <w:vAlign w:val="center"/>
          </w:tcPr>
          <w:p>
            <w:pPr>
              <w:pStyle w:val="93"/>
              <w:rPr>
                <w:b w:val="0"/>
              </w:rPr>
            </w:pPr>
            <w:r>
              <w:rPr>
                <w:rFonts w:hint="eastAsia"/>
                <w:b w:val="0"/>
              </w:rPr>
              <w:t>RJK.200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90</w:t>
            </w:r>
          </w:p>
        </w:tc>
        <w:tc>
          <w:tcPr>
            <w:tcW w:w="2450" w:type="dxa"/>
            <w:noWrap/>
            <w:vAlign w:val="center"/>
          </w:tcPr>
          <w:p>
            <w:pPr>
              <w:pStyle w:val="93"/>
              <w:rPr>
                <w:b w:val="0"/>
              </w:rPr>
            </w:pPr>
            <w:r>
              <w:rPr>
                <w:rFonts w:hint="eastAsia"/>
                <w:b w:val="0"/>
              </w:rPr>
              <w:t>1级抽出泵</w:t>
            </w:r>
          </w:p>
        </w:tc>
        <w:tc>
          <w:tcPr>
            <w:tcW w:w="2848" w:type="dxa"/>
            <w:noWrap/>
            <w:vAlign w:val="center"/>
          </w:tcPr>
          <w:p>
            <w:pPr>
              <w:pStyle w:val="93"/>
              <w:rPr>
                <w:b w:val="0"/>
              </w:rPr>
            </w:pPr>
            <w:r>
              <w:rPr>
                <w:rFonts w:hint="eastAsia"/>
                <w:b w:val="0"/>
              </w:rPr>
              <w:t>TPWB25-160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91</w:t>
            </w:r>
          </w:p>
        </w:tc>
        <w:tc>
          <w:tcPr>
            <w:tcW w:w="2450" w:type="dxa"/>
            <w:noWrap/>
            <w:vAlign w:val="center"/>
          </w:tcPr>
          <w:p>
            <w:pPr>
              <w:pStyle w:val="93"/>
              <w:rPr>
                <w:b w:val="0"/>
              </w:rPr>
            </w:pPr>
            <w:r>
              <w:rPr>
                <w:rFonts w:hint="eastAsia"/>
                <w:b w:val="0"/>
              </w:rPr>
              <w:t>脉冲除尘器</w:t>
            </w:r>
          </w:p>
        </w:tc>
        <w:tc>
          <w:tcPr>
            <w:tcW w:w="2848" w:type="dxa"/>
            <w:vAlign w:val="center"/>
          </w:tcPr>
          <w:p>
            <w:pPr>
              <w:pStyle w:val="93"/>
              <w:rPr>
                <w:b w:val="0"/>
              </w:rPr>
            </w:pPr>
            <w:r>
              <w:rPr>
                <w:rFonts w:hint="eastAsia"/>
                <w:b w:val="0"/>
              </w:rPr>
              <w:t>TBLMZa.28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开封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92</w:t>
            </w:r>
          </w:p>
        </w:tc>
        <w:tc>
          <w:tcPr>
            <w:tcW w:w="2450" w:type="dxa"/>
            <w:noWrap/>
            <w:vAlign w:val="center"/>
          </w:tcPr>
          <w:p>
            <w:pPr>
              <w:pStyle w:val="93"/>
              <w:rPr>
                <w:b w:val="0"/>
              </w:rPr>
            </w:pPr>
            <w:r>
              <w:rPr>
                <w:rFonts w:hint="eastAsia"/>
                <w:b w:val="0"/>
              </w:rPr>
              <w:t>喂料器</w:t>
            </w:r>
          </w:p>
        </w:tc>
        <w:tc>
          <w:tcPr>
            <w:tcW w:w="2848" w:type="dxa"/>
            <w:noWrap/>
            <w:vAlign w:val="center"/>
          </w:tcPr>
          <w:p>
            <w:pPr>
              <w:pStyle w:val="93"/>
              <w:rPr>
                <w:b w:val="0"/>
              </w:rPr>
            </w:pPr>
            <w:r>
              <w:rPr>
                <w:rFonts w:hint="eastAsia"/>
                <w:b w:val="0"/>
              </w:rPr>
              <w:t>LC.80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93</w:t>
            </w:r>
          </w:p>
        </w:tc>
        <w:tc>
          <w:tcPr>
            <w:tcW w:w="2450" w:type="dxa"/>
            <w:noWrap/>
            <w:vAlign w:val="center"/>
          </w:tcPr>
          <w:p>
            <w:pPr>
              <w:pStyle w:val="93"/>
              <w:rPr>
                <w:b w:val="0"/>
              </w:rPr>
            </w:pPr>
            <w:r>
              <w:rPr>
                <w:rFonts w:hint="eastAsia"/>
                <w:b w:val="0"/>
              </w:rPr>
              <w:t>活性炭储罐</w:t>
            </w:r>
          </w:p>
        </w:tc>
        <w:tc>
          <w:tcPr>
            <w:tcW w:w="2848" w:type="dxa"/>
            <w:noWrap/>
            <w:vAlign w:val="center"/>
          </w:tcPr>
          <w:p>
            <w:pPr>
              <w:pStyle w:val="93"/>
              <w:rPr>
                <w:b w:val="0"/>
              </w:rPr>
            </w:pPr>
            <w:r>
              <w:rPr>
                <w:rFonts w:hint="eastAsia"/>
                <w:b w:val="0"/>
              </w:rPr>
              <w:t>YGG.100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94</w:t>
            </w:r>
          </w:p>
        </w:tc>
        <w:tc>
          <w:tcPr>
            <w:tcW w:w="2450" w:type="dxa"/>
            <w:noWrap/>
            <w:vAlign w:val="center"/>
          </w:tcPr>
          <w:p>
            <w:pPr>
              <w:pStyle w:val="93"/>
              <w:rPr>
                <w:b w:val="0"/>
              </w:rPr>
            </w:pPr>
            <w:r>
              <w:rPr>
                <w:rFonts w:hint="eastAsia"/>
                <w:b w:val="0"/>
              </w:rPr>
              <w:t>脱色器</w:t>
            </w:r>
          </w:p>
        </w:tc>
        <w:tc>
          <w:tcPr>
            <w:tcW w:w="2848" w:type="dxa"/>
            <w:noWrap/>
            <w:vAlign w:val="center"/>
          </w:tcPr>
          <w:p>
            <w:pPr>
              <w:pStyle w:val="93"/>
              <w:rPr>
                <w:b w:val="0"/>
              </w:rPr>
            </w:pPr>
            <w:r>
              <w:rPr>
                <w:rFonts w:hint="eastAsia"/>
                <w:b w:val="0"/>
              </w:rPr>
              <w:t>YLYS.120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山东淄博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95</w:t>
            </w:r>
          </w:p>
        </w:tc>
        <w:tc>
          <w:tcPr>
            <w:tcW w:w="2450" w:type="dxa"/>
            <w:noWrap/>
            <w:vAlign w:val="center"/>
          </w:tcPr>
          <w:p>
            <w:pPr>
              <w:pStyle w:val="93"/>
              <w:rPr>
                <w:b w:val="0"/>
              </w:rPr>
            </w:pPr>
            <w:r>
              <w:rPr>
                <w:rFonts w:hint="eastAsia"/>
                <w:b w:val="0"/>
              </w:rPr>
              <w:t>脱色抽出泵</w:t>
            </w:r>
          </w:p>
        </w:tc>
        <w:tc>
          <w:tcPr>
            <w:tcW w:w="2848" w:type="dxa"/>
            <w:vAlign w:val="center"/>
          </w:tcPr>
          <w:p>
            <w:pPr>
              <w:pStyle w:val="93"/>
              <w:rPr>
                <w:b w:val="0"/>
              </w:rPr>
            </w:pPr>
            <w:r>
              <w:rPr>
                <w:rFonts w:hint="eastAsia"/>
                <w:b w:val="0"/>
              </w:rPr>
              <w:t>40TLS6-8C</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96</w:t>
            </w:r>
          </w:p>
        </w:tc>
        <w:tc>
          <w:tcPr>
            <w:tcW w:w="2450" w:type="dxa"/>
            <w:noWrap/>
            <w:vAlign w:val="center"/>
          </w:tcPr>
          <w:p>
            <w:pPr>
              <w:pStyle w:val="93"/>
              <w:rPr>
                <w:b w:val="0"/>
              </w:rPr>
            </w:pPr>
            <w:r>
              <w:rPr>
                <w:rFonts w:hint="eastAsia"/>
                <w:b w:val="0"/>
              </w:rPr>
              <w:t>耐酸隔膜过滤机</w:t>
            </w:r>
          </w:p>
        </w:tc>
        <w:tc>
          <w:tcPr>
            <w:tcW w:w="2848" w:type="dxa"/>
            <w:vAlign w:val="center"/>
          </w:tcPr>
          <w:p>
            <w:pPr>
              <w:pStyle w:val="93"/>
              <w:rPr>
                <w:b w:val="0"/>
              </w:rPr>
            </w:pPr>
            <w:r>
              <w:rPr>
                <w:rFonts w:hint="eastAsia"/>
                <w:b w:val="0"/>
              </w:rPr>
              <w:t>XIMZG.30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河南，浙江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97</w:t>
            </w:r>
          </w:p>
        </w:tc>
        <w:tc>
          <w:tcPr>
            <w:tcW w:w="2450" w:type="dxa"/>
            <w:noWrap/>
            <w:vAlign w:val="center"/>
          </w:tcPr>
          <w:p>
            <w:pPr>
              <w:pStyle w:val="93"/>
              <w:rPr>
                <w:b w:val="0"/>
              </w:rPr>
            </w:pPr>
            <w:r>
              <w:rPr>
                <w:rFonts w:hint="eastAsia"/>
                <w:b w:val="0"/>
              </w:rPr>
              <w:t>卸料箱</w:t>
            </w:r>
          </w:p>
        </w:tc>
        <w:tc>
          <w:tcPr>
            <w:tcW w:w="2848" w:type="dxa"/>
            <w:vAlign w:val="center"/>
          </w:tcPr>
          <w:p>
            <w:pPr>
              <w:pStyle w:val="93"/>
              <w:rPr>
                <w:b w:val="0"/>
              </w:rPr>
            </w:pPr>
            <w:r>
              <w:rPr>
                <w:rFonts w:hint="eastAsia"/>
                <w:b w:val="0"/>
              </w:rPr>
              <w:t>LX.1500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98</w:t>
            </w:r>
          </w:p>
        </w:tc>
        <w:tc>
          <w:tcPr>
            <w:tcW w:w="2450" w:type="dxa"/>
            <w:noWrap/>
            <w:vAlign w:val="center"/>
          </w:tcPr>
          <w:p>
            <w:pPr>
              <w:pStyle w:val="93"/>
              <w:rPr>
                <w:b w:val="0"/>
              </w:rPr>
            </w:pPr>
            <w:r>
              <w:rPr>
                <w:rFonts w:hint="eastAsia"/>
                <w:b w:val="0"/>
              </w:rPr>
              <w:t>出料绞龙</w:t>
            </w:r>
          </w:p>
        </w:tc>
        <w:tc>
          <w:tcPr>
            <w:tcW w:w="2848" w:type="dxa"/>
            <w:vAlign w:val="center"/>
          </w:tcPr>
          <w:p>
            <w:pPr>
              <w:pStyle w:val="93"/>
              <w:rPr>
                <w:b w:val="0"/>
              </w:rPr>
            </w:pPr>
            <w:r>
              <w:rPr>
                <w:rFonts w:hint="eastAsia"/>
                <w:b w:val="0"/>
              </w:rPr>
              <w:t>LSS30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99</w:t>
            </w:r>
          </w:p>
        </w:tc>
        <w:tc>
          <w:tcPr>
            <w:tcW w:w="2450" w:type="dxa"/>
            <w:noWrap/>
            <w:vAlign w:val="center"/>
          </w:tcPr>
          <w:p>
            <w:pPr>
              <w:pStyle w:val="93"/>
              <w:rPr>
                <w:b w:val="0"/>
              </w:rPr>
            </w:pPr>
            <w:r>
              <w:rPr>
                <w:rFonts w:hint="eastAsia"/>
                <w:b w:val="0"/>
              </w:rPr>
              <w:t>吹扫沙克龙</w:t>
            </w:r>
          </w:p>
        </w:tc>
        <w:tc>
          <w:tcPr>
            <w:tcW w:w="2848" w:type="dxa"/>
            <w:noWrap/>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2</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100</w:t>
            </w:r>
          </w:p>
        </w:tc>
        <w:tc>
          <w:tcPr>
            <w:tcW w:w="2450" w:type="dxa"/>
            <w:noWrap/>
            <w:vAlign w:val="center"/>
          </w:tcPr>
          <w:p>
            <w:pPr>
              <w:pStyle w:val="93"/>
              <w:rPr>
                <w:b w:val="0"/>
              </w:rPr>
            </w:pPr>
            <w:r>
              <w:rPr>
                <w:rFonts w:hint="eastAsia"/>
                <w:b w:val="0"/>
              </w:rPr>
              <w:t>定量装置</w:t>
            </w:r>
          </w:p>
        </w:tc>
        <w:tc>
          <w:tcPr>
            <w:tcW w:w="2848" w:type="dxa"/>
            <w:noWrap/>
            <w:vAlign w:val="center"/>
          </w:tcPr>
          <w:p>
            <w:pPr>
              <w:pStyle w:val="93"/>
              <w:rPr>
                <w:b w:val="0"/>
              </w:rPr>
            </w:pPr>
            <w:r>
              <w:rPr>
                <w:rFonts w:hint="eastAsia"/>
                <w:b w:val="0"/>
              </w:rPr>
              <w:t>DL.125</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101</w:t>
            </w:r>
          </w:p>
        </w:tc>
        <w:tc>
          <w:tcPr>
            <w:tcW w:w="2450" w:type="dxa"/>
            <w:noWrap/>
            <w:vAlign w:val="center"/>
          </w:tcPr>
          <w:p>
            <w:pPr>
              <w:pStyle w:val="93"/>
              <w:rPr>
                <w:b w:val="0"/>
              </w:rPr>
            </w:pPr>
            <w:r>
              <w:rPr>
                <w:rFonts w:hint="eastAsia"/>
                <w:b w:val="0"/>
              </w:rPr>
              <w:t>耐酸过滤机</w:t>
            </w:r>
          </w:p>
        </w:tc>
        <w:tc>
          <w:tcPr>
            <w:tcW w:w="2848" w:type="dxa"/>
            <w:vAlign w:val="center"/>
          </w:tcPr>
          <w:p>
            <w:pPr>
              <w:pStyle w:val="93"/>
              <w:rPr>
                <w:b w:val="0"/>
              </w:rPr>
            </w:pPr>
            <w:r>
              <w:rPr>
                <w:rFonts w:hint="eastAsia"/>
                <w:b w:val="0"/>
              </w:rPr>
              <w:t>XIMZG.30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河南、浙江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102</w:t>
            </w:r>
          </w:p>
        </w:tc>
        <w:tc>
          <w:tcPr>
            <w:tcW w:w="2450" w:type="dxa"/>
            <w:noWrap/>
            <w:vAlign w:val="center"/>
          </w:tcPr>
          <w:p>
            <w:pPr>
              <w:pStyle w:val="93"/>
              <w:rPr>
                <w:b w:val="0"/>
              </w:rPr>
            </w:pPr>
            <w:r>
              <w:rPr>
                <w:rFonts w:hint="eastAsia"/>
                <w:b w:val="0"/>
              </w:rPr>
              <w:t>卸料箱</w:t>
            </w:r>
          </w:p>
        </w:tc>
        <w:tc>
          <w:tcPr>
            <w:tcW w:w="2848" w:type="dxa"/>
            <w:vAlign w:val="center"/>
          </w:tcPr>
          <w:p>
            <w:pPr>
              <w:pStyle w:val="93"/>
              <w:rPr>
                <w:b w:val="0"/>
              </w:rPr>
            </w:pPr>
            <w:r>
              <w:rPr>
                <w:rFonts w:hint="eastAsia"/>
                <w:b w:val="0"/>
              </w:rPr>
              <w:t>LX.1500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103</w:t>
            </w:r>
          </w:p>
        </w:tc>
        <w:tc>
          <w:tcPr>
            <w:tcW w:w="2450" w:type="dxa"/>
            <w:noWrap/>
            <w:vAlign w:val="center"/>
          </w:tcPr>
          <w:p>
            <w:pPr>
              <w:pStyle w:val="93"/>
              <w:rPr>
                <w:b w:val="0"/>
              </w:rPr>
            </w:pPr>
            <w:r>
              <w:rPr>
                <w:rFonts w:hint="eastAsia"/>
                <w:b w:val="0"/>
              </w:rPr>
              <w:t>出料绞龙</w:t>
            </w:r>
          </w:p>
        </w:tc>
        <w:tc>
          <w:tcPr>
            <w:tcW w:w="2848" w:type="dxa"/>
            <w:vAlign w:val="center"/>
          </w:tcPr>
          <w:p>
            <w:pPr>
              <w:pStyle w:val="93"/>
              <w:rPr>
                <w:b w:val="0"/>
              </w:rPr>
            </w:pPr>
            <w:r>
              <w:rPr>
                <w:rFonts w:hint="eastAsia"/>
                <w:b w:val="0"/>
              </w:rPr>
              <w:t>LSS30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104</w:t>
            </w:r>
          </w:p>
        </w:tc>
        <w:tc>
          <w:tcPr>
            <w:tcW w:w="2450" w:type="dxa"/>
            <w:noWrap/>
            <w:vAlign w:val="center"/>
          </w:tcPr>
          <w:p>
            <w:pPr>
              <w:pStyle w:val="93"/>
              <w:rPr>
                <w:b w:val="0"/>
              </w:rPr>
            </w:pPr>
            <w:r>
              <w:rPr>
                <w:rFonts w:hint="eastAsia"/>
                <w:b w:val="0"/>
              </w:rPr>
              <w:t>成品卸料仓</w:t>
            </w:r>
          </w:p>
        </w:tc>
        <w:tc>
          <w:tcPr>
            <w:tcW w:w="2848" w:type="dxa"/>
            <w:noWrap/>
            <w:vAlign w:val="center"/>
          </w:tcPr>
          <w:p>
            <w:pPr>
              <w:pStyle w:val="93"/>
              <w:rPr>
                <w:b w:val="0"/>
              </w:rPr>
            </w:pPr>
            <w:r>
              <w:rPr>
                <w:rFonts w:hint="eastAsia"/>
                <w:b w:val="0"/>
              </w:rPr>
              <w:t>YLG.120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105</w:t>
            </w:r>
          </w:p>
        </w:tc>
        <w:tc>
          <w:tcPr>
            <w:tcW w:w="2450" w:type="dxa"/>
            <w:noWrap/>
            <w:vAlign w:val="center"/>
          </w:tcPr>
          <w:p>
            <w:pPr>
              <w:pStyle w:val="93"/>
              <w:rPr>
                <w:b w:val="0"/>
              </w:rPr>
            </w:pPr>
            <w:r>
              <w:rPr>
                <w:rFonts w:hint="eastAsia"/>
                <w:b w:val="0"/>
              </w:rPr>
              <w:t>配碱罐</w:t>
            </w:r>
          </w:p>
        </w:tc>
        <w:tc>
          <w:tcPr>
            <w:tcW w:w="2848" w:type="dxa"/>
            <w:noWrap/>
            <w:vAlign w:val="center"/>
          </w:tcPr>
          <w:p>
            <w:pPr>
              <w:pStyle w:val="93"/>
              <w:rPr>
                <w:b w:val="0"/>
              </w:rPr>
            </w:pPr>
            <w:r>
              <w:rPr>
                <w:rFonts w:hint="eastAsia"/>
                <w:b w:val="0"/>
              </w:rPr>
              <w:t>JG.100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106</w:t>
            </w:r>
          </w:p>
        </w:tc>
        <w:tc>
          <w:tcPr>
            <w:tcW w:w="2450" w:type="dxa"/>
            <w:noWrap/>
            <w:vAlign w:val="center"/>
          </w:tcPr>
          <w:p>
            <w:pPr>
              <w:pStyle w:val="93"/>
              <w:rPr>
                <w:b w:val="0"/>
              </w:rPr>
            </w:pPr>
            <w:r>
              <w:rPr>
                <w:rFonts w:hint="eastAsia"/>
                <w:b w:val="0"/>
              </w:rPr>
              <w:t>碱液定量泵</w:t>
            </w:r>
          </w:p>
        </w:tc>
        <w:tc>
          <w:tcPr>
            <w:tcW w:w="2848" w:type="dxa"/>
            <w:noWrap/>
            <w:vAlign w:val="center"/>
          </w:tcPr>
          <w:p>
            <w:pPr>
              <w:pStyle w:val="93"/>
              <w:rPr>
                <w:b w:val="0"/>
              </w:rPr>
            </w:pPr>
            <w:r>
              <w:rPr>
                <w:rFonts w:hint="eastAsia"/>
                <w:b w:val="0"/>
              </w:rPr>
              <w:t>PN20-01L</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武汉耐驰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107</w:t>
            </w:r>
          </w:p>
        </w:tc>
        <w:tc>
          <w:tcPr>
            <w:tcW w:w="2450" w:type="dxa"/>
            <w:noWrap/>
            <w:vAlign w:val="center"/>
          </w:tcPr>
          <w:p>
            <w:pPr>
              <w:pStyle w:val="93"/>
              <w:rPr>
                <w:b w:val="0"/>
              </w:rPr>
            </w:pPr>
            <w:r>
              <w:rPr>
                <w:rFonts w:hint="eastAsia"/>
                <w:b w:val="0"/>
              </w:rPr>
              <w:t>引风机</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restart"/>
            <w:noWrap/>
            <w:vAlign w:val="center"/>
          </w:tcPr>
          <w:p>
            <w:pPr>
              <w:pStyle w:val="93"/>
              <w:rPr>
                <w:b w:val="0"/>
              </w:rPr>
            </w:pPr>
            <w:r>
              <w:rPr>
                <w:rFonts w:hint="eastAsia"/>
                <w:b w:val="0"/>
              </w:rPr>
              <w:t>常州盛丰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108</w:t>
            </w:r>
          </w:p>
        </w:tc>
        <w:tc>
          <w:tcPr>
            <w:tcW w:w="2450" w:type="dxa"/>
            <w:noWrap/>
            <w:vAlign w:val="center"/>
          </w:tcPr>
          <w:p>
            <w:pPr>
              <w:pStyle w:val="93"/>
              <w:rPr>
                <w:b w:val="0"/>
              </w:rPr>
            </w:pPr>
            <w:r>
              <w:rPr>
                <w:rFonts w:hint="eastAsia"/>
                <w:b w:val="0"/>
              </w:rPr>
              <w:t>闪蒸主机</w:t>
            </w:r>
          </w:p>
        </w:tc>
        <w:tc>
          <w:tcPr>
            <w:tcW w:w="2848" w:type="dxa"/>
            <w:noWrap/>
            <w:vAlign w:val="center"/>
          </w:tcPr>
          <w:p>
            <w:pPr>
              <w:pStyle w:val="93"/>
              <w:rPr>
                <w:b w:val="0"/>
              </w:rPr>
            </w:pPr>
            <w:r>
              <w:rPr>
                <w:rFonts w:hint="eastAsia"/>
                <w:b w:val="0"/>
              </w:rPr>
              <w:t>XSG-6</w:t>
            </w: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109</w:t>
            </w:r>
          </w:p>
        </w:tc>
        <w:tc>
          <w:tcPr>
            <w:tcW w:w="2450" w:type="dxa"/>
            <w:noWrap/>
            <w:vAlign w:val="center"/>
          </w:tcPr>
          <w:p>
            <w:pPr>
              <w:pStyle w:val="93"/>
              <w:rPr>
                <w:b w:val="0"/>
              </w:rPr>
            </w:pPr>
            <w:r>
              <w:rPr>
                <w:rFonts w:hint="eastAsia"/>
                <w:b w:val="0"/>
              </w:rPr>
              <w:t>空气过滤器</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110</w:t>
            </w:r>
          </w:p>
        </w:tc>
        <w:tc>
          <w:tcPr>
            <w:tcW w:w="2450" w:type="dxa"/>
            <w:noWrap/>
            <w:vAlign w:val="center"/>
          </w:tcPr>
          <w:p>
            <w:pPr>
              <w:pStyle w:val="93"/>
              <w:rPr>
                <w:b w:val="0"/>
              </w:rPr>
            </w:pPr>
            <w:r>
              <w:rPr>
                <w:rFonts w:hint="eastAsia"/>
                <w:b w:val="0"/>
              </w:rPr>
              <w:t>加热器</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111</w:t>
            </w:r>
          </w:p>
        </w:tc>
        <w:tc>
          <w:tcPr>
            <w:tcW w:w="2450" w:type="dxa"/>
            <w:noWrap/>
            <w:vAlign w:val="center"/>
          </w:tcPr>
          <w:p>
            <w:pPr>
              <w:pStyle w:val="93"/>
              <w:rPr>
                <w:b w:val="0"/>
              </w:rPr>
            </w:pPr>
            <w:r>
              <w:rPr>
                <w:rFonts w:hint="eastAsia"/>
                <w:b w:val="0"/>
              </w:rPr>
              <w:t>鼓风机</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112</w:t>
            </w:r>
          </w:p>
        </w:tc>
        <w:tc>
          <w:tcPr>
            <w:tcW w:w="2450" w:type="dxa"/>
            <w:noWrap/>
            <w:vAlign w:val="center"/>
          </w:tcPr>
          <w:p>
            <w:pPr>
              <w:pStyle w:val="93"/>
              <w:rPr>
                <w:b w:val="0"/>
              </w:rPr>
            </w:pPr>
            <w:r>
              <w:rPr>
                <w:rFonts w:hint="eastAsia"/>
                <w:b w:val="0"/>
              </w:rPr>
              <w:t>热风进管组合</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113</w:t>
            </w:r>
          </w:p>
        </w:tc>
        <w:tc>
          <w:tcPr>
            <w:tcW w:w="2450" w:type="dxa"/>
            <w:noWrap/>
            <w:vAlign w:val="center"/>
          </w:tcPr>
          <w:p>
            <w:pPr>
              <w:pStyle w:val="93"/>
              <w:rPr>
                <w:b w:val="0"/>
              </w:rPr>
            </w:pPr>
            <w:r>
              <w:rPr>
                <w:rFonts w:hint="eastAsia"/>
                <w:b w:val="0"/>
              </w:rPr>
              <w:t>除尘器</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114</w:t>
            </w:r>
          </w:p>
        </w:tc>
        <w:tc>
          <w:tcPr>
            <w:tcW w:w="2450" w:type="dxa"/>
            <w:noWrap/>
            <w:vAlign w:val="center"/>
          </w:tcPr>
          <w:p>
            <w:pPr>
              <w:pStyle w:val="93"/>
              <w:rPr>
                <w:b w:val="0"/>
              </w:rPr>
            </w:pPr>
            <w:r>
              <w:rPr>
                <w:rFonts w:hint="eastAsia"/>
                <w:b w:val="0"/>
              </w:rPr>
              <w:t>螺旋进料装置</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115</w:t>
            </w:r>
          </w:p>
        </w:tc>
        <w:tc>
          <w:tcPr>
            <w:tcW w:w="2450" w:type="dxa"/>
            <w:noWrap/>
            <w:vAlign w:val="center"/>
          </w:tcPr>
          <w:p>
            <w:pPr>
              <w:pStyle w:val="93"/>
              <w:rPr>
                <w:b w:val="0"/>
              </w:rPr>
            </w:pPr>
            <w:r>
              <w:rPr>
                <w:rFonts w:hint="eastAsia"/>
                <w:b w:val="0"/>
              </w:rPr>
              <w:t>搅拌装置</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116</w:t>
            </w:r>
          </w:p>
        </w:tc>
        <w:tc>
          <w:tcPr>
            <w:tcW w:w="2450" w:type="dxa"/>
            <w:noWrap/>
            <w:vAlign w:val="center"/>
          </w:tcPr>
          <w:p>
            <w:pPr>
              <w:pStyle w:val="93"/>
              <w:rPr>
                <w:b w:val="0"/>
              </w:rPr>
            </w:pPr>
            <w:r>
              <w:rPr>
                <w:rFonts w:hint="eastAsia"/>
                <w:b w:val="0"/>
              </w:rPr>
              <w:t>沙克龙</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117</w:t>
            </w:r>
          </w:p>
        </w:tc>
        <w:tc>
          <w:tcPr>
            <w:tcW w:w="2450" w:type="dxa"/>
            <w:noWrap/>
            <w:vAlign w:val="center"/>
          </w:tcPr>
          <w:p>
            <w:pPr>
              <w:pStyle w:val="93"/>
              <w:rPr>
                <w:b w:val="0"/>
              </w:rPr>
            </w:pPr>
            <w:r>
              <w:rPr>
                <w:rFonts w:hint="eastAsia"/>
                <w:b w:val="0"/>
              </w:rPr>
              <w:t>收集料斗</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118</w:t>
            </w:r>
          </w:p>
        </w:tc>
        <w:tc>
          <w:tcPr>
            <w:tcW w:w="2450" w:type="dxa"/>
            <w:noWrap/>
            <w:vAlign w:val="center"/>
          </w:tcPr>
          <w:p>
            <w:pPr>
              <w:pStyle w:val="93"/>
              <w:rPr>
                <w:b w:val="0"/>
              </w:rPr>
            </w:pPr>
            <w:r>
              <w:rPr>
                <w:rFonts w:hint="eastAsia"/>
                <w:b w:val="0"/>
              </w:rPr>
              <w:t>关风器</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119</w:t>
            </w:r>
          </w:p>
        </w:tc>
        <w:tc>
          <w:tcPr>
            <w:tcW w:w="2450" w:type="dxa"/>
            <w:vAlign w:val="center"/>
          </w:tcPr>
          <w:p>
            <w:pPr>
              <w:pStyle w:val="93"/>
              <w:rPr>
                <w:b w:val="0"/>
              </w:rPr>
            </w:pPr>
            <w:r>
              <w:rPr>
                <w:rFonts w:hint="eastAsia"/>
                <w:b w:val="0"/>
              </w:rPr>
              <w:t>出仓斜刮板</w:t>
            </w:r>
          </w:p>
        </w:tc>
        <w:tc>
          <w:tcPr>
            <w:tcW w:w="2848" w:type="dxa"/>
            <w:vAlign w:val="center"/>
          </w:tcPr>
          <w:p>
            <w:pPr>
              <w:pStyle w:val="93"/>
              <w:rPr>
                <w:b w:val="0"/>
              </w:rPr>
            </w:pPr>
            <w:r>
              <w:rPr>
                <w:rFonts w:hint="eastAsia"/>
                <w:b w:val="0"/>
              </w:rPr>
              <w:t>RMC.16</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120</w:t>
            </w:r>
          </w:p>
        </w:tc>
        <w:tc>
          <w:tcPr>
            <w:tcW w:w="2450" w:type="dxa"/>
            <w:vAlign w:val="center"/>
          </w:tcPr>
          <w:p>
            <w:pPr>
              <w:pStyle w:val="93"/>
              <w:rPr>
                <w:b w:val="0"/>
              </w:rPr>
            </w:pPr>
            <w:r>
              <w:rPr>
                <w:rFonts w:hint="eastAsia"/>
                <w:b w:val="0"/>
              </w:rPr>
              <w:t>混合器</w:t>
            </w:r>
          </w:p>
        </w:tc>
        <w:tc>
          <w:tcPr>
            <w:tcW w:w="2848" w:type="dxa"/>
            <w:vAlign w:val="center"/>
          </w:tcPr>
          <w:p>
            <w:pPr>
              <w:pStyle w:val="93"/>
              <w:rPr>
                <w:b w:val="0"/>
              </w:rPr>
            </w:pPr>
            <w:r>
              <w:rPr>
                <w:rFonts w:hint="eastAsia"/>
                <w:b w:val="0"/>
              </w:rPr>
              <w:t>SF.5636</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江苏，上海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121</w:t>
            </w:r>
          </w:p>
        </w:tc>
        <w:tc>
          <w:tcPr>
            <w:tcW w:w="2450" w:type="dxa"/>
            <w:noWrap/>
            <w:vAlign w:val="center"/>
          </w:tcPr>
          <w:p>
            <w:pPr>
              <w:pStyle w:val="93"/>
              <w:rPr>
                <w:b w:val="0"/>
              </w:rPr>
            </w:pPr>
            <w:r>
              <w:rPr>
                <w:rFonts w:hint="eastAsia"/>
                <w:b w:val="0"/>
              </w:rPr>
              <w:t>中间品料仓</w:t>
            </w:r>
          </w:p>
        </w:tc>
        <w:tc>
          <w:tcPr>
            <w:tcW w:w="2848" w:type="dxa"/>
            <w:vAlign w:val="center"/>
          </w:tcPr>
          <w:p>
            <w:pPr>
              <w:pStyle w:val="93"/>
              <w:rPr>
                <w:b w:val="0"/>
              </w:rPr>
            </w:pPr>
            <w:r>
              <w:rPr>
                <w:rFonts w:hint="eastAsia"/>
                <w:b w:val="0"/>
              </w:rPr>
              <w:t>XL.120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122</w:t>
            </w:r>
          </w:p>
        </w:tc>
        <w:tc>
          <w:tcPr>
            <w:tcW w:w="2450" w:type="dxa"/>
            <w:noWrap/>
            <w:vAlign w:val="center"/>
          </w:tcPr>
          <w:p>
            <w:pPr>
              <w:pStyle w:val="93"/>
              <w:rPr>
                <w:b w:val="0"/>
              </w:rPr>
            </w:pPr>
            <w:r>
              <w:rPr>
                <w:rFonts w:hint="eastAsia"/>
                <w:b w:val="0"/>
              </w:rPr>
              <w:t>脉冲除尘器</w:t>
            </w:r>
          </w:p>
        </w:tc>
        <w:tc>
          <w:tcPr>
            <w:tcW w:w="2848" w:type="dxa"/>
            <w:vAlign w:val="center"/>
          </w:tcPr>
          <w:p>
            <w:pPr>
              <w:pStyle w:val="93"/>
              <w:rPr>
                <w:b w:val="0"/>
              </w:rPr>
            </w:pPr>
            <w:r>
              <w:rPr>
                <w:rFonts w:hint="eastAsia"/>
                <w:b w:val="0"/>
              </w:rPr>
              <w:t>TBLMZa.28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开封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123</w:t>
            </w:r>
          </w:p>
        </w:tc>
        <w:tc>
          <w:tcPr>
            <w:tcW w:w="2450" w:type="dxa"/>
            <w:noWrap/>
            <w:vAlign w:val="center"/>
          </w:tcPr>
          <w:p>
            <w:pPr>
              <w:pStyle w:val="93"/>
              <w:rPr>
                <w:b w:val="0"/>
              </w:rPr>
            </w:pPr>
            <w:r>
              <w:rPr>
                <w:rFonts w:hint="eastAsia"/>
                <w:b w:val="0"/>
              </w:rPr>
              <w:t>喂料器</w:t>
            </w:r>
          </w:p>
        </w:tc>
        <w:tc>
          <w:tcPr>
            <w:tcW w:w="2848" w:type="dxa"/>
            <w:noWrap/>
            <w:vAlign w:val="center"/>
          </w:tcPr>
          <w:p>
            <w:pPr>
              <w:pStyle w:val="93"/>
              <w:rPr>
                <w:b w:val="0"/>
              </w:rPr>
            </w:pPr>
            <w:r>
              <w:rPr>
                <w:rFonts w:hint="eastAsia"/>
                <w:b w:val="0"/>
              </w:rPr>
              <w:t>LC.80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124</w:t>
            </w:r>
          </w:p>
        </w:tc>
        <w:tc>
          <w:tcPr>
            <w:tcW w:w="2450" w:type="dxa"/>
            <w:noWrap/>
            <w:vAlign w:val="center"/>
          </w:tcPr>
          <w:p>
            <w:pPr>
              <w:pStyle w:val="93"/>
              <w:rPr>
                <w:b w:val="0"/>
              </w:rPr>
            </w:pPr>
            <w:r>
              <w:rPr>
                <w:rFonts w:hint="eastAsia"/>
                <w:b w:val="0"/>
              </w:rPr>
              <w:t>活性炭储罐</w:t>
            </w:r>
          </w:p>
        </w:tc>
        <w:tc>
          <w:tcPr>
            <w:tcW w:w="2848" w:type="dxa"/>
            <w:noWrap/>
            <w:vAlign w:val="center"/>
          </w:tcPr>
          <w:p>
            <w:pPr>
              <w:pStyle w:val="93"/>
              <w:rPr>
                <w:b w:val="0"/>
              </w:rPr>
            </w:pPr>
            <w:r>
              <w:rPr>
                <w:rFonts w:hint="eastAsia"/>
                <w:b w:val="0"/>
              </w:rPr>
              <w:t>YGG.100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125</w:t>
            </w:r>
          </w:p>
        </w:tc>
        <w:tc>
          <w:tcPr>
            <w:tcW w:w="2450" w:type="dxa"/>
            <w:noWrap/>
            <w:vAlign w:val="center"/>
          </w:tcPr>
          <w:p>
            <w:pPr>
              <w:pStyle w:val="93"/>
              <w:rPr>
                <w:b w:val="0"/>
              </w:rPr>
            </w:pPr>
            <w:r>
              <w:rPr>
                <w:rFonts w:hint="eastAsia"/>
                <w:b w:val="0"/>
              </w:rPr>
              <w:t>混合物储罐</w:t>
            </w:r>
          </w:p>
        </w:tc>
        <w:tc>
          <w:tcPr>
            <w:tcW w:w="2848" w:type="dxa"/>
            <w:noWrap/>
            <w:vAlign w:val="center"/>
          </w:tcPr>
          <w:p>
            <w:pPr>
              <w:pStyle w:val="93"/>
              <w:rPr>
                <w:b w:val="0"/>
              </w:rPr>
            </w:pPr>
            <w:r>
              <w:rPr>
                <w:rFonts w:hint="eastAsia"/>
                <w:b w:val="0"/>
              </w:rPr>
              <w:t>YGG.80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126</w:t>
            </w:r>
          </w:p>
        </w:tc>
        <w:tc>
          <w:tcPr>
            <w:tcW w:w="2450" w:type="dxa"/>
            <w:noWrap/>
            <w:vAlign w:val="center"/>
          </w:tcPr>
          <w:p>
            <w:pPr>
              <w:pStyle w:val="93"/>
              <w:rPr>
                <w:b w:val="0"/>
              </w:rPr>
            </w:pPr>
            <w:r>
              <w:rPr>
                <w:rFonts w:hint="eastAsia"/>
                <w:b w:val="0"/>
              </w:rPr>
              <w:t>硫酸配料罐</w:t>
            </w:r>
          </w:p>
        </w:tc>
        <w:tc>
          <w:tcPr>
            <w:tcW w:w="2848" w:type="dxa"/>
            <w:noWrap/>
            <w:vAlign w:val="center"/>
          </w:tcPr>
          <w:p>
            <w:pPr>
              <w:pStyle w:val="93"/>
              <w:rPr>
                <w:b w:val="0"/>
              </w:rPr>
            </w:pPr>
            <w:r>
              <w:rPr>
                <w:rFonts w:hint="eastAsia"/>
                <w:b w:val="0"/>
              </w:rPr>
              <w:t>YGG.100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127</w:t>
            </w:r>
          </w:p>
        </w:tc>
        <w:tc>
          <w:tcPr>
            <w:tcW w:w="2450" w:type="dxa"/>
            <w:noWrap/>
            <w:vAlign w:val="center"/>
          </w:tcPr>
          <w:p>
            <w:pPr>
              <w:pStyle w:val="93"/>
              <w:rPr>
                <w:b w:val="0"/>
              </w:rPr>
            </w:pPr>
            <w:r>
              <w:rPr>
                <w:rFonts w:hint="eastAsia"/>
                <w:b w:val="0"/>
              </w:rPr>
              <w:t>抽出泵</w:t>
            </w:r>
          </w:p>
        </w:tc>
        <w:tc>
          <w:tcPr>
            <w:tcW w:w="2848" w:type="dxa"/>
            <w:noWrap/>
            <w:vAlign w:val="center"/>
          </w:tcPr>
          <w:p>
            <w:pPr>
              <w:pStyle w:val="93"/>
              <w:rPr>
                <w:b w:val="0"/>
              </w:rPr>
            </w:pPr>
            <w:r>
              <w:rPr>
                <w:rFonts w:hint="eastAsia"/>
                <w:b w:val="0"/>
              </w:rPr>
              <w:t>TPWH25-160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128</w:t>
            </w:r>
          </w:p>
        </w:tc>
        <w:tc>
          <w:tcPr>
            <w:tcW w:w="2450" w:type="dxa"/>
            <w:noWrap/>
            <w:vAlign w:val="center"/>
          </w:tcPr>
          <w:p>
            <w:pPr>
              <w:pStyle w:val="93"/>
              <w:rPr>
                <w:b w:val="0"/>
              </w:rPr>
            </w:pPr>
            <w:r>
              <w:rPr>
                <w:rFonts w:hint="eastAsia"/>
                <w:b w:val="0"/>
              </w:rPr>
              <w:t>硫酸计量泵</w:t>
            </w:r>
          </w:p>
        </w:tc>
        <w:tc>
          <w:tcPr>
            <w:tcW w:w="2848" w:type="dxa"/>
            <w:noWrap/>
            <w:vAlign w:val="center"/>
          </w:tcPr>
          <w:p>
            <w:pPr>
              <w:pStyle w:val="93"/>
              <w:rPr>
                <w:b w:val="0"/>
              </w:rPr>
            </w:pPr>
            <w:r>
              <w:rPr>
                <w:rFonts w:hint="eastAsia"/>
                <w:b w:val="0"/>
              </w:rPr>
              <w:t>TPWH25-160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129</w:t>
            </w:r>
          </w:p>
        </w:tc>
        <w:tc>
          <w:tcPr>
            <w:tcW w:w="2450" w:type="dxa"/>
            <w:noWrap/>
            <w:vAlign w:val="center"/>
          </w:tcPr>
          <w:p>
            <w:pPr>
              <w:pStyle w:val="93"/>
              <w:rPr>
                <w:b w:val="0"/>
              </w:rPr>
            </w:pPr>
            <w:r>
              <w:rPr>
                <w:rFonts w:hint="eastAsia"/>
                <w:b w:val="0"/>
              </w:rPr>
              <w:t>进料沙克龙</w:t>
            </w:r>
          </w:p>
        </w:tc>
        <w:tc>
          <w:tcPr>
            <w:tcW w:w="2848" w:type="dxa"/>
            <w:noWrap/>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4</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130</w:t>
            </w:r>
          </w:p>
        </w:tc>
        <w:tc>
          <w:tcPr>
            <w:tcW w:w="2450" w:type="dxa"/>
            <w:noWrap/>
            <w:vAlign w:val="center"/>
          </w:tcPr>
          <w:p>
            <w:pPr>
              <w:pStyle w:val="93"/>
              <w:rPr>
                <w:b w:val="0"/>
              </w:rPr>
            </w:pPr>
            <w:r>
              <w:rPr>
                <w:rFonts w:hint="eastAsia"/>
                <w:b w:val="0"/>
              </w:rPr>
              <w:t>酸化罐</w:t>
            </w:r>
          </w:p>
        </w:tc>
        <w:tc>
          <w:tcPr>
            <w:tcW w:w="2848" w:type="dxa"/>
            <w:noWrap/>
            <w:vAlign w:val="center"/>
          </w:tcPr>
          <w:p>
            <w:pPr>
              <w:pStyle w:val="93"/>
              <w:rPr>
                <w:b w:val="0"/>
              </w:rPr>
            </w:pPr>
            <w:r>
              <w:rPr>
                <w:rFonts w:hint="eastAsia"/>
                <w:b w:val="0"/>
              </w:rPr>
              <w:t>SFTG.160</w:t>
            </w:r>
          </w:p>
        </w:tc>
        <w:tc>
          <w:tcPr>
            <w:tcW w:w="879" w:type="dxa"/>
            <w:vAlign w:val="center"/>
          </w:tcPr>
          <w:p>
            <w:pPr>
              <w:pStyle w:val="93"/>
              <w:rPr>
                <w:b w:val="0"/>
              </w:rPr>
            </w:pPr>
            <w:r>
              <w:rPr>
                <w:rFonts w:hint="eastAsia"/>
                <w:b w:val="0"/>
              </w:rPr>
              <w:t>4</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131</w:t>
            </w:r>
          </w:p>
        </w:tc>
        <w:tc>
          <w:tcPr>
            <w:tcW w:w="2450" w:type="dxa"/>
            <w:noWrap/>
            <w:vAlign w:val="center"/>
          </w:tcPr>
          <w:p>
            <w:pPr>
              <w:pStyle w:val="93"/>
              <w:rPr>
                <w:b w:val="0"/>
              </w:rPr>
            </w:pPr>
            <w:r>
              <w:rPr>
                <w:rFonts w:hint="eastAsia"/>
                <w:b w:val="0"/>
              </w:rPr>
              <w:t>酸化抽出泵</w:t>
            </w:r>
          </w:p>
        </w:tc>
        <w:tc>
          <w:tcPr>
            <w:tcW w:w="2848" w:type="dxa"/>
            <w:noWrap/>
            <w:vAlign w:val="center"/>
          </w:tcPr>
          <w:p>
            <w:pPr>
              <w:pStyle w:val="93"/>
              <w:rPr>
                <w:b w:val="0"/>
              </w:rPr>
            </w:pPr>
            <w:r>
              <w:rPr>
                <w:rFonts w:hint="eastAsia"/>
                <w:b w:val="0"/>
              </w:rPr>
              <w:t>TPWH40-160</w:t>
            </w:r>
          </w:p>
        </w:tc>
        <w:tc>
          <w:tcPr>
            <w:tcW w:w="879" w:type="dxa"/>
            <w:vAlign w:val="center"/>
          </w:tcPr>
          <w:p>
            <w:pPr>
              <w:pStyle w:val="93"/>
              <w:rPr>
                <w:b w:val="0"/>
              </w:rPr>
            </w:pPr>
            <w:r>
              <w:rPr>
                <w:rFonts w:hint="eastAsia"/>
                <w:b w:val="0"/>
              </w:rPr>
              <w:t>4</w:t>
            </w:r>
          </w:p>
        </w:tc>
        <w:tc>
          <w:tcPr>
            <w:tcW w:w="1985" w:type="dxa"/>
            <w:noWrap/>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132</w:t>
            </w:r>
          </w:p>
        </w:tc>
        <w:tc>
          <w:tcPr>
            <w:tcW w:w="2450" w:type="dxa"/>
            <w:noWrap/>
            <w:vAlign w:val="center"/>
          </w:tcPr>
          <w:p>
            <w:pPr>
              <w:pStyle w:val="93"/>
              <w:rPr>
                <w:b w:val="0"/>
              </w:rPr>
            </w:pPr>
            <w:r>
              <w:rPr>
                <w:rFonts w:hint="eastAsia"/>
                <w:b w:val="0"/>
              </w:rPr>
              <w:t>冷却器</w:t>
            </w:r>
          </w:p>
        </w:tc>
        <w:tc>
          <w:tcPr>
            <w:tcW w:w="2848" w:type="dxa"/>
            <w:noWrap/>
            <w:vAlign w:val="center"/>
          </w:tcPr>
          <w:p>
            <w:pPr>
              <w:pStyle w:val="93"/>
              <w:rPr>
                <w:b w:val="0"/>
              </w:rPr>
            </w:pP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133</w:t>
            </w:r>
          </w:p>
        </w:tc>
        <w:tc>
          <w:tcPr>
            <w:tcW w:w="2450" w:type="dxa"/>
            <w:vAlign w:val="center"/>
          </w:tcPr>
          <w:p>
            <w:pPr>
              <w:pStyle w:val="93"/>
              <w:rPr>
                <w:b w:val="0"/>
              </w:rPr>
            </w:pPr>
            <w:r>
              <w:rPr>
                <w:rFonts w:hint="eastAsia"/>
                <w:b w:val="0"/>
              </w:rPr>
              <w:t>出仓斜刮板</w:t>
            </w:r>
          </w:p>
        </w:tc>
        <w:tc>
          <w:tcPr>
            <w:tcW w:w="2848" w:type="dxa"/>
            <w:vAlign w:val="center"/>
          </w:tcPr>
          <w:p>
            <w:pPr>
              <w:pStyle w:val="93"/>
              <w:rPr>
                <w:b w:val="0"/>
              </w:rPr>
            </w:pPr>
            <w:r>
              <w:rPr>
                <w:rFonts w:hint="eastAsia"/>
                <w:b w:val="0"/>
              </w:rPr>
              <w:t>RMC.16</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134</w:t>
            </w:r>
          </w:p>
        </w:tc>
        <w:tc>
          <w:tcPr>
            <w:tcW w:w="2450" w:type="dxa"/>
            <w:vAlign w:val="center"/>
          </w:tcPr>
          <w:p>
            <w:pPr>
              <w:pStyle w:val="93"/>
              <w:rPr>
                <w:b w:val="0"/>
              </w:rPr>
            </w:pPr>
            <w:r>
              <w:rPr>
                <w:rFonts w:hint="eastAsia"/>
                <w:b w:val="0"/>
              </w:rPr>
              <w:t>进料平刮板</w:t>
            </w:r>
          </w:p>
        </w:tc>
        <w:tc>
          <w:tcPr>
            <w:tcW w:w="2848" w:type="dxa"/>
            <w:vAlign w:val="center"/>
          </w:tcPr>
          <w:p>
            <w:pPr>
              <w:pStyle w:val="93"/>
              <w:rPr>
                <w:b w:val="0"/>
              </w:rPr>
            </w:pPr>
            <w:r>
              <w:rPr>
                <w:rFonts w:hint="eastAsia"/>
                <w:b w:val="0"/>
              </w:rPr>
              <w:t>MS16</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河南，江苏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135</w:t>
            </w:r>
          </w:p>
        </w:tc>
        <w:tc>
          <w:tcPr>
            <w:tcW w:w="2450" w:type="dxa"/>
            <w:noWrap/>
            <w:vAlign w:val="center"/>
          </w:tcPr>
          <w:p>
            <w:pPr>
              <w:pStyle w:val="93"/>
              <w:rPr>
                <w:b w:val="0"/>
              </w:rPr>
            </w:pPr>
            <w:r>
              <w:rPr>
                <w:rFonts w:hint="eastAsia"/>
                <w:b w:val="0"/>
              </w:rPr>
              <w:t>石油醚提取器</w:t>
            </w:r>
          </w:p>
        </w:tc>
        <w:tc>
          <w:tcPr>
            <w:tcW w:w="2848" w:type="dxa"/>
            <w:noWrap/>
            <w:vAlign w:val="center"/>
          </w:tcPr>
          <w:p>
            <w:pPr>
              <w:pStyle w:val="93"/>
              <w:rPr>
                <w:b w:val="0"/>
              </w:rPr>
            </w:pPr>
            <w:r>
              <w:rPr>
                <w:rFonts w:hint="eastAsia"/>
                <w:b w:val="0"/>
              </w:rPr>
              <w:t>SFTG.220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136</w:t>
            </w:r>
          </w:p>
        </w:tc>
        <w:tc>
          <w:tcPr>
            <w:tcW w:w="2450" w:type="dxa"/>
            <w:noWrap/>
            <w:vAlign w:val="center"/>
          </w:tcPr>
          <w:p>
            <w:pPr>
              <w:pStyle w:val="93"/>
              <w:rPr>
                <w:b w:val="0"/>
              </w:rPr>
            </w:pPr>
            <w:r>
              <w:rPr>
                <w:rFonts w:hint="eastAsia"/>
                <w:b w:val="0"/>
              </w:rPr>
              <w:t>叶片过滤机</w:t>
            </w:r>
          </w:p>
        </w:tc>
        <w:tc>
          <w:tcPr>
            <w:tcW w:w="2848" w:type="dxa"/>
            <w:noWrap/>
            <w:vAlign w:val="center"/>
          </w:tcPr>
          <w:p>
            <w:pPr>
              <w:pStyle w:val="93"/>
              <w:rPr>
                <w:b w:val="0"/>
              </w:rPr>
            </w:pPr>
            <w:r>
              <w:rPr>
                <w:rFonts w:hint="eastAsia"/>
                <w:b w:val="0"/>
              </w:rPr>
              <w:t>NYB-30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巨能机械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137</w:t>
            </w:r>
          </w:p>
        </w:tc>
        <w:tc>
          <w:tcPr>
            <w:tcW w:w="2450" w:type="dxa"/>
            <w:vAlign w:val="center"/>
          </w:tcPr>
          <w:p>
            <w:pPr>
              <w:pStyle w:val="93"/>
              <w:rPr>
                <w:b w:val="0"/>
              </w:rPr>
            </w:pPr>
            <w:r>
              <w:rPr>
                <w:rFonts w:hint="eastAsia"/>
                <w:b w:val="0"/>
              </w:rPr>
              <w:t>精滤系统</w:t>
            </w:r>
          </w:p>
        </w:tc>
        <w:tc>
          <w:tcPr>
            <w:tcW w:w="2848" w:type="dxa"/>
            <w:vAlign w:val="center"/>
          </w:tcPr>
          <w:p>
            <w:pPr>
              <w:pStyle w:val="93"/>
              <w:rPr>
                <w:b w:val="0"/>
              </w:rPr>
            </w:pPr>
            <w:r>
              <w:rPr>
                <w:rFonts w:hint="eastAsia"/>
                <w:b w:val="0"/>
              </w:rPr>
              <w:t>TLT18*500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山东淄博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138</w:t>
            </w:r>
          </w:p>
        </w:tc>
        <w:tc>
          <w:tcPr>
            <w:tcW w:w="2450" w:type="dxa"/>
            <w:noWrap/>
            <w:vAlign w:val="center"/>
          </w:tcPr>
          <w:p>
            <w:pPr>
              <w:pStyle w:val="93"/>
              <w:rPr>
                <w:b w:val="0"/>
              </w:rPr>
            </w:pPr>
            <w:r>
              <w:rPr>
                <w:rFonts w:hint="eastAsia"/>
                <w:b w:val="0"/>
              </w:rPr>
              <w:t>双向绞龙</w:t>
            </w:r>
          </w:p>
        </w:tc>
        <w:tc>
          <w:tcPr>
            <w:tcW w:w="2848" w:type="dxa"/>
            <w:noWrap/>
            <w:vAlign w:val="center"/>
          </w:tcPr>
          <w:p>
            <w:pPr>
              <w:pStyle w:val="93"/>
              <w:rPr>
                <w:b w:val="0"/>
              </w:rPr>
            </w:pPr>
            <w:r>
              <w:rPr>
                <w:rFonts w:hint="eastAsia"/>
                <w:b w:val="0"/>
              </w:rPr>
              <w:t>LSS30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139</w:t>
            </w:r>
          </w:p>
        </w:tc>
        <w:tc>
          <w:tcPr>
            <w:tcW w:w="2450" w:type="dxa"/>
            <w:noWrap/>
            <w:vAlign w:val="center"/>
          </w:tcPr>
          <w:p>
            <w:pPr>
              <w:pStyle w:val="93"/>
              <w:rPr>
                <w:b w:val="0"/>
              </w:rPr>
            </w:pPr>
            <w:r>
              <w:rPr>
                <w:rFonts w:hint="eastAsia"/>
                <w:b w:val="0"/>
              </w:rPr>
              <w:t>料仓</w:t>
            </w:r>
          </w:p>
        </w:tc>
        <w:tc>
          <w:tcPr>
            <w:tcW w:w="2848" w:type="dxa"/>
            <w:noWrap/>
            <w:vAlign w:val="center"/>
          </w:tcPr>
          <w:p>
            <w:pPr>
              <w:pStyle w:val="93"/>
              <w:rPr>
                <w:b w:val="0"/>
              </w:rPr>
            </w:pPr>
            <w:r>
              <w:rPr>
                <w:rFonts w:hint="eastAsia"/>
                <w:b w:val="0"/>
              </w:rPr>
              <w:t>CLG.100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140</w:t>
            </w:r>
          </w:p>
        </w:tc>
        <w:tc>
          <w:tcPr>
            <w:tcW w:w="2450" w:type="dxa"/>
            <w:noWrap/>
            <w:vAlign w:val="center"/>
          </w:tcPr>
          <w:p>
            <w:pPr>
              <w:pStyle w:val="93"/>
              <w:rPr>
                <w:b w:val="0"/>
              </w:rPr>
            </w:pPr>
            <w:r>
              <w:rPr>
                <w:rFonts w:hint="eastAsia"/>
                <w:b w:val="0"/>
              </w:rPr>
              <w:t>气液分离器</w:t>
            </w:r>
          </w:p>
        </w:tc>
        <w:tc>
          <w:tcPr>
            <w:tcW w:w="2848" w:type="dxa"/>
            <w:noWrap/>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141</w:t>
            </w:r>
          </w:p>
        </w:tc>
        <w:tc>
          <w:tcPr>
            <w:tcW w:w="2450" w:type="dxa"/>
            <w:vAlign w:val="center"/>
          </w:tcPr>
          <w:p>
            <w:pPr>
              <w:pStyle w:val="93"/>
              <w:rPr>
                <w:b w:val="0"/>
              </w:rPr>
            </w:pPr>
            <w:r>
              <w:rPr>
                <w:rFonts w:hint="eastAsia"/>
                <w:b w:val="0"/>
              </w:rPr>
              <w:t>醚提抽出泵</w:t>
            </w:r>
          </w:p>
        </w:tc>
        <w:tc>
          <w:tcPr>
            <w:tcW w:w="2848" w:type="dxa"/>
            <w:vAlign w:val="center"/>
          </w:tcPr>
          <w:p>
            <w:pPr>
              <w:pStyle w:val="93"/>
              <w:rPr>
                <w:b w:val="0"/>
              </w:rPr>
            </w:pPr>
            <w:r>
              <w:rPr>
                <w:rFonts w:hint="eastAsia"/>
                <w:b w:val="0"/>
              </w:rPr>
              <w:t>40TLS6-8C</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杭州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142</w:t>
            </w:r>
          </w:p>
        </w:tc>
        <w:tc>
          <w:tcPr>
            <w:tcW w:w="2450" w:type="dxa"/>
            <w:vAlign w:val="center"/>
          </w:tcPr>
          <w:p>
            <w:pPr>
              <w:pStyle w:val="93"/>
              <w:rPr>
                <w:b w:val="0"/>
              </w:rPr>
            </w:pPr>
            <w:r>
              <w:rPr>
                <w:rFonts w:hint="eastAsia"/>
                <w:b w:val="0"/>
              </w:rPr>
              <w:t>醚回收储罐</w:t>
            </w:r>
          </w:p>
        </w:tc>
        <w:tc>
          <w:tcPr>
            <w:tcW w:w="2848" w:type="dxa"/>
            <w:vAlign w:val="center"/>
          </w:tcPr>
          <w:p>
            <w:pPr>
              <w:pStyle w:val="93"/>
              <w:rPr>
                <w:b w:val="0"/>
              </w:rPr>
            </w:pPr>
            <w:r>
              <w:rPr>
                <w:rFonts w:hint="eastAsia"/>
                <w:b w:val="0"/>
              </w:rPr>
              <w:t>RJK.200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143</w:t>
            </w:r>
          </w:p>
        </w:tc>
        <w:tc>
          <w:tcPr>
            <w:tcW w:w="2450" w:type="dxa"/>
            <w:noWrap/>
            <w:vAlign w:val="center"/>
          </w:tcPr>
          <w:p>
            <w:pPr>
              <w:pStyle w:val="93"/>
              <w:rPr>
                <w:b w:val="0"/>
              </w:rPr>
            </w:pPr>
            <w:r>
              <w:rPr>
                <w:rFonts w:hint="eastAsia"/>
                <w:b w:val="0"/>
              </w:rPr>
              <w:t>吹扫沙克龙</w:t>
            </w:r>
          </w:p>
        </w:tc>
        <w:tc>
          <w:tcPr>
            <w:tcW w:w="2848" w:type="dxa"/>
            <w:noWrap/>
            <w:vAlign w:val="center"/>
          </w:tcPr>
          <w:p>
            <w:pPr>
              <w:pStyle w:val="93"/>
              <w:rPr>
                <w:b w:val="0"/>
              </w:rPr>
            </w:pPr>
            <w:r>
              <w:rPr>
                <w:rFonts w:hint="eastAsia"/>
                <w:b w:val="0"/>
              </w:rPr>
              <w:t>XKL30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144</w:t>
            </w:r>
          </w:p>
        </w:tc>
        <w:tc>
          <w:tcPr>
            <w:tcW w:w="2450" w:type="dxa"/>
            <w:noWrap/>
            <w:vAlign w:val="center"/>
          </w:tcPr>
          <w:p>
            <w:pPr>
              <w:pStyle w:val="93"/>
              <w:rPr>
                <w:b w:val="0"/>
              </w:rPr>
            </w:pPr>
            <w:r>
              <w:rPr>
                <w:rFonts w:hint="eastAsia"/>
                <w:b w:val="0"/>
              </w:rPr>
              <w:t>回收暂存罐</w:t>
            </w:r>
          </w:p>
        </w:tc>
        <w:tc>
          <w:tcPr>
            <w:tcW w:w="2848" w:type="dxa"/>
            <w:noWrap/>
            <w:vAlign w:val="center"/>
          </w:tcPr>
          <w:p>
            <w:pPr>
              <w:pStyle w:val="93"/>
              <w:rPr>
                <w:b w:val="0"/>
              </w:rPr>
            </w:pPr>
            <w:r>
              <w:rPr>
                <w:rFonts w:hint="eastAsia"/>
                <w:b w:val="0"/>
              </w:rPr>
              <w:t>TGG.50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145</w:t>
            </w:r>
          </w:p>
        </w:tc>
        <w:tc>
          <w:tcPr>
            <w:tcW w:w="2450" w:type="dxa"/>
            <w:vAlign w:val="center"/>
          </w:tcPr>
          <w:p>
            <w:pPr>
              <w:pStyle w:val="93"/>
              <w:rPr>
                <w:b w:val="0"/>
              </w:rPr>
            </w:pPr>
            <w:r>
              <w:rPr>
                <w:rFonts w:hint="eastAsia"/>
                <w:b w:val="0"/>
              </w:rPr>
              <w:t>尾气冷凝器</w:t>
            </w:r>
          </w:p>
        </w:tc>
        <w:tc>
          <w:tcPr>
            <w:tcW w:w="2848" w:type="dxa"/>
            <w:vAlign w:val="center"/>
          </w:tcPr>
          <w:p>
            <w:pPr>
              <w:pStyle w:val="93"/>
              <w:rPr>
                <w:b w:val="0"/>
              </w:rPr>
            </w:pPr>
            <w:r>
              <w:rPr>
                <w:rFonts w:hint="eastAsia"/>
                <w:b w:val="0"/>
              </w:rPr>
              <w:t>LZB30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146</w:t>
            </w:r>
          </w:p>
        </w:tc>
        <w:tc>
          <w:tcPr>
            <w:tcW w:w="2450" w:type="dxa"/>
            <w:noWrap/>
            <w:vAlign w:val="center"/>
          </w:tcPr>
          <w:p>
            <w:pPr>
              <w:pStyle w:val="93"/>
              <w:rPr>
                <w:b w:val="0"/>
              </w:rPr>
            </w:pPr>
            <w:r>
              <w:rPr>
                <w:rFonts w:hint="eastAsia"/>
                <w:b w:val="0"/>
              </w:rPr>
              <w:t>结晶罐</w:t>
            </w:r>
          </w:p>
        </w:tc>
        <w:tc>
          <w:tcPr>
            <w:tcW w:w="2848" w:type="dxa"/>
            <w:noWrap/>
            <w:vAlign w:val="center"/>
          </w:tcPr>
          <w:p>
            <w:pPr>
              <w:pStyle w:val="93"/>
              <w:rPr>
                <w:b w:val="0"/>
              </w:rPr>
            </w:pPr>
            <w:r>
              <w:rPr>
                <w:rFonts w:hint="eastAsia"/>
                <w:b w:val="0"/>
              </w:rPr>
              <w:t>JJG.160</w:t>
            </w:r>
          </w:p>
        </w:tc>
        <w:tc>
          <w:tcPr>
            <w:tcW w:w="879" w:type="dxa"/>
            <w:vAlign w:val="center"/>
          </w:tcPr>
          <w:p>
            <w:pPr>
              <w:pStyle w:val="93"/>
              <w:rPr>
                <w:b w:val="0"/>
              </w:rPr>
            </w:pPr>
            <w:r>
              <w:rPr>
                <w:rFonts w:hint="eastAsia"/>
                <w:b w:val="0"/>
              </w:rPr>
              <w:t>8</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147</w:t>
            </w:r>
          </w:p>
        </w:tc>
        <w:tc>
          <w:tcPr>
            <w:tcW w:w="2450" w:type="dxa"/>
            <w:vAlign w:val="center"/>
          </w:tcPr>
          <w:p>
            <w:pPr>
              <w:pStyle w:val="93"/>
              <w:rPr>
                <w:b w:val="0"/>
              </w:rPr>
            </w:pPr>
            <w:r>
              <w:rPr>
                <w:rFonts w:hint="eastAsia"/>
                <w:b w:val="0"/>
              </w:rPr>
              <w:t>物料抽出泵</w:t>
            </w:r>
          </w:p>
        </w:tc>
        <w:tc>
          <w:tcPr>
            <w:tcW w:w="2848" w:type="dxa"/>
            <w:vAlign w:val="center"/>
          </w:tcPr>
          <w:p>
            <w:pPr>
              <w:pStyle w:val="93"/>
              <w:rPr>
                <w:b w:val="0"/>
              </w:rPr>
            </w:pPr>
            <w:r>
              <w:rPr>
                <w:rFonts w:hint="eastAsia"/>
                <w:b w:val="0"/>
              </w:rPr>
              <w:t>PN40-01L</w:t>
            </w:r>
          </w:p>
        </w:tc>
        <w:tc>
          <w:tcPr>
            <w:tcW w:w="879" w:type="dxa"/>
            <w:vAlign w:val="center"/>
          </w:tcPr>
          <w:p>
            <w:pPr>
              <w:pStyle w:val="93"/>
              <w:rPr>
                <w:b w:val="0"/>
              </w:rPr>
            </w:pPr>
            <w:r>
              <w:rPr>
                <w:rFonts w:hint="eastAsia"/>
                <w:b w:val="0"/>
              </w:rPr>
              <w:t>2</w:t>
            </w:r>
          </w:p>
        </w:tc>
        <w:tc>
          <w:tcPr>
            <w:tcW w:w="1985" w:type="dxa"/>
            <w:vAlign w:val="center"/>
          </w:tcPr>
          <w:p>
            <w:pPr>
              <w:pStyle w:val="93"/>
              <w:rPr>
                <w:b w:val="0"/>
              </w:rPr>
            </w:pPr>
            <w:r>
              <w:rPr>
                <w:rFonts w:hint="eastAsia"/>
                <w:b w:val="0"/>
              </w:rPr>
              <w:t>武汉耐驰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148</w:t>
            </w:r>
          </w:p>
        </w:tc>
        <w:tc>
          <w:tcPr>
            <w:tcW w:w="2450" w:type="dxa"/>
            <w:noWrap/>
            <w:vAlign w:val="center"/>
          </w:tcPr>
          <w:p>
            <w:pPr>
              <w:pStyle w:val="93"/>
              <w:rPr>
                <w:b w:val="0"/>
              </w:rPr>
            </w:pPr>
            <w:r>
              <w:rPr>
                <w:rFonts w:hint="eastAsia"/>
                <w:b w:val="0"/>
              </w:rPr>
              <w:t>循环水泵</w:t>
            </w:r>
          </w:p>
        </w:tc>
        <w:tc>
          <w:tcPr>
            <w:tcW w:w="2848" w:type="dxa"/>
            <w:noWrap/>
            <w:vAlign w:val="center"/>
          </w:tcPr>
          <w:p>
            <w:pPr>
              <w:pStyle w:val="93"/>
              <w:rPr>
                <w:b w:val="0"/>
              </w:rPr>
            </w:pPr>
            <w:r>
              <w:rPr>
                <w:rFonts w:hint="eastAsia"/>
                <w:b w:val="0"/>
              </w:rPr>
              <w:t>TPW40-160</w:t>
            </w:r>
          </w:p>
        </w:tc>
        <w:tc>
          <w:tcPr>
            <w:tcW w:w="879" w:type="dxa"/>
            <w:vAlign w:val="center"/>
          </w:tcPr>
          <w:p>
            <w:pPr>
              <w:pStyle w:val="93"/>
              <w:rPr>
                <w:b w:val="0"/>
              </w:rPr>
            </w:pPr>
            <w:r>
              <w:rPr>
                <w:rFonts w:hint="eastAsia"/>
                <w:b w:val="0"/>
              </w:rPr>
              <w:t>8</w:t>
            </w:r>
          </w:p>
        </w:tc>
        <w:tc>
          <w:tcPr>
            <w:tcW w:w="1985" w:type="dxa"/>
            <w:noWrap/>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149</w:t>
            </w:r>
          </w:p>
        </w:tc>
        <w:tc>
          <w:tcPr>
            <w:tcW w:w="2450" w:type="dxa"/>
            <w:vAlign w:val="center"/>
          </w:tcPr>
          <w:p>
            <w:pPr>
              <w:pStyle w:val="93"/>
              <w:rPr>
                <w:b w:val="0"/>
              </w:rPr>
            </w:pPr>
            <w:r>
              <w:rPr>
                <w:rFonts w:hint="eastAsia"/>
                <w:b w:val="0"/>
              </w:rPr>
              <w:t>成品过滤器</w:t>
            </w:r>
          </w:p>
        </w:tc>
        <w:tc>
          <w:tcPr>
            <w:tcW w:w="2848" w:type="dxa"/>
            <w:vAlign w:val="center"/>
          </w:tcPr>
          <w:p>
            <w:pPr>
              <w:pStyle w:val="93"/>
              <w:rPr>
                <w:b w:val="0"/>
              </w:rPr>
            </w:pPr>
            <w:r>
              <w:rPr>
                <w:rFonts w:hint="eastAsia"/>
                <w:b w:val="0"/>
              </w:rPr>
              <w:t>XIMZG.20</w:t>
            </w:r>
          </w:p>
        </w:tc>
        <w:tc>
          <w:tcPr>
            <w:tcW w:w="879" w:type="dxa"/>
            <w:vAlign w:val="center"/>
          </w:tcPr>
          <w:p>
            <w:pPr>
              <w:pStyle w:val="93"/>
              <w:rPr>
                <w:b w:val="0"/>
              </w:rPr>
            </w:pPr>
            <w:r>
              <w:rPr>
                <w:rFonts w:hint="eastAsia"/>
                <w:b w:val="0"/>
              </w:rPr>
              <w:t>2</w:t>
            </w:r>
          </w:p>
        </w:tc>
        <w:tc>
          <w:tcPr>
            <w:tcW w:w="1985" w:type="dxa"/>
            <w:vAlign w:val="center"/>
          </w:tcPr>
          <w:p>
            <w:pPr>
              <w:pStyle w:val="93"/>
              <w:rPr>
                <w:b w:val="0"/>
              </w:rPr>
            </w:pPr>
            <w:r>
              <w:rPr>
                <w:rFonts w:hint="eastAsia"/>
                <w:b w:val="0"/>
              </w:rPr>
              <w:t>杭州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150</w:t>
            </w:r>
          </w:p>
        </w:tc>
        <w:tc>
          <w:tcPr>
            <w:tcW w:w="2450" w:type="dxa"/>
            <w:noWrap/>
            <w:vAlign w:val="center"/>
          </w:tcPr>
          <w:p>
            <w:pPr>
              <w:pStyle w:val="93"/>
              <w:rPr>
                <w:b w:val="0"/>
              </w:rPr>
            </w:pPr>
            <w:r>
              <w:rPr>
                <w:rFonts w:hint="eastAsia"/>
                <w:b w:val="0"/>
              </w:rPr>
              <w:t>封闭绞龙</w:t>
            </w:r>
          </w:p>
        </w:tc>
        <w:tc>
          <w:tcPr>
            <w:tcW w:w="2848" w:type="dxa"/>
            <w:noWrap/>
            <w:vAlign w:val="center"/>
          </w:tcPr>
          <w:p>
            <w:pPr>
              <w:pStyle w:val="93"/>
              <w:rPr>
                <w:b w:val="0"/>
              </w:rPr>
            </w:pPr>
            <w:r>
              <w:rPr>
                <w:rFonts w:hint="eastAsia"/>
                <w:b w:val="0"/>
              </w:rPr>
              <w:t>LSS30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151</w:t>
            </w:r>
          </w:p>
        </w:tc>
        <w:tc>
          <w:tcPr>
            <w:tcW w:w="2450" w:type="dxa"/>
            <w:vAlign w:val="center"/>
          </w:tcPr>
          <w:p>
            <w:pPr>
              <w:pStyle w:val="93"/>
              <w:rPr>
                <w:b w:val="0"/>
              </w:rPr>
            </w:pPr>
            <w:r>
              <w:rPr>
                <w:rFonts w:hint="eastAsia"/>
                <w:b w:val="0"/>
              </w:rPr>
              <w:t>卸料密闭仓</w:t>
            </w:r>
          </w:p>
        </w:tc>
        <w:tc>
          <w:tcPr>
            <w:tcW w:w="2848" w:type="dxa"/>
            <w:vAlign w:val="center"/>
          </w:tcPr>
          <w:p>
            <w:pPr>
              <w:pStyle w:val="93"/>
              <w:rPr>
                <w:b w:val="0"/>
              </w:rPr>
            </w:pPr>
            <w:r>
              <w:rPr>
                <w:rFonts w:hint="eastAsia"/>
                <w:b w:val="0"/>
              </w:rPr>
              <w:t>MX.120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152</w:t>
            </w:r>
          </w:p>
        </w:tc>
        <w:tc>
          <w:tcPr>
            <w:tcW w:w="2450" w:type="dxa"/>
            <w:vAlign w:val="center"/>
          </w:tcPr>
          <w:p>
            <w:pPr>
              <w:pStyle w:val="93"/>
              <w:rPr>
                <w:b w:val="0"/>
              </w:rPr>
            </w:pPr>
            <w:r>
              <w:rPr>
                <w:rFonts w:hint="eastAsia"/>
                <w:b w:val="0"/>
              </w:rPr>
              <w:t>真空干燥器</w:t>
            </w:r>
          </w:p>
        </w:tc>
        <w:tc>
          <w:tcPr>
            <w:tcW w:w="2848" w:type="dxa"/>
            <w:vAlign w:val="center"/>
          </w:tcPr>
          <w:p>
            <w:pPr>
              <w:pStyle w:val="93"/>
              <w:rPr>
                <w:b w:val="0"/>
              </w:rPr>
            </w:pPr>
            <w:r>
              <w:rPr>
                <w:rFonts w:hint="eastAsia"/>
                <w:b w:val="0"/>
              </w:rPr>
              <w:t>FZG-25</w:t>
            </w:r>
          </w:p>
        </w:tc>
        <w:tc>
          <w:tcPr>
            <w:tcW w:w="879" w:type="dxa"/>
            <w:vAlign w:val="center"/>
          </w:tcPr>
          <w:p>
            <w:pPr>
              <w:pStyle w:val="93"/>
              <w:rPr>
                <w:b w:val="0"/>
              </w:rPr>
            </w:pPr>
            <w:r>
              <w:rPr>
                <w:rFonts w:hint="eastAsia"/>
                <w:b w:val="0"/>
              </w:rPr>
              <w:t>1</w:t>
            </w:r>
          </w:p>
        </w:tc>
        <w:tc>
          <w:tcPr>
            <w:tcW w:w="1985" w:type="dxa"/>
            <w:vMerge w:val="restart"/>
            <w:noWrap/>
            <w:vAlign w:val="center"/>
          </w:tcPr>
          <w:p>
            <w:pPr>
              <w:pStyle w:val="93"/>
              <w:rPr>
                <w:b w:val="0"/>
              </w:rPr>
            </w:pPr>
            <w:r>
              <w:rPr>
                <w:rFonts w:hint="eastAsia"/>
                <w:b w:val="0"/>
              </w:rPr>
              <w:t>常州盛丰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153</w:t>
            </w:r>
          </w:p>
        </w:tc>
        <w:tc>
          <w:tcPr>
            <w:tcW w:w="2450" w:type="dxa"/>
            <w:vAlign w:val="center"/>
          </w:tcPr>
          <w:p>
            <w:pPr>
              <w:pStyle w:val="93"/>
              <w:rPr>
                <w:b w:val="0"/>
              </w:rPr>
            </w:pPr>
            <w:r>
              <w:rPr>
                <w:rFonts w:hint="eastAsia"/>
                <w:b w:val="0"/>
              </w:rPr>
              <w:t>冷凝器</w:t>
            </w:r>
          </w:p>
        </w:tc>
        <w:tc>
          <w:tcPr>
            <w:tcW w:w="2848" w:type="dxa"/>
            <w:vAlign w:val="center"/>
          </w:tcPr>
          <w:p>
            <w:pPr>
              <w:pStyle w:val="93"/>
              <w:rPr>
                <w:b w:val="0"/>
              </w:rPr>
            </w:pPr>
            <w:r>
              <w:rPr>
                <w:rFonts w:hint="eastAsia"/>
                <w:b w:val="0"/>
              </w:rPr>
              <w:t>/</w:t>
            </w: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154</w:t>
            </w:r>
          </w:p>
        </w:tc>
        <w:tc>
          <w:tcPr>
            <w:tcW w:w="2450" w:type="dxa"/>
            <w:vAlign w:val="center"/>
          </w:tcPr>
          <w:p>
            <w:pPr>
              <w:pStyle w:val="93"/>
              <w:rPr>
                <w:b w:val="0"/>
              </w:rPr>
            </w:pPr>
            <w:r>
              <w:rPr>
                <w:rFonts w:hint="eastAsia"/>
                <w:b w:val="0"/>
              </w:rPr>
              <w:t>接收罐</w:t>
            </w:r>
          </w:p>
        </w:tc>
        <w:tc>
          <w:tcPr>
            <w:tcW w:w="2848" w:type="dxa"/>
            <w:vAlign w:val="center"/>
          </w:tcPr>
          <w:p>
            <w:pPr>
              <w:pStyle w:val="93"/>
              <w:rPr>
                <w:b w:val="0"/>
              </w:rPr>
            </w:pPr>
            <w:r>
              <w:rPr>
                <w:rFonts w:hint="eastAsia"/>
                <w:b w:val="0"/>
              </w:rPr>
              <w:t>/</w:t>
            </w: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155</w:t>
            </w:r>
          </w:p>
        </w:tc>
        <w:tc>
          <w:tcPr>
            <w:tcW w:w="2450" w:type="dxa"/>
            <w:vAlign w:val="center"/>
          </w:tcPr>
          <w:p>
            <w:pPr>
              <w:pStyle w:val="93"/>
              <w:rPr>
                <w:b w:val="0"/>
              </w:rPr>
            </w:pPr>
            <w:r>
              <w:rPr>
                <w:rFonts w:hint="eastAsia"/>
                <w:b w:val="0"/>
              </w:rPr>
              <w:t>真空泵</w:t>
            </w:r>
          </w:p>
        </w:tc>
        <w:tc>
          <w:tcPr>
            <w:tcW w:w="2848" w:type="dxa"/>
            <w:vAlign w:val="center"/>
          </w:tcPr>
          <w:p>
            <w:pPr>
              <w:pStyle w:val="93"/>
              <w:rPr>
                <w:b w:val="0"/>
              </w:rPr>
            </w:pPr>
            <w:r>
              <w:rPr>
                <w:rFonts w:hint="eastAsia"/>
                <w:b w:val="0"/>
              </w:rPr>
              <w:t>/</w:t>
            </w:r>
          </w:p>
        </w:tc>
        <w:tc>
          <w:tcPr>
            <w:tcW w:w="879" w:type="dxa"/>
            <w:vAlign w:val="center"/>
          </w:tcPr>
          <w:p>
            <w:pPr>
              <w:pStyle w:val="93"/>
              <w:rPr>
                <w:b w:val="0"/>
              </w:rPr>
            </w:pPr>
            <w:r>
              <w:rPr>
                <w:rFonts w:hint="eastAsia"/>
                <w:b w:val="0"/>
              </w:rPr>
              <w:t>1</w:t>
            </w:r>
          </w:p>
        </w:tc>
        <w:tc>
          <w:tcPr>
            <w:tcW w:w="1985" w:type="dxa"/>
            <w:vMerge w:val="continue"/>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156</w:t>
            </w:r>
          </w:p>
        </w:tc>
        <w:tc>
          <w:tcPr>
            <w:tcW w:w="2450" w:type="dxa"/>
            <w:noWrap/>
            <w:vAlign w:val="center"/>
          </w:tcPr>
          <w:p>
            <w:pPr>
              <w:pStyle w:val="93"/>
              <w:rPr>
                <w:b w:val="0"/>
              </w:rPr>
            </w:pPr>
            <w:r>
              <w:rPr>
                <w:rFonts w:hint="eastAsia"/>
                <w:b w:val="0"/>
              </w:rPr>
              <w:t>成品料仓</w:t>
            </w:r>
          </w:p>
        </w:tc>
        <w:tc>
          <w:tcPr>
            <w:tcW w:w="2848" w:type="dxa"/>
            <w:noWrap/>
            <w:vAlign w:val="center"/>
          </w:tcPr>
          <w:p>
            <w:pPr>
              <w:pStyle w:val="93"/>
              <w:rPr>
                <w:b w:val="0"/>
              </w:rPr>
            </w:pPr>
            <w:r>
              <w:rPr>
                <w:rFonts w:hint="eastAsia"/>
                <w:b w:val="0"/>
              </w:rPr>
              <w:t>YLG.80</w:t>
            </w:r>
          </w:p>
        </w:tc>
        <w:tc>
          <w:tcPr>
            <w:tcW w:w="879" w:type="dxa"/>
            <w:vAlign w:val="center"/>
          </w:tcPr>
          <w:p>
            <w:pPr>
              <w:pStyle w:val="93"/>
              <w:rPr>
                <w:b w:val="0"/>
              </w:rPr>
            </w:pPr>
            <w:r>
              <w:rPr>
                <w:rFonts w:hint="eastAsia"/>
                <w:b w:val="0"/>
              </w:rPr>
              <w:t>3</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157</w:t>
            </w:r>
          </w:p>
        </w:tc>
        <w:tc>
          <w:tcPr>
            <w:tcW w:w="2450" w:type="dxa"/>
            <w:noWrap/>
            <w:vAlign w:val="center"/>
          </w:tcPr>
          <w:p>
            <w:pPr>
              <w:pStyle w:val="93"/>
              <w:rPr>
                <w:b w:val="0"/>
              </w:rPr>
            </w:pPr>
            <w:r>
              <w:rPr>
                <w:rFonts w:hint="eastAsia"/>
                <w:b w:val="0"/>
              </w:rPr>
              <w:t>成品计量称</w:t>
            </w:r>
          </w:p>
        </w:tc>
        <w:tc>
          <w:tcPr>
            <w:tcW w:w="2848" w:type="dxa"/>
            <w:vAlign w:val="center"/>
          </w:tcPr>
          <w:p>
            <w:pPr>
              <w:pStyle w:val="93"/>
              <w:rPr>
                <w:b w:val="0"/>
              </w:rPr>
            </w:pPr>
            <w:r>
              <w:rPr>
                <w:rFonts w:hint="eastAsia"/>
                <w:b w:val="0"/>
              </w:rPr>
              <w:t>YYPQ50</w:t>
            </w:r>
          </w:p>
        </w:tc>
        <w:tc>
          <w:tcPr>
            <w:tcW w:w="879" w:type="dxa"/>
            <w:vAlign w:val="center"/>
          </w:tcPr>
          <w:p>
            <w:pPr>
              <w:pStyle w:val="93"/>
              <w:rPr>
                <w:b w:val="0"/>
              </w:rPr>
            </w:pPr>
            <w:r>
              <w:rPr>
                <w:rFonts w:hint="eastAsia"/>
                <w:b w:val="0"/>
              </w:rPr>
              <w:t>3</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158</w:t>
            </w:r>
          </w:p>
        </w:tc>
        <w:tc>
          <w:tcPr>
            <w:tcW w:w="2450" w:type="dxa"/>
            <w:noWrap/>
            <w:vAlign w:val="center"/>
          </w:tcPr>
          <w:p>
            <w:pPr>
              <w:pStyle w:val="93"/>
              <w:rPr>
                <w:b w:val="0"/>
              </w:rPr>
            </w:pPr>
            <w:r>
              <w:rPr>
                <w:rFonts w:hint="eastAsia"/>
                <w:b w:val="0"/>
              </w:rPr>
              <w:t>包装平台</w:t>
            </w:r>
          </w:p>
        </w:tc>
        <w:tc>
          <w:tcPr>
            <w:tcW w:w="2848" w:type="dxa"/>
            <w:vAlign w:val="center"/>
          </w:tcPr>
          <w:p>
            <w:pPr>
              <w:pStyle w:val="93"/>
              <w:rPr>
                <w:b w:val="0"/>
              </w:rPr>
            </w:pPr>
            <w:r>
              <w:rPr>
                <w:rFonts w:hint="eastAsia"/>
                <w:b w:val="0"/>
              </w:rPr>
              <w:t>YRJG30</w:t>
            </w:r>
          </w:p>
        </w:tc>
        <w:tc>
          <w:tcPr>
            <w:tcW w:w="879" w:type="dxa"/>
            <w:vAlign w:val="center"/>
          </w:tcPr>
          <w:p>
            <w:pPr>
              <w:pStyle w:val="93"/>
              <w:rPr>
                <w:b w:val="0"/>
              </w:rPr>
            </w:pPr>
            <w:r>
              <w:rPr>
                <w:rFonts w:hint="eastAsia"/>
                <w:b w:val="0"/>
              </w:rPr>
              <w:t>3</w:t>
            </w:r>
          </w:p>
        </w:tc>
        <w:tc>
          <w:tcPr>
            <w:tcW w:w="1985" w:type="dxa"/>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159</w:t>
            </w:r>
          </w:p>
        </w:tc>
        <w:tc>
          <w:tcPr>
            <w:tcW w:w="2450" w:type="dxa"/>
            <w:noWrap/>
            <w:vAlign w:val="center"/>
          </w:tcPr>
          <w:p>
            <w:pPr>
              <w:pStyle w:val="93"/>
              <w:rPr>
                <w:b w:val="0"/>
              </w:rPr>
            </w:pPr>
            <w:r>
              <w:rPr>
                <w:rFonts w:hint="eastAsia"/>
                <w:b w:val="0"/>
              </w:rPr>
              <w:t>冷却塔</w:t>
            </w:r>
          </w:p>
        </w:tc>
        <w:tc>
          <w:tcPr>
            <w:tcW w:w="2848" w:type="dxa"/>
            <w:noWrap/>
            <w:vAlign w:val="center"/>
          </w:tcPr>
          <w:p>
            <w:pPr>
              <w:pStyle w:val="93"/>
              <w:rPr>
                <w:b w:val="0"/>
              </w:rPr>
            </w:pPr>
            <w:r>
              <w:rPr>
                <w:rFonts w:hint="eastAsia"/>
                <w:b w:val="0"/>
              </w:rPr>
              <w:t>GBL-200</w:t>
            </w:r>
          </w:p>
        </w:tc>
        <w:tc>
          <w:tcPr>
            <w:tcW w:w="879" w:type="dxa"/>
            <w:vAlign w:val="center"/>
          </w:tcPr>
          <w:p>
            <w:pPr>
              <w:pStyle w:val="93"/>
              <w:rPr>
                <w:b w:val="0"/>
              </w:rPr>
            </w:pPr>
            <w:r>
              <w:rPr>
                <w:rFonts w:hint="eastAsia"/>
                <w:b w:val="0"/>
              </w:rPr>
              <w:t>1</w:t>
            </w:r>
          </w:p>
        </w:tc>
        <w:tc>
          <w:tcPr>
            <w:tcW w:w="1985" w:type="dxa"/>
            <w:noWrap/>
            <w:vAlign w:val="center"/>
          </w:tcPr>
          <w:p>
            <w:pPr>
              <w:pStyle w:val="93"/>
              <w:rPr>
                <w:b w:val="0"/>
              </w:rPr>
            </w:pPr>
            <w:r>
              <w:rPr>
                <w:rFonts w:hint="eastAsia"/>
                <w:b w:val="0"/>
              </w:rPr>
              <w:t>良研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160</w:t>
            </w:r>
          </w:p>
        </w:tc>
        <w:tc>
          <w:tcPr>
            <w:tcW w:w="2450" w:type="dxa"/>
            <w:noWrap/>
            <w:vAlign w:val="center"/>
          </w:tcPr>
          <w:p>
            <w:pPr>
              <w:pStyle w:val="93"/>
              <w:rPr>
                <w:b w:val="0"/>
              </w:rPr>
            </w:pPr>
            <w:r>
              <w:rPr>
                <w:rFonts w:hint="eastAsia"/>
                <w:b w:val="0"/>
              </w:rPr>
              <w:t>冷冻水罐</w:t>
            </w:r>
          </w:p>
        </w:tc>
        <w:tc>
          <w:tcPr>
            <w:tcW w:w="2848" w:type="dxa"/>
            <w:noWrap/>
            <w:vAlign w:val="center"/>
          </w:tcPr>
          <w:p>
            <w:pPr>
              <w:pStyle w:val="93"/>
              <w:rPr>
                <w:b w:val="0"/>
              </w:rPr>
            </w:pPr>
            <w:r>
              <w:rPr>
                <w:rFonts w:hint="eastAsia"/>
                <w:b w:val="0"/>
              </w:rPr>
              <w:t>TUK.160</w:t>
            </w:r>
          </w:p>
        </w:tc>
        <w:tc>
          <w:tcPr>
            <w:tcW w:w="879" w:type="dxa"/>
            <w:vAlign w:val="center"/>
          </w:tcPr>
          <w:p>
            <w:pPr>
              <w:pStyle w:val="93"/>
              <w:rPr>
                <w:b w:val="0"/>
              </w:rPr>
            </w:pPr>
            <w:r>
              <w:rPr>
                <w:rFonts w:hint="eastAsia"/>
                <w:b w:val="0"/>
              </w:rPr>
              <w:t>2</w:t>
            </w:r>
          </w:p>
        </w:tc>
        <w:tc>
          <w:tcPr>
            <w:tcW w:w="1985" w:type="dxa"/>
            <w:noWrap/>
            <w:vAlign w:val="center"/>
          </w:tcPr>
          <w:p>
            <w:pPr>
              <w:pStyle w:val="93"/>
              <w:rPr>
                <w:b w:val="0"/>
              </w:rPr>
            </w:pPr>
            <w:r>
              <w:rPr>
                <w:rFonts w:hint="eastAsia"/>
                <w:b w:val="0"/>
              </w:rPr>
              <w:t>郑州金翰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161</w:t>
            </w:r>
          </w:p>
        </w:tc>
        <w:tc>
          <w:tcPr>
            <w:tcW w:w="2450" w:type="dxa"/>
            <w:vAlign w:val="center"/>
          </w:tcPr>
          <w:p>
            <w:pPr>
              <w:pStyle w:val="93"/>
              <w:rPr>
                <w:b w:val="0"/>
              </w:rPr>
            </w:pPr>
            <w:r>
              <w:rPr>
                <w:rFonts w:hint="eastAsia"/>
                <w:b w:val="0"/>
              </w:rPr>
              <w:t>循环水泵</w:t>
            </w:r>
          </w:p>
        </w:tc>
        <w:tc>
          <w:tcPr>
            <w:tcW w:w="2848" w:type="dxa"/>
            <w:vAlign w:val="center"/>
          </w:tcPr>
          <w:p>
            <w:pPr>
              <w:pStyle w:val="93"/>
              <w:rPr>
                <w:b w:val="0"/>
              </w:rPr>
            </w:pPr>
            <w:r>
              <w:rPr>
                <w:rFonts w:hint="eastAsia"/>
                <w:b w:val="0"/>
              </w:rPr>
              <w:t>TPW65-160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162</w:t>
            </w:r>
          </w:p>
        </w:tc>
        <w:tc>
          <w:tcPr>
            <w:tcW w:w="2450" w:type="dxa"/>
            <w:vAlign w:val="center"/>
          </w:tcPr>
          <w:p>
            <w:pPr>
              <w:pStyle w:val="93"/>
              <w:rPr>
                <w:b w:val="0"/>
              </w:rPr>
            </w:pPr>
            <w:r>
              <w:rPr>
                <w:rFonts w:hint="eastAsia"/>
                <w:b w:val="0"/>
              </w:rPr>
              <w:t>氮气储罐</w:t>
            </w:r>
          </w:p>
        </w:tc>
        <w:tc>
          <w:tcPr>
            <w:tcW w:w="2848" w:type="dxa"/>
            <w:vAlign w:val="center"/>
          </w:tcPr>
          <w:p>
            <w:pPr>
              <w:pStyle w:val="93"/>
              <w:rPr>
                <w:b w:val="0"/>
              </w:rPr>
            </w:pPr>
            <w:r>
              <w:rPr>
                <w:rFonts w:hint="eastAsia"/>
                <w:b w:val="0"/>
              </w:rPr>
              <w:t>C-5/8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上海申江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163</w:t>
            </w:r>
          </w:p>
        </w:tc>
        <w:tc>
          <w:tcPr>
            <w:tcW w:w="2450" w:type="dxa"/>
            <w:vAlign w:val="center"/>
          </w:tcPr>
          <w:p>
            <w:pPr>
              <w:pStyle w:val="93"/>
              <w:rPr>
                <w:b w:val="0"/>
              </w:rPr>
            </w:pPr>
            <w:r>
              <w:rPr>
                <w:rFonts w:hint="eastAsia"/>
                <w:b w:val="0"/>
              </w:rPr>
              <w:t>空气储罐</w:t>
            </w:r>
          </w:p>
        </w:tc>
        <w:tc>
          <w:tcPr>
            <w:tcW w:w="2848" w:type="dxa"/>
            <w:vAlign w:val="center"/>
          </w:tcPr>
          <w:p>
            <w:pPr>
              <w:pStyle w:val="93"/>
              <w:rPr>
                <w:b w:val="0"/>
              </w:rPr>
            </w:pPr>
            <w:r>
              <w:rPr>
                <w:rFonts w:hint="eastAsia"/>
                <w:b w:val="0"/>
              </w:rPr>
              <w:t>C-1/8</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上海申江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164</w:t>
            </w:r>
          </w:p>
        </w:tc>
        <w:tc>
          <w:tcPr>
            <w:tcW w:w="2450" w:type="dxa"/>
            <w:vAlign w:val="center"/>
          </w:tcPr>
          <w:p>
            <w:pPr>
              <w:pStyle w:val="93"/>
              <w:rPr>
                <w:b w:val="0"/>
              </w:rPr>
            </w:pPr>
            <w:r>
              <w:rPr>
                <w:rFonts w:hint="eastAsia"/>
                <w:b w:val="0"/>
              </w:rPr>
              <w:t>空压机组</w:t>
            </w:r>
          </w:p>
        </w:tc>
        <w:tc>
          <w:tcPr>
            <w:tcW w:w="2848" w:type="dxa"/>
            <w:vAlign w:val="center"/>
          </w:tcPr>
          <w:p>
            <w:pPr>
              <w:pStyle w:val="93"/>
              <w:rPr>
                <w:b w:val="0"/>
              </w:rPr>
            </w:pPr>
            <w:r>
              <w:rPr>
                <w:rFonts w:hint="eastAsia"/>
                <w:b w:val="0"/>
              </w:rPr>
              <w:t>SAH.37</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165</w:t>
            </w:r>
          </w:p>
        </w:tc>
        <w:tc>
          <w:tcPr>
            <w:tcW w:w="2450" w:type="dxa"/>
            <w:vAlign w:val="center"/>
          </w:tcPr>
          <w:p>
            <w:pPr>
              <w:pStyle w:val="93"/>
              <w:rPr>
                <w:b w:val="0"/>
              </w:rPr>
            </w:pPr>
            <w:r>
              <w:rPr>
                <w:rFonts w:hint="eastAsia"/>
                <w:b w:val="0"/>
              </w:rPr>
              <w:t>冷冻机冷却泵</w:t>
            </w:r>
          </w:p>
        </w:tc>
        <w:tc>
          <w:tcPr>
            <w:tcW w:w="2848" w:type="dxa"/>
            <w:vAlign w:val="center"/>
          </w:tcPr>
          <w:p>
            <w:pPr>
              <w:pStyle w:val="93"/>
              <w:rPr>
                <w:b w:val="0"/>
              </w:rPr>
            </w:pPr>
            <w:r>
              <w:rPr>
                <w:rFonts w:hint="eastAsia"/>
                <w:b w:val="0"/>
              </w:rPr>
              <w:t>TPW65-160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166</w:t>
            </w:r>
          </w:p>
        </w:tc>
        <w:tc>
          <w:tcPr>
            <w:tcW w:w="2450" w:type="dxa"/>
            <w:vAlign w:val="center"/>
          </w:tcPr>
          <w:p>
            <w:pPr>
              <w:pStyle w:val="93"/>
              <w:rPr>
                <w:b w:val="0"/>
              </w:rPr>
            </w:pPr>
            <w:r>
              <w:rPr>
                <w:rFonts w:hint="eastAsia"/>
                <w:b w:val="0"/>
              </w:rPr>
              <w:t>冷却水泵</w:t>
            </w:r>
          </w:p>
        </w:tc>
        <w:tc>
          <w:tcPr>
            <w:tcW w:w="2848" w:type="dxa"/>
            <w:vAlign w:val="center"/>
          </w:tcPr>
          <w:p>
            <w:pPr>
              <w:pStyle w:val="93"/>
              <w:rPr>
                <w:b w:val="0"/>
              </w:rPr>
            </w:pPr>
            <w:r>
              <w:rPr>
                <w:rFonts w:hint="eastAsia"/>
                <w:b w:val="0"/>
              </w:rPr>
              <w:t>TPW65-160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167</w:t>
            </w:r>
          </w:p>
        </w:tc>
        <w:tc>
          <w:tcPr>
            <w:tcW w:w="2450" w:type="dxa"/>
            <w:vAlign w:val="center"/>
          </w:tcPr>
          <w:p>
            <w:pPr>
              <w:pStyle w:val="93"/>
              <w:rPr>
                <w:b w:val="0"/>
              </w:rPr>
            </w:pPr>
            <w:r>
              <w:rPr>
                <w:rFonts w:hint="eastAsia"/>
                <w:b w:val="0"/>
              </w:rPr>
              <w:t>冷冻机</w:t>
            </w:r>
          </w:p>
        </w:tc>
        <w:tc>
          <w:tcPr>
            <w:tcW w:w="2848" w:type="dxa"/>
            <w:vAlign w:val="center"/>
          </w:tcPr>
          <w:p>
            <w:pPr>
              <w:pStyle w:val="93"/>
              <w:rPr>
                <w:b w:val="0"/>
              </w:rPr>
            </w:pPr>
            <w:r>
              <w:rPr>
                <w:rFonts w:hint="eastAsia"/>
                <w:b w:val="0"/>
              </w:rPr>
              <w:t>NL120.1</w:t>
            </w:r>
          </w:p>
        </w:tc>
        <w:tc>
          <w:tcPr>
            <w:tcW w:w="879" w:type="dxa"/>
            <w:vAlign w:val="center"/>
          </w:tcPr>
          <w:p>
            <w:pPr>
              <w:pStyle w:val="93"/>
              <w:rPr>
                <w:b w:val="0"/>
              </w:rPr>
            </w:pPr>
            <w:r>
              <w:rPr>
                <w:rFonts w:hint="eastAsia"/>
                <w:b w:val="0"/>
              </w:rPr>
              <w:t>1</w:t>
            </w:r>
          </w:p>
        </w:tc>
        <w:tc>
          <w:tcPr>
            <w:tcW w:w="1985" w:type="dxa"/>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168</w:t>
            </w:r>
          </w:p>
        </w:tc>
        <w:tc>
          <w:tcPr>
            <w:tcW w:w="2450" w:type="dxa"/>
            <w:vAlign w:val="center"/>
          </w:tcPr>
          <w:p>
            <w:pPr>
              <w:pStyle w:val="93"/>
              <w:rPr>
                <w:b w:val="0"/>
              </w:rPr>
            </w:pPr>
            <w:r>
              <w:rPr>
                <w:rFonts w:hint="eastAsia"/>
                <w:b w:val="0"/>
              </w:rPr>
              <w:t>冷冻循环水泵</w:t>
            </w:r>
          </w:p>
        </w:tc>
        <w:tc>
          <w:tcPr>
            <w:tcW w:w="2848" w:type="dxa"/>
            <w:vAlign w:val="center"/>
          </w:tcPr>
          <w:p>
            <w:pPr>
              <w:pStyle w:val="93"/>
              <w:rPr>
                <w:b w:val="0"/>
              </w:rPr>
            </w:pPr>
            <w:r>
              <w:rPr>
                <w:rFonts w:hint="eastAsia"/>
                <w:b w:val="0"/>
              </w:rPr>
              <w:t>TPW65-160</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上海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169</w:t>
            </w:r>
          </w:p>
        </w:tc>
        <w:tc>
          <w:tcPr>
            <w:tcW w:w="2450" w:type="dxa"/>
            <w:vAlign w:val="center"/>
          </w:tcPr>
          <w:p>
            <w:pPr>
              <w:pStyle w:val="93"/>
              <w:rPr>
                <w:b w:val="0"/>
              </w:rPr>
            </w:pPr>
            <w:r>
              <w:rPr>
                <w:rFonts w:hint="eastAsia"/>
                <w:b w:val="0"/>
              </w:rPr>
              <w:t>制氮机</w:t>
            </w:r>
          </w:p>
        </w:tc>
        <w:tc>
          <w:tcPr>
            <w:tcW w:w="2848" w:type="dxa"/>
            <w:vAlign w:val="center"/>
          </w:tcPr>
          <w:p>
            <w:pPr>
              <w:pStyle w:val="93"/>
              <w:rPr>
                <w:b w:val="0"/>
              </w:rPr>
            </w:pPr>
            <w:r>
              <w:rPr>
                <w:rFonts w:hint="eastAsia"/>
                <w:b w:val="0"/>
              </w:rPr>
              <w:t>/</w:t>
            </w:r>
          </w:p>
        </w:tc>
        <w:tc>
          <w:tcPr>
            <w:tcW w:w="879" w:type="dxa"/>
            <w:vAlign w:val="center"/>
          </w:tcPr>
          <w:p>
            <w:pPr>
              <w:pStyle w:val="93"/>
              <w:rPr>
                <w:b w:val="0"/>
              </w:rPr>
            </w:pPr>
            <w:r>
              <w:rPr>
                <w:rFonts w:hint="eastAsia"/>
                <w:b w:val="0"/>
              </w:rPr>
              <w:t>1</w:t>
            </w:r>
          </w:p>
        </w:tc>
        <w:tc>
          <w:tcPr>
            <w:tcW w:w="1985" w:type="dxa"/>
            <w:vAlign w:val="center"/>
          </w:tcPr>
          <w:p>
            <w:pPr>
              <w:pStyle w:val="93"/>
              <w:rPr>
                <w:b w:val="0"/>
              </w:rPr>
            </w:pPr>
            <w:r>
              <w:rPr>
                <w:rFonts w:hint="eastAsia"/>
                <w:b w:val="0"/>
              </w:rPr>
              <w:t>北京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vAlign w:val="center"/>
          </w:tcPr>
          <w:p>
            <w:pPr>
              <w:pStyle w:val="93"/>
              <w:rPr>
                <w:b w:val="0"/>
              </w:rPr>
            </w:pPr>
            <w:r>
              <w:rPr>
                <w:rFonts w:hint="eastAsia"/>
                <w:b w:val="0"/>
              </w:rPr>
              <w:t>170</w:t>
            </w:r>
          </w:p>
        </w:tc>
        <w:tc>
          <w:tcPr>
            <w:tcW w:w="2450" w:type="dxa"/>
            <w:vAlign w:val="center"/>
          </w:tcPr>
          <w:p>
            <w:pPr>
              <w:pStyle w:val="93"/>
              <w:rPr>
                <w:b w:val="0"/>
              </w:rPr>
            </w:pPr>
            <w:r>
              <w:rPr>
                <w:rFonts w:hint="eastAsia"/>
                <w:b w:val="0"/>
              </w:rPr>
              <w:t>酸暂存罐</w:t>
            </w:r>
          </w:p>
        </w:tc>
        <w:tc>
          <w:tcPr>
            <w:tcW w:w="2848" w:type="dxa"/>
            <w:vAlign w:val="center"/>
          </w:tcPr>
          <w:p>
            <w:pPr>
              <w:pStyle w:val="93"/>
              <w:rPr>
                <w:b w:val="0"/>
              </w:rPr>
            </w:pPr>
            <w:r>
              <w:rPr>
                <w:rFonts w:hint="eastAsia"/>
                <w:b w:val="0"/>
              </w:rPr>
              <w:t>30m³</w:t>
            </w:r>
          </w:p>
        </w:tc>
        <w:tc>
          <w:tcPr>
            <w:tcW w:w="879" w:type="dxa"/>
            <w:vAlign w:val="center"/>
          </w:tcPr>
          <w:p>
            <w:pPr>
              <w:pStyle w:val="93"/>
              <w:rPr>
                <w:b w:val="0"/>
              </w:rPr>
            </w:pPr>
            <w:r>
              <w:rPr>
                <w:rFonts w:hint="eastAsia"/>
                <w:b w:val="0"/>
              </w:rPr>
              <w:t>3</w:t>
            </w:r>
          </w:p>
        </w:tc>
        <w:tc>
          <w:tcPr>
            <w:tcW w:w="1985" w:type="dxa"/>
            <w:vAlign w:val="center"/>
          </w:tcPr>
          <w:p>
            <w:pPr>
              <w:pStyle w:val="93"/>
              <w:rPr>
                <w:b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78" w:type="dxa"/>
            <w:noWrap/>
            <w:vAlign w:val="center"/>
          </w:tcPr>
          <w:p>
            <w:pPr>
              <w:pStyle w:val="93"/>
              <w:rPr>
                <w:b w:val="0"/>
              </w:rPr>
            </w:pPr>
            <w:r>
              <w:rPr>
                <w:rFonts w:hint="eastAsia"/>
                <w:b w:val="0"/>
              </w:rPr>
              <w:t>小计</w:t>
            </w:r>
          </w:p>
        </w:tc>
        <w:tc>
          <w:tcPr>
            <w:tcW w:w="2450" w:type="dxa"/>
            <w:noWrap/>
            <w:vAlign w:val="center"/>
          </w:tcPr>
          <w:p>
            <w:pPr>
              <w:pStyle w:val="93"/>
              <w:rPr>
                <w:b w:val="0"/>
              </w:rPr>
            </w:pPr>
          </w:p>
        </w:tc>
        <w:tc>
          <w:tcPr>
            <w:tcW w:w="2848" w:type="dxa"/>
            <w:noWrap/>
            <w:vAlign w:val="center"/>
          </w:tcPr>
          <w:p>
            <w:pPr>
              <w:pStyle w:val="93"/>
              <w:rPr>
                <w:b w:val="0"/>
              </w:rPr>
            </w:pPr>
          </w:p>
        </w:tc>
        <w:tc>
          <w:tcPr>
            <w:tcW w:w="879" w:type="dxa"/>
            <w:vAlign w:val="center"/>
          </w:tcPr>
          <w:p>
            <w:pPr>
              <w:pStyle w:val="93"/>
              <w:rPr>
                <w:b w:val="0"/>
              </w:rPr>
            </w:pPr>
            <w:r>
              <w:rPr>
                <w:rFonts w:hint="eastAsia"/>
                <w:b w:val="0"/>
              </w:rPr>
              <w:t>216</w:t>
            </w:r>
          </w:p>
        </w:tc>
        <w:tc>
          <w:tcPr>
            <w:tcW w:w="1985" w:type="dxa"/>
            <w:noWrap/>
            <w:vAlign w:val="center"/>
          </w:tcPr>
          <w:p>
            <w:pPr>
              <w:pStyle w:val="93"/>
              <w:rPr>
                <w:b w:val="0"/>
              </w:rPr>
            </w:pPr>
          </w:p>
        </w:tc>
      </w:tr>
    </w:tbl>
    <w:p>
      <w:pPr>
        <w:pStyle w:val="93"/>
        <w:rPr>
          <w:highlight w:val="yellow"/>
        </w:rPr>
      </w:pPr>
    </w:p>
    <w:p>
      <w:pPr>
        <w:pStyle w:val="4"/>
      </w:pPr>
      <w:r>
        <w:t>项目主要原辅材料</w:t>
      </w:r>
    </w:p>
    <w:p>
      <w:pPr>
        <w:pStyle w:val="87"/>
        <w:ind w:firstLine="480"/>
      </w:pPr>
      <w:r>
        <w:t>原辅材料消耗表见表</w:t>
      </w:r>
      <w:r>
        <w:rPr>
          <w:rFonts w:hint="eastAsia"/>
        </w:rPr>
        <w:t>3.1-5。</w:t>
      </w:r>
    </w:p>
    <w:p>
      <w:pPr>
        <w:pStyle w:val="49"/>
        <w:rPr>
          <w:rFonts w:hAnsi="Times New Roman"/>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3.1</w:t>
      </w:r>
      <w:r>
        <w:fldChar w:fldCharType="end"/>
      </w:r>
      <w:r>
        <w:noBreakHyphen/>
      </w:r>
      <w:r>
        <w:t>5</w:t>
      </w:r>
      <w:r>
        <w:rPr>
          <w:rFonts w:hAnsi="Times New Roman"/>
        </w:rPr>
        <w:t xml:space="preserve">  </w:t>
      </w:r>
      <w:r>
        <w:rPr>
          <w:rFonts w:hAnsi="Times New Roman" w:eastAsia="宋体"/>
        </w:rPr>
        <w:t>项目主要原辅材料及能源消耗一览表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3271"/>
        <w:gridCol w:w="1481"/>
        <w:gridCol w:w="2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070" w:type="dxa"/>
            <w:vAlign w:val="center"/>
          </w:tcPr>
          <w:p>
            <w:pPr>
              <w:pStyle w:val="48"/>
            </w:pPr>
            <w:r>
              <w:t>序号</w:t>
            </w:r>
          </w:p>
        </w:tc>
        <w:tc>
          <w:tcPr>
            <w:tcW w:w="3271" w:type="dxa"/>
            <w:shd w:val="clear" w:color="auto" w:fill="auto"/>
            <w:vAlign w:val="center"/>
          </w:tcPr>
          <w:p>
            <w:pPr>
              <w:pStyle w:val="48"/>
            </w:pPr>
            <w:r>
              <w:t>项目名称</w:t>
            </w:r>
          </w:p>
        </w:tc>
        <w:tc>
          <w:tcPr>
            <w:tcW w:w="1481" w:type="dxa"/>
            <w:shd w:val="clear" w:color="auto" w:fill="auto"/>
            <w:vAlign w:val="center"/>
          </w:tcPr>
          <w:p>
            <w:pPr>
              <w:pStyle w:val="48"/>
            </w:pPr>
            <w:r>
              <w:t>单位</w:t>
            </w:r>
          </w:p>
        </w:tc>
        <w:tc>
          <w:tcPr>
            <w:tcW w:w="2218" w:type="dxa"/>
            <w:vAlign w:val="center"/>
          </w:tcPr>
          <w:p>
            <w:pPr>
              <w:pStyle w:val="48"/>
            </w:pPr>
            <w:r>
              <w:t>消耗量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t>1</w:t>
            </w:r>
          </w:p>
        </w:tc>
        <w:tc>
          <w:tcPr>
            <w:tcW w:w="3271" w:type="dxa"/>
            <w:shd w:val="clear" w:color="auto" w:fill="auto"/>
            <w:vAlign w:val="center"/>
          </w:tcPr>
          <w:p>
            <w:pPr>
              <w:pStyle w:val="48"/>
            </w:pPr>
            <w:r>
              <w:rPr>
                <w:rFonts w:hint="eastAsia"/>
              </w:rPr>
              <w:t>干</w:t>
            </w:r>
            <w:r>
              <w:t>黄姜</w:t>
            </w:r>
          </w:p>
        </w:tc>
        <w:tc>
          <w:tcPr>
            <w:tcW w:w="1481" w:type="dxa"/>
            <w:shd w:val="clear" w:color="auto" w:fill="auto"/>
            <w:vAlign w:val="center"/>
          </w:tcPr>
          <w:p>
            <w:pPr>
              <w:pStyle w:val="48"/>
            </w:pPr>
            <w:r>
              <w:rPr>
                <w:rFonts w:hint="eastAsia"/>
              </w:rPr>
              <w:t>t/</w:t>
            </w:r>
            <w:r>
              <w:t>d</w:t>
            </w:r>
          </w:p>
        </w:tc>
        <w:tc>
          <w:tcPr>
            <w:tcW w:w="2218" w:type="dxa"/>
            <w:vAlign w:val="center"/>
          </w:tcPr>
          <w:p>
            <w:pPr>
              <w:pStyle w:val="48"/>
            </w:pPr>
            <w:r>
              <w:rPr>
                <w:rFonts w:hint="eastAsia"/>
              </w:rPr>
              <w:t>3</w:t>
            </w:r>
            <w:r>
              <w:t xml:space="preserve"> ~6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t>2</w:t>
            </w:r>
          </w:p>
        </w:tc>
        <w:tc>
          <w:tcPr>
            <w:tcW w:w="3271" w:type="dxa"/>
            <w:shd w:val="clear" w:color="auto" w:fill="auto"/>
            <w:vAlign w:val="center"/>
          </w:tcPr>
          <w:p>
            <w:pPr>
              <w:pStyle w:val="48"/>
            </w:pPr>
            <w:r>
              <w:rPr>
                <w:rFonts w:hint="eastAsia"/>
              </w:rPr>
              <w:t>硫酸</w:t>
            </w:r>
          </w:p>
        </w:tc>
        <w:tc>
          <w:tcPr>
            <w:tcW w:w="1481" w:type="dxa"/>
            <w:shd w:val="clear" w:color="auto" w:fill="auto"/>
            <w:vAlign w:val="center"/>
          </w:tcPr>
          <w:p>
            <w:pPr>
              <w:pStyle w:val="48"/>
            </w:pPr>
            <w:r>
              <w:rPr>
                <w:rFonts w:hint="eastAsia"/>
              </w:rPr>
              <w:t>kg/d</w:t>
            </w:r>
          </w:p>
        </w:tc>
        <w:tc>
          <w:tcPr>
            <w:tcW w:w="2218" w:type="dxa"/>
            <w:vAlign w:val="center"/>
          </w:tcPr>
          <w:p>
            <w:pPr>
              <w:pStyle w:val="48"/>
            </w:pPr>
            <w:r>
              <w:rPr>
                <w:rFonts w:hint="eastAsia"/>
              </w:rPr>
              <w:t>3</w:t>
            </w:r>
            <w:r>
              <w:t xml:space="preserve"> ~6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2070" w:type="dxa"/>
            <w:vAlign w:val="center"/>
          </w:tcPr>
          <w:p>
            <w:pPr>
              <w:pStyle w:val="48"/>
            </w:pPr>
            <w:r>
              <w:t>3</w:t>
            </w:r>
          </w:p>
        </w:tc>
        <w:tc>
          <w:tcPr>
            <w:tcW w:w="3271" w:type="dxa"/>
            <w:shd w:val="clear" w:color="auto" w:fill="auto"/>
            <w:vAlign w:val="center"/>
          </w:tcPr>
          <w:p>
            <w:pPr>
              <w:pStyle w:val="48"/>
            </w:pPr>
            <w:r>
              <w:rPr>
                <w:rFonts w:hint="eastAsia"/>
              </w:rPr>
              <w:t>石油醚</w:t>
            </w:r>
          </w:p>
        </w:tc>
        <w:tc>
          <w:tcPr>
            <w:tcW w:w="1481" w:type="dxa"/>
            <w:shd w:val="clear" w:color="auto" w:fill="auto"/>
            <w:vAlign w:val="center"/>
          </w:tcPr>
          <w:p>
            <w:pPr>
              <w:pStyle w:val="48"/>
            </w:pPr>
            <w:r>
              <w:rPr>
                <w:rFonts w:hint="eastAsia"/>
              </w:rPr>
              <w:t>kg/d</w:t>
            </w:r>
          </w:p>
        </w:tc>
        <w:tc>
          <w:tcPr>
            <w:tcW w:w="2218" w:type="dxa"/>
            <w:vAlign w:val="center"/>
          </w:tcPr>
          <w:p>
            <w:pPr>
              <w:pStyle w:val="48"/>
            </w:pPr>
            <w:r>
              <w:rPr>
                <w:rFonts w:hint="eastAsia"/>
              </w:rPr>
              <w:t>12</w:t>
            </w:r>
            <w: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rPr>
                <w:rFonts w:hint="eastAsia"/>
              </w:rPr>
              <w:t>4</w:t>
            </w:r>
          </w:p>
        </w:tc>
        <w:tc>
          <w:tcPr>
            <w:tcW w:w="3271" w:type="dxa"/>
            <w:shd w:val="clear" w:color="auto" w:fill="auto"/>
            <w:vAlign w:val="center"/>
          </w:tcPr>
          <w:p>
            <w:pPr>
              <w:pStyle w:val="48"/>
            </w:pPr>
            <w:r>
              <w:rPr>
                <w:rFonts w:hint="eastAsia"/>
              </w:rPr>
              <w:t>甲醇</w:t>
            </w:r>
          </w:p>
        </w:tc>
        <w:tc>
          <w:tcPr>
            <w:tcW w:w="1481" w:type="dxa"/>
            <w:shd w:val="clear" w:color="auto" w:fill="auto"/>
            <w:vAlign w:val="center"/>
          </w:tcPr>
          <w:p>
            <w:pPr>
              <w:pStyle w:val="48"/>
            </w:pPr>
            <w:r>
              <w:rPr>
                <w:rFonts w:hint="eastAsia"/>
              </w:rPr>
              <w:t>kg/d</w:t>
            </w:r>
          </w:p>
        </w:tc>
        <w:tc>
          <w:tcPr>
            <w:tcW w:w="2218" w:type="dxa"/>
            <w:vAlign w:val="center"/>
          </w:tcPr>
          <w:p>
            <w:pPr>
              <w:pStyle w:val="48"/>
            </w:pPr>
            <w:r>
              <w:rPr>
                <w:rFonts w:hint="eastAsia"/>
              </w:rPr>
              <w:t>15</w:t>
            </w:r>
            <w: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t>5</w:t>
            </w:r>
          </w:p>
        </w:tc>
        <w:tc>
          <w:tcPr>
            <w:tcW w:w="3271" w:type="dxa"/>
            <w:shd w:val="clear" w:color="auto" w:fill="auto"/>
            <w:vAlign w:val="center"/>
          </w:tcPr>
          <w:p>
            <w:pPr>
              <w:pStyle w:val="48"/>
            </w:pPr>
            <w:r>
              <w:rPr>
                <w:rFonts w:hint="eastAsia"/>
              </w:rPr>
              <w:t>活性炭</w:t>
            </w:r>
          </w:p>
        </w:tc>
        <w:tc>
          <w:tcPr>
            <w:tcW w:w="1481" w:type="dxa"/>
            <w:shd w:val="clear" w:color="auto" w:fill="auto"/>
            <w:vAlign w:val="center"/>
          </w:tcPr>
          <w:p>
            <w:pPr>
              <w:pStyle w:val="48"/>
            </w:pPr>
            <w:r>
              <w:rPr>
                <w:rFonts w:hint="eastAsia"/>
              </w:rPr>
              <w:t>kg/d</w:t>
            </w:r>
          </w:p>
        </w:tc>
        <w:tc>
          <w:tcPr>
            <w:tcW w:w="2218" w:type="dxa"/>
            <w:vAlign w:val="center"/>
          </w:tcPr>
          <w:p>
            <w:pPr>
              <w:pStyle w:val="48"/>
            </w:pPr>
            <w:r>
              <w:rPr>
                <w:rFonts w:hint="eastAsia"/>
              </w:rPr>
              <w:t>16</w:t>
            </w:r>
            <w: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rPr>
                <w:rFonts w:hint="eastAsia"/>
              </w:rPr>
              <w:t>6</w:t>
            </w:r>
          </w:p>
        </w:tc>
        <w:tc>
          <w:tcPr>
            <w:tcW w:w="3271" w:type="dxa"/>
            <w:vAlign w:val="center"/>
          </w:tcPr>
          <w:p>
            <w:pPr>
              <w:pStyle w:val="48"/>
            </w:pPr>
            <w:r>
              <w:t>新鲜水</w:t>
            </w:r>
          </w:p>
        </w:tc>
        <w:tc>
          <w:tcPr>
            <w:tcW w:w="1481" w:type="dxa"/>
            <w:vAlign w:val="center"/>
          </w:tcPr>
          <w:p>
            <w:pPr>
              <w:pStyle w:val="48"/>
            </w:pPr>
            <w:r>
              <w:t>t/a</w:t>
            </w:r>
          </w:p>
        </w:tc>
        <w:tc>
          <w:tcPr>
            <w:tcW w:w="2218" w:type="dxa"/>
            <w:vAlign w:val="center"/>
          </w:tcPr>
          <w:p>
            <w:pPr>
              <w:pStyle w:val="48"/>
            </w:pPr>
            <w:r>
              <w:t>6309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rPr>
                <w:rFonts w:hint="eastAsia"/>
              </w:rPr>
              <w:t>7</w:t>
            </w:r>
          </w:p>
        </w:tc>
        <w:tc>
          <w:tcPr>
            <w:tcW w:w="3271" w:type="dxa"/>
            <w:vAlign w:val="center"/>
          </w:tcPr>
          <w:p>
            <w:pPr>
              <w:pStyle w:val="48"/>
            </w:pPr>
            <w:r>
              <w:t>电</w:t>
            </w:r>
          </w:p>
        </w:tc>
        <w:tc>
          <w:tcPr>
            <w:tcW w:w="1481" w:type="dxa"/>
            <w:vAlign w:val="center"/>
          </w:tcPr>
          <w:p>
            <w:pPr>
              <w:pStyle w:val="48"/>
            </w:pPr>
            <w:r>
              <w:t>度</w:t>
            </w:r>
          </w:p>
        </w:tc>
        <w:tc>
          <w:tcPr>
            <w:tcW w:w="2218" w:type="dxa"/>
            <w:vAlign w:val="center"/>
          </w:tcPr>
          <w:p>
            <w:pPr>
              <w:pStyle w:val="48"/>
            </w:pPr>
            <w:r>
              <w:t>54432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070" w:type="dxa"/>
            <w:vAlign w:val="center"/>
          </w:tcPr>
          <w:p>
            <w:pPr>
              <w:pStyle w:val="48"/>
            </w:pPr>
            <w:r>
              <w:rPr>
                <w:rFonts w:hint="eastAsia"/>
              </w:rPr>
              <w:t>8</w:t>
            </w:r>
          </w:p>
        </w:tc>
        <w:tc>
          <w:tcPr>
            <w:tcW w:w="3271" w:type="dxa"/>
            <w:vAlign w:val="center"/>
          </w:tcPr>
          <w:p>
            <w:pPr>
              <w:pStyle w:val="48"/>
            </w:pPr>
            <w:r>
              <w:rPr>
                <w:rFonts w:hint="eastAsia"/>
              </w:rPr>
              <w:t>天然气</w:t>
            </w:r>
          </w:p>
        </w:tc>
        <w:tc>
          <w:tcPr>
            <w:tcW w:w="1481" w:type="dxa"/>
            <w:vAlign w:val="center"/>
          </w:tcPr>
          <w:p>
            <w:pPr>
              <w:pStyle w:val="48"/>
            </w:pPr>
            <w:r>
              <w:rPr>
                <w:rFonts w:hint="eastAsia"/>
              </w:rPr>
              <w:t>万</w:t>
            </w:r>
            <w:r>
              <w:t>m</w:t>
            </w:r>
            <w:r>
              <w:rPr>
                <w:vertAlign w:val="superscript"/>
              </w:rPr>
              <w:t>3</w:t>
            </w:r>
            <w:r>
              <w:t>/</w:t>
            </w:r>
            <w:r>
              <w:rPr>
                <w:rFonts w:hint="eastAsia"/>
              </w:rPr>
              <w:t>a</w:t>
            </w:r>
          </w:p>
        </w:tc>
        <w:tc>
          <w:tcPr>
            <w:tcW w:w="2218" w:type="dxa"/>
            <w:vAlign w:val="center"/>
          </w:tcPr>
          <w:p>
            <w:pPr>
              <w:pStyle w:val="48"/>
            </w:pPr>
            <w:r>
              <w:t>129.6</w:t>
            </w:r>
          </w:p>
        </w:tc>
      </w:tr>
    </w:tbl>
    <w:p>
      <w:pPr>
        <w:pStyle w:val="4"/>
      </w:pPr>
      <w:bookmarkStart w:id="49" w:name="_Toc488102157"/>
      <w:bookmarkStart w:id="50" w:name="_Toc488102156"/>
      <w:r>
        <w:t>公用工程</w:t>
      </w:r>
      <w:bookmarkEnd w:id="49"/>
    </w:p>
    <w:p>
      <w:pPr>
        <w:pStyle w:val="5"/>
      </w:pPr>
      <w:r>
        <w:t>给排水</w:t>
      </w:r>
    </w:p>
    <w:p>
      <w:pPr>
        <w:ind w:firstLine="480"/>
      </w:pPr>
      <w:r>
        <w:rPr>
          <w:rFonts w:hint="eastAsia"/>
        </w:rPr>
        <w:t>1、给水</w:t>
      </w:r>
      <w:r>
        <w:t>系统</w:t>
      </w:r>
    </w:p>
    <w:p>
      <w:pPr>
        <w:ind w:firstLine="480"/>
      </w:pPr>
      <w:r>
        <w:t>本项目</w:t>
      </w:r>
      <w:r>
        <w:rPr>
          <w:rFonts w:hint="eastAsia"/>
        </w:rPr>
        <w:t>用水主要</w:t>
      </w:r>
      <w:r>
        <w:t>为生活用水</w:t>
      </w:r>
      <w:r>
        <w:rPr>
          <w:rFonts w:hint="eastAsia"/>
        </w:rPr>
        <w:t>、</w:t>
      </w:r>
      <w:r>
        <w:t>锅炉用水</w:t>
      </w:r>
      <w:r>
        <w:rPr>
          <w:rFonts w:hint="eastAsia"/>
        </w:rPr>
        <w:t>、</w:t>
      </w:r>
      <w:r>
        <w:t>生产</w:t>
      </w:r>
      <w:r>
        <w:rPr>
          <w:rFonts w:hint="eastAsia"/>
        </w:rPr>
        <w:t>工序</w:t>
      </w:r>
      <w:r>
        <w:t>冷却循环水补充等，项目用水总量为为</w:t>
      </w:r>
      <w:r>
        <w:rPr>
          <w:rFonts w:hint="eastAsia"/>
        </w:rPr>
        <w:t>35.05</w:t>
      </w:r>
      <w:r>
        <w:t>m</w:t>
      </w:r>
      <w:r>
        <w:rPr>
          <w:vertAlign w:val="superscript"/>
        </w:rPr>
        <w:t>3</w:t>
      </w:r>
      <w:r>
        <w:t>/d，6309m</w:t>
      </w:r>
      <w:r>
        <w:rPr>
          <w:vertAlign w:val="superscript"/>
        </w:rPr>
        <w:t>3</w:t>
      </w:r>
      <w:r>
        <w:t>/a</w:t>
      </w:r>
      <w:r>
        <w:rPr>
          <w:rFonts w:hint="eastAsia"/>
        </w:rPr>
        <w:t>。</w:t>
      </w:r>
    </w:p>
    <w:p>
      <w:pPr>
        <w:ind w:firstLine="480"/>
      </w:pPr>
      <w:r>
        <w:rPr>
          <w:rFonts w:hint="eastAsia"/>
        </w:rPr>
        <w:t>2、排水</w:t>
      </w:r>
      <w:r>
        <w:t>系统</w:t>
      </w:r>
    </w:p>
    <w:p>
      <w:pPr>
        <w:ind w:firstLine="480"/>
      </w:pPr>
      <w:r>
        <w:rPr>
          <w:rFonts w:hint="eastAsia"/>
        </w:rPr>
        <w:t>项目</w:t>
      </w:r>
      <w:r>
        <w:t>排水系统采用雨污分流制。雨水经雨水管道排至</w:t>
      </w:r>
      <w:r>
        <w:rPr>
          <w:rFonts w:hint="eastAsia"/>
        </w:rPr>
        <w:t>市政雨水</w:t>
      </w:r>
      <w:r>
        <w:t>管网，</w:t>
      </w:r>
      <w:r>
        <w:rPr>
          <w:rFonts w:hint="eastAsia"/>
        </w:rPr>
        <w:t>项目</w:t>
      </w:r>
      <w:r>
        <w:t>排水量为</w:t>
      </w:r>
      <w:r>
        <w:rPr>
          <w:rFonts w:hint="eastAsia"/>
        </w:rPr>
        <w:t>6.97</w:t>
      </w:r>
      <w:r>
        <w:t>m</w:t>
      </w:r>
      <w:r>
        <w:rPr>
          <w:vertAlign w:val="superscript"/>
        </w:rPr>
        <w:t>3</w:t>
      </w:r>
      <w:r>
        <w:t>/d，1254.6m</w:t>
      </w:r>
      <w:r>
        <w:rPr>
          <w:vertAlign w:val="superscript"/>
        </w:rPr>
        <w:t>3</w:t>
      </w:r>
      <w:r>
        <w:t>/a，</w:t>
      </w:r>
      <w:r>
        <w:rPr>
          <w:rFonts w:hint="eastAsia"/>
        </w:rPr>
        <w:t>其中</w:t>
      </w:r>
      <w:r>
        <w:t>：生活污水</w:t>
      </w:r>
      <w:r>
        <w:rPr>
          <w:rFonts w:hint="eastAsia"/>
        </w:rPr>
        <w:t>废水</w:t>
      </w:r>
      <w:r>
        <w:t>总量0.89m</w:t>
      </w:r>
      <w:r>
        <w:rPr>
          <w:vertAlign w:val="superscript"/>
        </w:rPr>
        <w:t>3</w:t>
      </w:r>
      <w:r>
        <w:t>/d，160.2m</w:t>
      </w:r>
      <w:r>
        <w:rPr>
          <w:vertAlign w:val="superscript"/>
        </w:rPr>
        <w:t>3</w:t>
      </w:r>
      <w:r>
        <w:t>/a</w:t>
      </w:r>
      <w:r>
        <w:rPr>
          <w:rFonts w:hint="eastAsia"/>
        </w:rPr>
        <w:t>，</w:t>
      </w:r>
      <w:r>
        <w:t>经化粪池处理后排入市政污水管网，</w:t>
      </w:r>
      <w:r>
        <w:rPr>
          <w:rFonts w:hint="eastAsia"/>
        </w:rPr>
        <w:t>进入</w:t>
      </w:r>
      <w:r>
        <w:t>吕河镇</w:t>
      </w:r>
      <w:r>
        <w:rPr>
          <w:rFonts w:hint="eastAsia"/>
        </w:rPr>
        <w:t>污水处理厂</w:t>
      </w:r>
      <w:r>
        <w:t>处理</w:t>
      </w:r>
      <w:r>
        <w:rPr>
          <w:rFonts w:hint="eastAsia"/>
          <w:spacing w:val="4"/>
        </w:rPr>
        <w:t>，</w:t>
      </w:r>
      <w:r>
        <w:rPr>
          <w:rFonts w:hint="eastAsia"/>
        </w:rPr>
        <w:t>锅炉</w:t>
      </w:r>
      <w:r>
        <w:t>软水制备过程</w:t>
      </w:r>
      <w:r>
        <w:rPr>
          <w:rFonts w:hint="eastAsia"/>
        </w:rPr>
        <w:t>浓水3.2</w:t>
      </w:r>
      <w:r>
        <w:t>m</w:t>
      </w:r>
      <w:r>
        <w:rPr>
          <w:vertAlign w:val="superscript"/>
        </w:rPr>
        <w:t>3</w:t>
      </w:r>
      <w:r>
        <w:t>/d，576m</w:t>
      </w:r>
      <w:r>
        <w:rPr>
          <w:vertAlign w:val="superscript"/>
        </w:rPr>
        <w:t>3</w:t>
      </w:r>
      <w:r>
        <w:t>/a，锅炉排污水量</w:t>
      </w:r>
      <w:r>
        <w:rPr>
          <w:rFonts w:hint="eastAsia"/>
        </w:rPr>
        <w:t>2.88</w:t>
      </w:r>
      <w:r>
        <w:t>m</w:t>
      </w:r>
      <w:r>
        <w:rPr>
          <w:vertAlign w:val="superscript"/>
        </w:rPr>
        <w:t>3</w:t>
      </w:r>
      <w:r>
        <w:t>/d</w:t>
      </w:r>
      <w:r>
        <w:rPr>
          <w:rFonts w:hint="eastAsia"/>
        </w:rPr>
        <w:t>，</w:t>
      </w:r>
      <w:r>
        <w:t>518.4m</w:t>
      </w:r>
      <w:r>
        <w:rPr>
          <w:vertAlign w:val="superscript"/>
        </w:rPr>
        <w:t>3</w:t>
      </w:r>
      <w:r>
        <w:t>/a，排入市政雨水管网。</w:t>
      </w:r>
    </w:p>
    <w:p>
      <w:pPr>
        <w:pStyle w:val="5"/>
      </w:pPr>
      <w:r>
        <w:t>供电</w:t>
      </w:r>
    </w:p>
    <w:p>
      <w:pPr>
        <w:ind w:firstLine="480"/>
      </w:pPr>
      <w:r>
        <w:t>本项目用电由</w:t>
      </w:r>
      <w:r>
        <w:rPr>
          <w:rFonts w:hint="eastAsia"/>
        </w:rPr>
        <w:t>吕河工业</w:t>
      </w:r>
      <w:r>
        <w:t>园</w:t>
      </w:r>
      <w:r>
        <w:rPr>
          <w:rFonts w:hint="eastAsia"/>
        </w:rPr>
        <w:t>电网</w:t>
      </w:r>
      <w:r>
        <w:t>供给，</w:t>
      </w:r>
      <w:r>
        <w:rPr>
          <w:rFonts w:hint="eastAsia"/>
        </w:rPr>
        <w:t>场区东南角新建10/0.2KV变电所一座。</w:t>
      </w:r>
      <w:r>
        <w:t xml:space="preserve"> </w:t>
      </w:r>
    </w:p>
    <w:p>
      <w:pPr>
        <w:pStyle w:val="5"/>
      </w:pPr>
      <w:r>
        <w:t>供</w:t>
      </w:r>
      <w:r>
        <w:rPr>
          <w:rFonts w:hint="eastAsia"/>
        </w:rPr>
        <w:t>热</w:t>
      </w:r>
    </w:p>
    <w:p>
      <w:pPr>
        <w:ind w:firstLine="480"/>
      </w:pPr>
      <w:r>
        <w:t>根据建设</w:t>
      </w:r>
      <w:r>
        <w:rPr>
          <w:rFonts w:hint="eastAsia"/>
        </w:rPr>
        <w:t>内容</w:t>
      </w:r>
      <w:r>
        <w:t>，项目建设</w:t>
      </w:r>
      <w:r>
        <w:rPr>
          <w:rFonts w:hint="eastAsia"/>
        </w:rPr>
        <w:t>1台4</w:t>
      </w:r>
      <w:r>
        <w:t>t/h的天然气锅炉用于生产工序用热。</w:t>
      </w:r>
    </w:p>
    <w:p>
      <w:pPr>
        <w:pStyle w:val="5"/>
      </w:pPr>
      <w:bookmarkStart w:id="51" w:name="_Toc382810788"/>
      <w:bookmarkStart w:id="52" w:name="_Toc464237968"/>
      <w:bookmarkStart w:id="53" w:name="_Toc488102158"/>
      <w:bookmarkStart w:id="54" w:name="_Toc346224037"/>
      <w:bookmarkStart w:id="55" w:name="_Toc346223376"/>
      <w:bookmarkStart w:id="56" w:name="_Toc267641166"/>
      <w:bookmarkStart w:id="57" w:name="_Toc349767155"/>
      <w:bookmarkStart w:id="58" w:name="_Toc346223593"/>
      <w:bookmarkStart w:id="59" w:name="_Toc346194792"/>
      <w:bookmarkStart w:id="60" w:name="_Toc907"/>
      <w:bookmarkStart w:id="61" w:name="_Toc364090073"/>
      <w:bookmarkStart w:id="62" w:name="_Toc384552270"/>
      <w:bookmarkStart w:id="63" w:name="_Toc22576"/>
      <w:bookmarkStart w:id="64" w:name="_Toc387133184"/>
      <w:bookmarkStart w:id="65" w:name="_Toc22729"/>
      <w:r>
        <w:t>项目实施进度</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ind w:firstLine="480"/>
      </w:pPr>
      <w:r>
        <w:t>项目所在地为</w:t>
      </w:r>
      <w:r>
        <w:rPr>
          <w:rFonts w:hint="eastAsia"/>
        </w:rPr>
        <w:t>已建成</w:t>
      </w:r>
      <w:r>
        <w:t>空置厂房，</w:t>
      </w:r>
      <w:r>
        <w:rPr>
          <w:rFonts w:hint="eastAsia"/>
        </w:rPr>
        <w:t>设备</w:t>
      </w:r>
      <w:r>
        <w:t>尚未进</w:t>
      </w:r>
      <w:r>
        <w:rPr>
          <w:rFonts w:hint="eastAsia"/>
        </w:rPr>
        <w:t>厂</w:t>
      </w:r>
      <w:r>
        <w:t>。</w:t>
      </w:r>
    </w:p>
    <w:p>
      <w:pPr>
        <w:pStyle w:val="4"/>
      </w:pPr>
      <w:r>
        <w:t>总平面布置及场地利用</w:t>
      </w:r>
      <w:bookmarkEnd w:id="50"/>
    </w:p>
    <w:p>
      <w:pPr>
        <w:ind w:firstLine="480"/>
      </w:pPr>
      <w:r>
        <w:t>根据项目生产需求，结合用地地形、工程地质、气象等自然条件，因地制宜地对厂区构筑物、道路、管线等进行总体规划，力求构筑物之间紧凑合理，节约用地，有利生产，方便管理。</w:t>
      </w:r>
      <w:r>
        <w:rPr>
          <w:rFonts w:hint="eastAsia"/>
        </w:rPr>
        <w:t>本项目</w:t>
      </w:r>
      <w:r>
        <w:t>共</w:t>
      </w:r>
      <w:r>
        <w:rPr>
          <w:rFonts w:hint="eastAsia"/>
        </w:rPr>
        <w:t>租赁2栋</w:t>
      </w:r>
      <w:r>
        <w:t>已建成厂房</w:t>
      </w:r>
      <w:r>
        <w:rPr>
          <w:rFonts w:hint="eastAsia"/>
        </w:rPr>
        <w:t>及1栋</w:t>
      </w:r>
      <w:r>
        <w:t>办公楼，总占地面积6088m</w:t>
      </w:r>
      <w:r>
        <w:rPr>
          <w:vertAlign w:val="superscript"/>
        </w:rPr>
        <w:t>2</w:t>
      </w:r>
      <w:r>
        <w:t>，</w:t>
      </w:r>
      <w:r>
        <w:rPr>
          <w:kern w:val="0"/>
        </w:rPr>
        <w:t>地块</w:t>
      </w:r>
      <w:r>
        <w:rPr>
          <w:rFonts w:hint="eastAsia"/>
          <w:kern w:val="0"/>
        </w:rPr>
        <w:t>基本</w:t>
      </w:r>
      <w:r>
        <w:rPr>
          <w:kern w:val="0"/>
        </w:rPr>
        <w:t>呈长方形形状</w:t>
      </w:r>
      <w:r>
        <w:rPr>
          <w:rFonts w:hint="eastAsia"/>
          <w:kern w:val="0"/>
        </w:rPr>
        <w:t>，办公楼</w:t>
      </w:r>
      <w:r>
        <w:rPr>
          <w:kern w:val="0"/>
        </w:rPr>
        <w:t>位于中试车间西北侧，中试</w:t>
      </w:r>
      <w:r>
        <w:rPr>
          <w:rFonts w:hint="eastAsia"/>
          <w:kern w:val="0"/>
        </w:rPr>
        <w:t>车间</w:t>
      </w:r>
      <w:r>
        <w:rPr>
          <w:kern w:val="0"/>
        </w:rPr>
        <w:t>内部按照有</w:t>
      </w:r>
      <w:r>
        <w:rPr>
          <w:rFonts w:hint="eastAsia"/>
          <w:kern w:val="0"/>
        </w:rPr>
        <w:t>利于</w:t>
      </w:r>
      <w:r>
        <w:rPr>
          <w:kern w:val="0"/>
        </w:rPr>
        <w:t>工艺流程的原则进行合理布置，便于组织生产和减少人流物流的干扰，</w:t>
      </w:r>
      <w:r>
        <w:rPr>
          <w:rFonts w:hint="eastAsia"/>
          <w:kern w:val="0"/>
        </w:rPr>
        <w:t>北侧车间一</w:t>
      </w:r>
      <w:r>
        <w:rPr>
          <w:kern w:val="0"/>
        </w:rPr>
        <w:t>主要设置</w:t>
      </w:r>
      <w:r>
        <w:rPr>
          <w:rFonts w:hint="eastAsia"/>
          <w:kern w:val="0"/>
        </w:rPr>
        <w:t>萃取、酸解</w:t>
      </w:r>
      <w:r>
        <w:rPr>
          <w:kern w:val="0"/>
        </w:rPr>
        <w:t>、石油醚提取</w:t>
      </w:r>
      <w:r>
        <w:rPr>
          <w:rFonts w:hint="eastAsia"/>
          <w:kern w:val="0"/>
        </w:rPr>
        <w:t>、</w:t>
      </w:r>
      <w:r>
        <w:rPr>
          <w:kern w:val="0"/>
        </w:rPr>
        <w:t>蒸发结晶等工序，南侧车间</w:t>
      </w:r>
      <w:r>
        <w:rPr>
          <w:rFonts w:hint="eastAsia"/>
          <w:kern w:val="0"/>
        </w:rPr>
        <w:t>二</w:t>
      </w:r>
      <w:r>
        <w:rPr>
          <w:kern w:val="0"/>
        </w:rPr>
        <w:t>主要设置原材料清洗，粗粉</w:t>
      </w:r>
      <w:r>
        <w:rPr>
          <w:rFonts w:hint="eastAsia"/>
          <w:kern w:val="0"/>
        </w:rPr>
        <w:t>工序</w:t>
      </w:r>
      <w:r>
        <w:rPr>
          <w:kern w:val="0"/>
        </w:rPr>
        <w:t>，</w:t>
      </w:r>
      <w:r>
        <w:rPr>
          <w:rFonts w:hint="eastAsia"/>
          <w:kern w:val="0"/>
        </w:rPr>
        <w:t>储罐区</w:t>
      </w:r>
      <w:r>
        <w:rPr>
          <w:kern w:val="0"/>
        </w:rPr>
        <w:t>位于北车间西侧，锅炉房位于南侧车间西南侧，厂区</w:t>
      </w:r>
      <w:r>
        <w:rPr>
          <w:rFonts w:hint="eastAsia"/>
          <w:kern w:val="0"/>
        </w:rPr>
        <w:t>出入口</w:t>
      </w:r>
      <w:r>
        <w:rPr>
          <w:kern w:val="0"/>
        </w:rPr>
        <w:t>整体位于西侧，与</w:t>
      </w:r>
      <w:r>
        <w:rPr>
          <w:rFonts w:hint="eastAsia"/>
          <w:kern w:val="0"/>
        </w:rPr>
        <w:t>旬阳</w:t>
      </w:r>
      <w:r>
        <w:rPr>
          <w:kern w:val="0"/>
        </w:rPr>
        <w:t>连接线公路连接，方便</w:t>
      </w:r>
      <w:r>
        <w:rPr>
          <w:rFonts w:hint="eastAsia"/>
          <w:kern w:val="0"/>
        </w:rPr>
        <w:t>运输</w:t>
      </w:r>
      <w:r>
        <w:rPr>
          <w:kern w:val="0"/>
        </w:rPr>
        <w:t>车辆出入，</w:t>
      </w:r>
      <w:r>
        <w:rPr>
          <w:rFonts w:hint="eastAsia"/>
          <w:kern w:val="0"/>
        </w:rPr>
        <w:t>项目</w:t>
      </w:r>
      <w:r>
        <w:rPr>
          <w:kern w:val="0"/>
        </w:rPr>
        <w:t>整体平面布置较为合理，本</w:t>
      </w:r>
      <w:r>
        <w:t>项目平面布置图见图3.1-2</w:t>
      </w:r>
      <w:r>
        <w:rPr>
          <w:rFonts w:hint="eastAsia"/>
        </w:rPr>
        <w:t>。</w:t>
      </w:r>
    </w:p>
    <w:p>
      <w:pPr>
        <w:pStyle w:val="3"/>
      </w:pPr>
      <w:bookmarkStart w:id="66" w:name="_Toc82502948"/>
      <w:r>
        <w:rPr>
          <w:rFonts w:hint="eastAsia"/>
        </w:rPr>
        <w:t>影响因素</w:t>
      </w:r>
      <w:r>
        <w:t>分析</w:t>
      </w:r>
      <w:bookmarkEnd w:id="66"/>
    </w:p>
    <w:p>
      <w:pPr>
        <w:pStyle w:val="4"/>
      </w:pPr>
      <w:r>
        <w:rPr>
          <w:rFonts w:hint="eastAsia"/>
        </w:rPr>
        <w:t>工艺</w:t>
      </w:r>
      <w:r>
        <w:t>流程和产污环节</w:t>
      </w:r>
    </w:p>
    <w:p>
      <w:pPr>
        <w:pStyle w:val="5"/>
      </w:pPr>
      <w:bookmarkStart w:id="67" w:name="_Toc23971"/>
      <w:bookmarkStart w:id="68" w:name="_Toc705"/>
      <w:r>
        <w:t>施工期</w:t>
      </w:r>
      <w:bookmarkEnd w:id="67"/>
      <w:r>
        <w:t>工艺流程</w:t>
      </w:r>
      <w:bookmarkEnd w:id="68"/>
      <w:r>
        <w:rPr>
          <w:rFonts w:hint="eastAsia"/>
        </w:rPr>
        <w:t>及</w:t>
      </w:r>
      <w:r>
        <w:t>产污环节</w:t>
      </w:r>
    </w:p>
    <w:p>
      <w:pPr>
        <w:pStyle w:val="87"/>
        <w:ind w:firstLine="480"/>
      </w:pPr>
      <w:r>
        <w:rPr>
          <w:rFonts w:hint="eastAsia"/>
        </w:rPr>
        <w:t>1、</w:t>
      </w:r>
      <w:r>
        <w:t>工艺流程</w:t>
      </w:r>
    </w:p>
    <w:p>
      <w:pPr>
        <w:pStyle w:val="87"/>
        <w:ind w:firstLine="480"/>
      </w:pPr>
      <w:r>
        <w:rPr>
          <w:rFonts w:hint="eastAsia"/>
        </w:rPr>
        <w:t>项目</w:t>
      </w:r>
      <w:r>
        <w:t>租赁</w:t>
      </w:r>
      <w:r>
        <w:rPr>
          <w:rFonts w:hint="eastAsia"/>
        </w:rPr>
        <w:t>旬阳市富</w:t>
      </w:r>
      <w:r>
        <w:t>源工贸有限公司已建成厂房</w:t>
      </w:r>
      <w:r>
        <w:rPr>
          <w:rFonts w:hint="eastAsia"/>
        </w:rPr>
        <w:t>及</w:t>
      </w:r>
      <w:r>
        <w:t>办公楼，</w:t>
      </w:r>
      <w:r>
        <w:rPr>
          <w:rFonts w:hint="eastAsia"/>
        </w:rPr>
        <w:t>项目</w:t>
      </w:r>
      <w:r>
        <w:t>施工期主要产污环节为厂房内的设备安装产生的环境影响，因此本项目施工期污染工序主要为设备安装过程产生的废气、</w:t>
      </w:r>
      <w:r>
        <w:rPr>
          <w:rFonts w:hint="eastAsia"/>
        </w:rPr>
        <w:t>噪声、</w:t>
      </w:r>
      <w:r>
        <w:t>固废</w:t>
      </w:r>
      <w:r>
        <w:rPr>
          <w:rFonts w:hint="eastAsia"/>
        </w:rPr>
        <w:t>以及</w:t>
      </w:r>
      <w:r>
        <w:t>施工人员产生的废水、固废</w:t>
      </w:r>
      <w:r>
        <w:rPr>
          <w:rFonts w:hint="eastAsia"/>
        </w:rPr>
        <w:t>。</w:t>
      </w:r>
    </w:p>
    <w:p>
      <w:pPr>
        <w:pStyle w:val="87"/>
        <w:ind w:firstLine="480"/>
      </w:pPr>
      <w:r>
        <w:t>施工期工艺流程及产污环节图如图3.2-1所示。</w:t>
      </w:r>
    </w:p>
    <w:p>
      <w:pPr>
        <w:pStyle w:val="87"/>
        <w:ind w:firstLine="480"/>
        <w:jc w:val="center"/>
      </w:pPr>
      <w:r>
        <w:object>
          <v:shape id="_x0000_i1025" o:spt="75" type="#_x0000_t75" style="height:73.5pt;width:273.5pt;" o:ole="t" filled="f" coordsize="21600,21600">
            <v:path/>
            <v:fill on="f" focussize="0,0"/>
            <v:stroke/>
            <v:imagedata r:id="rId76" o:title=""/>
            <o:lock v:ext="edit" aspectratio="t"/>
            <w10:wrap type="none"/>
            <w10:anchorlock/>
          </v:shape>
          <o:OLEObject Type="Embed" ProgID="Visio.Drawing.11" ShapeID="_x0000_i1025" DrawAspect="Content" ObjectID="_1468075725" r:id="rId75">
            <o:LockedField>false</o:LockedField>
          </o:OLEObject>
        </w:object>
      </w:r>
    </w:p>
    <w:p>
      <w:pPr>
        <w:pStyle w:val="48"/>
        <w:rPr>
          <w:b/>
        </w:rPr>
      </w:pPr>
      <w:bookmarkStart w:id="69" w:name="_Toc21975"/>
      <w:r>
        <w:rPr>
          <w:b/>
        </w:rPr>
        <w:t>图3.2-1  施工期工艺流程及产污环节图</w:t>
      </w:r>
      <w:bookmarkEnd w:id="69"/>
    </w:p>
    <w:p>
      <w:pPr>
        <w:ind w:firstLine="480"/>
      </w:pPr>
      <w:r>
        <w:rPr>
          <w:rFonts w:hint="eastAsia"/>
        </w:rPr>
        <w:t>2、</w:t>
      </w:r>
      <w:r>
        <w:t>产污环节</w:t>
      </w:r>
    </w:p>
    <w:p>
      <w:pPr>
        <w:pStyle w:val="87"/>
        <w:ind w:firstLine="480"/>
      </w:pPr>
      <w:r>
        <w:rPr>
          <w:rFonts w:hint="eastAsia"/>
        </w:rPr>
        <w:t>（1）废气</w:t>
      </w:r>
    </w:p>
    <w:p>
      <w:pPr>
        <w:pStyle w:val="87"/>
        <w:ind w:firstLine="480"/>
        <w:rPr>
          <w:rFonts w:ascii="宋体"/>
        </w:rPr>
      </w:pPr>
      <w:r>
        <w:rPr>
          <w:rFonts w:ascii="宋体"/>
        </w:rPr>
        <w:t>车间</w:t>
      </w:r>
      <w:r>
        <w:rPr>
          <w:rFonts w:hint="eastAsia" w:ascii="宋体"/>
        </w:rPr>
        <w:t>设备</w:t>
      </w:r>
      <w:r>
        <w:rPr>
          <w:rFonts w:ascii="宋体"/>
        </w:rPr>
        <w:t>安装产生的少量扬尘和材料</w:t>
      </w:r>
      <w:r>
        <w:rPr>
          <w:rFonts w:hint="eastAsia" w:ascii="宋体"/>
        </w:rPr>
        <w:t>及</w:t>
      </w:r>
      <w:r>
        <w:rPr>
          <w:rFonts w:ascii="宋体"/>
        </w:rPr>
        <w:t>设备运输车辆产生的</w:t>
      </w:r>
      <w:r>
        <w:rPr>
          <w:rFonts w:hint="eastAsia" w:ascii="宋体"/>
        </w:rPr>
        <w:t>扬尘</w:t>
      </w:r>
      <w:r>
        <w:rPr>
          <w:rFonts w:ascii="宋体"/>
        </w:rPr>
        <w:t>和汽车尾气。</w:t>
      </w:r>
    </w:p>
    <w:p>
      <w:pPr>
        <w:pStyle w:val="87"/>
        <w:ind w:firstLine="480"/>
      </w:pPr>
      <w:r>
        <w:rPr>
          <w:rFonts w:hint="eastAsia"/>
        </w:rPr>
        <w:t>（2）</w:t>
      </w:r>
      <w:r>
        <w:t>废水</w:t>
      </w:r>
    </w:p>
    <w:p>
      <w:pPr>
        <w:pStyle w:val="87"/>
        <w:ind w:firstLine="480"/>
      </w:pPr>
      <w:r>
        <w:rPr>
          <w:lang w:val="en-GB"/>
        </w:rPr>
        <w:t>本项目无土建</w:t>
      </w:r>
      <w:r>
        <w:rPr>
          <w:rFonts w:hint="eastAsia"/>
          <w:lang w:val="en-GB"/>
        </w:rPr>
        <w:t>工程</w:t>
      </w:r>
      <w:r>
        <w:rPr>
          <w:lang w:val="en-GB"/>
        </w:rPr>
        <w:t>，</w:t>
      </w:r>
      <w:r>
        <w:rPr>
          <w:rFonts w:hint="eastAsia"/>
          <w:lang w:val="en-GB"/>
        </w:rPr>
        <w:t>因此</w:t>
      </w:r>
      <w:r>
        <w:rPr>
          <w:lang w:val="en-GB"/>
        </w:rPr>
        <w:t>施工过程无生产废水产生，</w:t>
      </w:r>
      <w:r>
        <w:rPr>
          <w:rFonts w:ascii="宋体"/>
        </w:rPr>
        <w:t>施工期废水产生环节主要为施工人员产生的生活污水。</w:t>
      </w:r>
    </w:p>
    <w:p>
      <w:pPr>
        <w:pStyle w:val="87"/>
        <w:ind w:firstLine="480"/>
      </w:pPr>
      <w:r>
        <w:rPr>
          <w:rFonts w:hint="eastAsia"/>
        </w:rPr>
        <w:t>（3）</w:t>
      </w:r>
      <w:r>
        <w:t>固体废物</w:t>
      </w:r>
    </w:p>
    <w:p>
      <w:pPr>
        <w:pStyle w:val="87"/>
        <w:ind w:firstLine="480"/>
      </w:pPr>
      <w:r>
        <w:rPr>
          <w:rFonts w:ascii="宋体"/>
        </w:rPr>
        <w:t>施工期固体废物为建筑垃圾和施工人员生活垃圾。</w:t>
      </w:r>
    </w:p>
    <w:p>
      <w:pPr>
        <w:pStyle w:val="87"/>
        <w:ind w:firstLine="480"/>
      </w:pPr>
      <w:r>
        <w:rPr>
          <w:rFonts w:hint="eastAsia"/>
        </w:rPr>
        <w:t>（4）</w:t>
      </w:r>
      <w:r>
        <w:t>噪声</w:t>
      </w:r>
    </w:p>
    <w:p>
      <w:pPr>
        <w:pStyle w:val="87"/>
        <w:ind w:firstLine="480"/>
      </w:pPr>
      <w:r>
        <w:rPr>
          <w:rFonts w:ascii="宋体"/>
        </w:rPr>
        <w:t>施工期噪声产生环节主要为</w:t>
      </w:r>
      <w:r>
        <w:rPr>
          <w:rFonts w:hint="eastAsia" w:ascii="宋体"/>
        </w:rPr>
        <w:t>运输车辆噪声和施工机械（室内设备安装）噪声</w:t>
      </w:r>
      <w:r>
        <w:rPr>
          <w:rFonts w:ascii="宋体"/>
        </w:rPr>
        <w:t>。</w:t>
      </w:r>
    </w:p>
    <w:p>
      <w:pPr>
        <w:pStyle w:val="5"/>
      </w:pPr>
      <w:bookmarkStart w:id="70" w:name="_Toc27269"/>
      <w:r>
        <w:t>运营期工艺流程及产污环节分析</w:t>
      </w:r>
      <w:bookmarkEnd w:id="70"/>
    </w:p>
    <w:p>
      <w:pPr>
        <w:ind w:firstLine="480"/>
      </w:pPr>
      <w:r>
        <w:rPr>
          <w:rFonts w:hint="eastAsia"/>
        </w:rPr>
        <w:t>本项目</w:t>
      </w:r>
      <w:r>
        <w:t>主要进行中试研究，</w:t>
      </w:r>
      <w:r>
        <w:rPr>
          <w:rFonts w:hint="eastAsia"/>
        </w:rPr>
        <w:t>项目</w:t>
      </w:r>
      <w:r>
        <w:t>运营期主要工艺流程不变，</w:t>
      </w:r>
      <w:r>
        <w:rPr>
          <w:rFonts w:hint="eastAsia"/>
        </w:rPr>
        <w:t>依据小试已得出的最佳工艺参数，设置中试研究工艺前处理、破壁、醇提、酸解、醚提和结晶工段中颗粒度、压力、固液比、温度、时间、精滤度等14个指标，每个指标设置5个变化参数，分工段进行试验研究，最终得出最佳工艺参数条件。</w:t>
      </w:r>
    </w:p>
    <w:p>
      <w:pPr>
        <w:ind w:firstLine="480"/>
      </w:pPr>
      <w:r>
        <w:rPr>
          <w:rFonts w:hint="eastAsia"/>
        </w:rPr>
        <w:t>项目运营</w:t>
      </w:r>
      <w:r>
        <w:t>期工艺流程图见图</w:t>
      </w:r>
      <w:r>
        <w:rPr>
          <w:rFonts w:hint="eastAsia"/>
        </w:rPr>
        <w:t>3.2-2。</w:t>
      </w:r>
    </w:p>
    <w:p>
      <w:pPr>
        <w:ind w:firstLine="480"/>
        <w:jc w:val="center"/>
        <w:rPr>
          <w:highlight w:val="yellow"/>
        </w:rPr>
      </w:pPr>
      <w:r>
        <w:object>
          <v:shape id="_x0000_i1026" o:spt="75" type="#_x0000_t75" style="height:375.05pt;width:289.95pt;" o:ole="t" filled="f" coordsize="21600,21600">
            <v:path/>
            <v:fill on="f" focussize="0,0"/>
            <v:stroke/>
            <v:imagedata r:id="rId78" o:title=""/>
            <o:lock v:ext="edit" aspectratio="t"/>
            <w10:wrap type="none"/>
            <w10:anchorlock/>
          </v:shape>
          <o:OLEObject Type="Embed" ProgID="Visio.Drawing.11" ShapeID="_x0000_i1026" DrawAspect="Content" ObjectID="_1468075726" r:id="rId77">
            <o:LockedField>false</o:LockedField>
          </o:OLEObject>
        </w:object>
      </w:r>
    </w:p>
    <w:p>
      <w:pPr>
        <w:pStyle w:val="87"/>
        <w:ind w:firstLine="482"/>
        <w:jc w:val="center"/>
        <w:rPr>
          <w:b/>
          <w:highlight w:val="yellow"/>
        </w:rPr>
      </w:pPr>
      <w:r>
        <w:rPr>
          <w:rFonts w:hint="eastAsia"/>
          <w:b/>
        </w:rPr>
        <w:t>图3.2-2  运营期工艺流程图</w:t>
      </w:r>
      <w:r>
        <w:rPr>
          <w:b/>
        </w:rPr>
        <w:t>及产污环节</w:t>
      </w:r>
    </w:p>
    <w:p>
      <w:pPr>
        <w:pStyle w:val="87"/>
        <w:ind w:firstLine="482"/>
        <w:rPr>
          <w:b/>
        </w:rPr>
      </w:pPr>
      <w:r>
        <w:rPr>
          <w:rFonts w:hint="eastAsia"/>
          <w:b/>
        </w:rPr>
        <w:t>工艺</w:t>
      </w:r>
      <w:r>
        <w:rPr>
          <w:b/>
        </w:rPr>
        <w:t>流程简述：</w:t>
      </w:r>
    </w:p>
    <w:p>
      <w:pPr>
        <w:pStyle w:val="87"/>
        <w:ind w:firstLine="480"/>
      </w:pPr>
      <w:r>
        <w:rPr>
          <w:rFonts w:hint="eastAsia"/>
        </w:rPr>
        <w:t>1、清理：对</w:t>
      </w:r>
      <w:r>
        <w:t>干黄姜进行清理，使</w:t>
      </w:r>
      <w:r>
        <w:rPr>
          <w:rFonts w:hint="eastAsia"/>
        </w:rPr>
        <w:t>有机杂质和无机杂质</w:t>
      </w:r>
      <w:r>
        <w:t>降至</w:t>
      </w:r>
      <w:r>
        <w:rPr>
          <w:rFonts w:hint="eastAsia"/>
        </w:rPr>
        <w:t>1</w:t>
      </w:r>
      <w:r>
        <w:t>%以下，设备采用圆筒筛；</w:t>
      </w:r>
    </w:p>
    <w:p>
      <w:pPr>
        <w:pStyle w:val="87"/>
        <w:ind w:firstLine="480"/>
      </w:pPr>
      <w:r>
        <w:rPr>
          <w:rFonts w:hint="eastAsia"/>
        </w:rPr>
        <w:t>2、粗粉</w:t>
      </w:r>
      <w:r>
        <w:t>：</w:t>
      </w:r>
      <w:r>
        <w:rPr>
          <w:rFonts w:hint="eastAsia"/>
        </w:rPr>
        <w:t>黄姜</w:t>
      </w:r>
      <w:r>
        <w:t>原物料为</w:t>
      </w:r>
      <w:r>
        <w:rPr>
          <w:rFonts w:hint="eastAsia"/>
        </w:rPr>
        <w:t>根须状</w:t>
      </w:r>
      <w:r>
        <w:t>，为了</w:t>
      </w:r>
      <w:r>
        <w:rPr>
          <w:rFonts w:hint="eastAsia"/>
        </w:rPr>
        <w:t>不影响</w:t>
      </w:r>
      <w:r>
        <w:t>后续</w:t>
      </w:r>
      <w:r>
        <w:rPr>
          <w:rFonts w:hint="eastAsia"/>
        </w:rPr>
        <w:t>微粉</w:t>
      </w:r>
      <w:r>
        <w:t>的风力输送，先将其粗粉碎，</w:t>
      </w:r>
      <w:r>
        <w:rPr>
          <w:rFonts w:hint="eastAsia"/>
        </w:rPr>
        <w:t>使</w:t>
      </w:r>
      <w:r>
        <w:t>其通过</w:t>
      </w:r>
      <w:r>
        <w:rPr>
          <w:rFonts w:hint="eastAsia"/>
        </w:rPr>
        <w:t>8-10</w:t>
      </w:r>
      <w:r>
        <w:t>mm孔径的网底。</w:t>
      </w:r>
    </w:p>
    <w:p>
      <w:pPr>
        <w:pStyle w:val="87"/>
        <w:ind w:firstLine="480"/>
      </w:pPr>
      <w:r>
        <w:rPr>
          <w:rFonts w:hint="eastAsia"/>
        </w:rPr>
        <w:t>3、</w:t>
      </w:r>
      <w:r>
        <w:t>微粉：将粗粉后的物料风送到微粉设备，因微粉机使用的是</w:t>
      </w:r>
      <w:r>
        <w:rPr>
          <w:rFonts w:hint="eastAsia"/>
        </w:rPr>
        <w:t>气流</w:t>
      </w:r>
      <w:r>
        <w:t>自动分级型。将</w:t>
      </w:r>
      <w:r>
        <w:rPr>
          <w:rFonts w:hint="eastAsia"/>
        </w:rPr>
        <w:t>物料粉至300目</w:t>
      </w:r>
      <w:r>
        <w:t>，检测使用激光粒度分析仪，确保</w:t>
      </w:r>
      <w:r>
        <w:rPr>
          <w:rFonts w:hint="eastAsia"/>
        </w:rPr>
        <w:t>物粉破壁</w:t>
      </w:r>
      <w:r>
        <w:t>标准。</w:t>
      </w:r>
    </w:p>
    <w:p>
      <w:pPr>
        <w:pStyle w:val="87"/>
        <w:ind w:firstLine="480"/>
      </w:pPr>
      <w:r>
        <w:t>4</w:t>
      </w:r>
      <w:r>
        <w:rPr>
          <w:rFonts w:hint="eastAsia"/>
        </w:rPr>
        <w:t>、高压捏合：利用</w:t>
      </w:r>
      <w:r>
        <w:t>高压捏合机</w:t>
      </w:r>
      <w:r>
        <w:rPr>
          <w:rFonts w:hint="eastAsia"/>
        </w:rPr>
        <w:t>，</w:t>
      </w:r>
      <w:r>
        <w:t>使混合后的物料经过捏合机使物料与溶剂在高压下充分结合，有利于</w:t>
      </w:r>
      <w:r>
        <w:rPr>
          <w:rFonts w:hint="eastAsia"/>
        </w:rPr>
        <w:t>将</w:t>
      </w:r>
      <w:r>
        <w:t>有效物提出。</w:t>
      </w:r>
    </w:p>
    <w:p>
      <w:pPr>
        <w:pStyle w:val="87"/>
        <w:ind w:firstLine="480"/>
      </w:pPr>
      <w:r>
        <w:t>5</w:t>
      </w:r>
      <w:r>
        <w:rPr>
          <w:rFonts w:hint="eastAsia"/>
        </w:rPr>
        <w:t>、醇提：采用多功能萃取器对物料中的有效成分皂素进行多次提取，中试</w:t>
      </w:r>
      <w:r>
        <w:t>过程对</w:t>
      </w:r>
      <w:r>
        <w:rPr>
          <w:rFonts w:hint="eastAsia"/>
        </w:rPr>
        <w:t>提取</w:t>
      </w:r>
      <w:r>
        <w:t>过程中</w:t>
      </w:r>
      <w:r>
        <w:rPr>
          <w:rFonts w:hint="eastAsia"/>
        </w:rPr>
        <w:t>对</w:t>
      </w:r>
      <w:r>
        <w:t>提取时间、温度</w:t>
      </w:r>
      <w:r>
        <w:rPr>
          <w:rFonts w:hint="eastAsia"/>
        </w:rPr>
        <w:t>、固液</w:t>
      </w:r>
      <w:r>
        <w:t>比例</w:t>
      </w:r>
      <w:r>
        <w:rPr>
          <w:rFonts w:hint="eastAsia"/>
        </w:rPr>
        <w:t>等进行变化</w:t>
      </w:r>
      <w:r>
        <w:t>试验</w:t>
      </w:r>
      <w:r>
        <w:rPr>
          <w:rFonts w:hint="eastAsia"/>
        </w:rPr>
        <w:t>，</w:t>
      </w:r>
      <w:r>
        <w:t>确定得出最佳工艺参数。</w:t>
      </w:r>
    </w:p>
    <w:p>
      <w:pPr>
        <w:pStyle w:val="87"/>
        <w:ind w:firstLine="480"/>
      </w:pPr>
      <w:r>
        <w:rPr>
          <w:rFonts w:hint="eastAsia"/>
        </w:rPr>
        <w:t>6、</w:t>
      </w:r>
      <w:r>
        <w:t>固液分离</w:t>
      </w:r>
      <w:r>
        <w:rPr>
          <w:rFonts w:hint="eastAsia"/>
        </w:rPr>
        <w:t>：本</w:t>
      </w:r>
      <w:r>
        <w:t>工艺采用两次过</w:t>
      </w:r>
      <w:r>
        <w:rPr>
          <w:rFonts w:hint="eastAsia"/>
        </w:rPr>
        <w:t>滤</w:t>
      </w:r>
      <w:r>
        <w:t>，两次</w:t>
      </w:r>
      <w:r>
        <w:rPr>
          <w:rFonts w:hint="eastAsia"/>
        </w:rPr>
        <w:t>均</w:t>
      </w:r>
      <w:r>
        <w:t>使用</w:t>
      </w:r>
      <w:r>
        <w:rPr>
          <w:rFonts w:hint="eastAsia"/>
        </w:rPr>
        <w:t>2000目</w:t>
      </w:r>
      <w:r>
        <w:t>以上的精过滤，目的是减少</w:t>
      </w:r>
      <w:r>
        <w:rPr>
          <w:rFonts w:hint="eastAsia"/>
        </w:rPr>
        <w:t>提取液中</w:t>
      </w:r>
      <w:r>
        <w:t>无用物质。提取</w:t>
      </w:r>
      <w:r>
        <w:rPr>
          <w:rFonts w:hint="eastAsia"/>
        </w:rPr>
        <w:t>液进入后续</w:t>
      </w:r>
      <w:r>
        <w:t>工序浓缩，</w:t>
      </w:r>
      <w:r>
        <w:rPr>
          <w:rFonts w:hint="eastAsia"/>
        </w:rPr>
        <w:t>固体</w:t>
      </w:r>
      <w:r>
        <w:t>物质烘干后</w:t>
      </w:r>
      <w:r>
        <w:rPr>
          <w:rFonts w:hint="eastAsia"/>
        </w:rPr>
        <w:t>产生废渣。</w:t>
      </w:r>
    </w:p>
    <w:p>
      <w:pPr>
        <w:pStyle w:val="87"/>
        <w:ind w:firstLine="480"/>
      </w:pPr>
      <w:r>
        <w:rPr>
          <w:rFonts w:hint="eastAsia"/>
        </w:rPr>
        <w:t>7、</w:t>
      </w:r>
      <w:r>
        <w:t>浓缩：精滤后的提取液经过</w:t>
      </w:r>
      <w:r>
        <w:rPr>
          <w:rFonts w:hint="eastAsia"/>
        </w:rPr>
        <w:t>降膜蒸发</w:t>
      </w:r>
      <w:r>
        <w:t>器浓缩，</w:t>
      </w:r>
      <w:r>
        <w:rPr>
          <w:rFonts w:hint="eastAsia"/>
        </w:rPr>
        <w:t>浓缩</w:t>
      </w:r>
      <w:r>
        <w:t>浸膏进入后续分解，蒸馏</w:t>
      </w:r>
      <w:r>
        <w:rPr>
          <w:rFonts w:hint="eastAsia"/>
        </w:rPr>
        <w:t>气体</w:t>
      </w:r>
      <w:r>
        <w:t>经冷却后进入甲醇周转罐</w:t>
      </w:r>
      <w:r>
        <w:rPr>
          <w:rFonts w:hint="eastAsia"/>
        </w:rPr>
        <w:t>循环</w:t>
      </w:r>
      <w:r>
        <w:t>使用。</w:t>
      </w:r>
    </w:p>
    <w:p>
      <w:pPr>
        <w:pStyle w:val="87"/>
        <w:ind w:firstLine="480"/>
      </w:pPr>
      <w:r>
        <w:rPr>
          <w:rFonts w:hint="eastAsia"/>
        </w:rPr>
        <w:t>8、低浓度硫酸</w:t>
      </w:r>
      <w:r>
        <w:t>酸解：</w:t>
      </w:r>
      <w:r>
        <w:rPr>
          <w:rFonts w:hint="eastAsia"/>
        </w:rPr>
        <w:t>精馏后的</w:t>
      </w:r>
      <w:r>
        <w:t>浸膏</w:t>
      </w:r>
      <w:r>
        <w:rPr>
          <w:rFonts w:hint="eastAsia"/>
        </w:rPr>
        <w:t>通过输送泵输送到酸解罐内，用</w:t>
      </w:r>
      <w:r>
        <w:t>调配好的</w:t>
      </w:r>
      <w:r>
        <w:rPr>
          <w:rFonts w:hint="eastAsia"/>
        </w:rPr>
        <w:t>3</w:t>
      </w:r>
      <w:r>
        <w:t>~5%</w:t>
      </w:r>
    </w:p>
    <w:p>
      <w:pPr>
        <w:pStyle w:val="87"/>
        <w:ind w:firstLine="0" w:firstLineChars="0"/>
      </w:pPr>
      <w:r>
        <w:rPr>
          <w:rFonts w:hint="eastAsia"/>
        </w:rPr>
        <w:t>的稀硫酸进行酸解，酸解</w:t>
      </w:r>
      <w:r>
        <w:t>后的固体物质进入后续烘干，</w:t>
      </w:r>
      <w:r>
        <w:rPr>
          <w:rFonts w:hint="eastAsia"/>
        </w:rPr>
        <w:t>液态废酸</w:t>
      </w:r>
      <w:r>
        <w:t>经活性炭</w:t>
      </w:r>
      <w:r>
        <w:rPr>
          <w:rFonts w:hint="eastAsia"/>
        </w:rPr>
        <w:t>3</w:t>
      </w:r>
      <w:r>
        <w:t>%</w:t>
      </w:r>
      <w:r>
        <w:rPr>
          <w:rFonts w:hint="eastAsia"/>
        </w:rPr>
        <w:t>吸附</w:t>
      </w:r>
      <w:r>
        <w:t>处理，</w:t>
      </w:r>
      <w:r>
        <w:rPr>
          <w:rFonts w:hint="eastAsia"/>
        </w:rPr>
        <w:t>处理后</w:t>
      </w:r>
      <w:r>
        <w:t>废液进行</w:t>
      </w:r>
      <w:r>
        <w:rPr>
          <w:rFonts w:hint="eastAsia"/>
        </w:rPr>
        <w:t>浓度</w:t>
      </w:r>
      <w:r>
        <w:t>调配后进入稀硫酸调配罐循环使用。</w:t>
      </w:r>
    </w:p>
    <w:p>
      <w:pPr>
        <w:pStyle w:val="87"/>
        <w:ind w:firstLine="480"/>
      </w:pPr>
      <w:r>
        <w:rPr>
          <w:rFonts w:hint="eastAsia"/>
        </w:rPr>
        <w:t>9、石油醚</w:t>
      </w:r>
      <w:r>
        <w:t>提取：烘干后的水解物与一定比例的脱色剂混合后进入</w:t>
      </w:r>
      <w:r>
        <w:rPr>
          <w:rFonts w:hint="eastAsia"/>
        </w:rPr>
        <w:t>多功能</w:t>
      </w:r>
      <w:r>
        <w:t>萃取器，</w:t>
      </w:r>
      <w:r>
        <w:rPr>
          <w:rFonts w:hint="eastAsia"/>
        </w:rPr>
        <w:t>与</w:t>
      </w:r>
      <w:r>
        <w:t>一定比例的石油醚混合，对其中的皂素进行</w:t>
      </w:r>
      <w:r>
        <w:rPr>
          <w:rFonts w:hint="eastAsia"/>
        </w:rPr>
        <w:t>提取</w:t>
      </w:r>
      <w:r>
        <w:t>，掌握好固液比例，温度、提取时间，提取后</w:t>
      </w:r>
      <w:r>
        <w:rPr>
          <w:rFonts w:hint="eastAsia"/>
        </w:rPr>
        <w:t>进行过滤</w:t>
      </w:r>
      <w:r>
        <w:t>，</w:t>
      </w:r>
      <w:r>
        <w:rPr>
          <w:rFonts w:hint="eastAsia"/>
        </w:rPr>
        <w:t>过滤</w:t>
      </w:r>
      <w:r>
        <w:t>固体烘干</w:t>
      </w:r>
      <w:r>
        <w:rPr>
          <w:rFonts w:hint="eastAsia"/>
        </w:rPr>
        <w:t>产生</w:t>
      </w:r>
      <w:r>
        <w:t>副产物</w:t>
      </w:r>
      <w:r>
        <w:rPr>
          <w:rFonts w:hint="eastAsia"/>
        </w:rPr>
        <w:t>黄姜</w:t>
      </w:r>
      <w:r>
        <w:t>粕</w:t>
      </w:r>
      <w:r>
        <w:rPr>
          <w:rFonts w:hint="eastAsia"/>
        </w:rPr>
        <w:t>，</w:t>
      </w:r>
      <w:r>
        <w:t>精滤后液体经浓缩送入结晶罐结晶，隔膜压滤</w:t>
      </w:r>
      <w:r>
        <w:rPr>
          <w:rFonts w:hint="eastAsia"/>
        </w:rPr>
        <w:t>干燥</w:t>
      </w:r>
      <w:r>
        <w:t>后获得皂素产品。</w:t>
      </w:r>
    </w:p>
    <w:p>
      <w:pPr>
        <w:pStyle w:val="87"/>
        <w:ind w:firstLine="480"/>
      </w:pPr>
      <w:r>
        <w:rPr>
          <w:rFonts w:hint="eastAsia"/>
        </w:rPr>
        <w:t>项目</w:t>
      </w:r>
      <w:r>
        <w:t>产污</w:t>
      </w:r>
      <w:r>
        <w:rPr>
          <w:rFonts w:hint="eastAsia"/>
        </w:rPr>
        <w:t>环节</w:t>
      </w:r>
      <w:r>
        <w:t>汇总见</w:t>
      </w:r>
      <w:r>
        <w:rPr>
          <w:rFonts w:hint="eastAsia"/>
        </w:rPr>
        <w:t>表3.2-1。</w:t>
      </w:r>
    </w:p>
    <w:p>
      <w:pPr>
        <w:spacing w:line="240" w:lineRule="auto"/>
        <w:ind w:firstLine="0" w:firstLineChars="0"/>
        <w:jc w:val="center"/>
        <w:rPr>
          <w:b/>
          <w:sz w:val="20"/>
          <w:szCs w:val="20"/>
        </w:rPr>
      </w:pPr>
      <w:bookmarkStart w:id="71" w:name="_Ref26178917"/>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3.2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71"/>
      <w:r>
        <w:rPr>
          <w:b/>
          <w:sz w:val="21"/>
          <w:szCs w:val="21"/>
        </w:rPr>
        <w:t xml:space="preserve">  项目</w:t>
      </w:r>
      <w:r>
        <w:rPr>
          <w:rFonts w:hint="eastAsia"/>
          <w:b/>
          <w:sz w:val="21"/>
          <w:szCs w:val="21"/>
        </w:rPr>
        <w:t>运营期</w:t>
      </w:r>
      <w:r>
        <w:rPr>
          <w:b/>
          <w:sz w:val="21"/>
          <w:szCs w:val="21"/>
        </w:rPr>
        <w:t>产污环节汇总表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05"/>
        <w:gridCol w:w="1703"/>
        <w:gridCol w:w="1701"/>
        <w:gridCol w:w="819"/>
        <w:gridCol w:w="3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38"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要素</w:t>
            </w: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序号</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污染源</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主要污染物</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产生规律</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治理措施及排放去向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restart"/>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废气</w:t>
            </w: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G1</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初清</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粉尘</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left"/>
              <w:textAlignment w:val="bottom"/>
              <w:rPr>
                <w:sz w:val="21"/>
                <w:szCs w:val="20"/>
              </w:rPr>
            </w:pPr>
            <w:r>
              <w:rPr>
                <w:rFonts w:hint="eastAsia"/>
                <w:sz w:val="21"/>
                <w:szCs w:val="20"/>
              </w:rPr>
              <w:t>旋风</w:t>
            </w:r>
            <w:r>
              <w:rPr>
                <w:sz w:val="21"/>
                <w:szCs w:val="20"/>
              </w:rPr>
              <w:t>收尘</w:t>
            </w:r>
            <w:r>
              <w:rPr>
                <w:rFonts w:hint="eastAsia"/>
                <w:sz w:val="21"/>
                <w:szCs w:val="20"/>
              </w:rPr>
              <w:t>+布袋除尘+15</w:t>
            </w:r>
            <w:r>
              <w:rPr>
                <w:sz w:val="21"/>
                <w:szCs w:val="20"/>
              </w:rP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G2</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粗粉</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粉尘</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旋风</w:t>
            </w:r>
            <w:r>
              <w:rPr>
                <w:sz w:val="21"/>
                <w:szCs w:val="20"/>
              </w:rPr>
              <w:t>收尘</w:t>
            </w:r>
            <w:r>
              <w:rPr>
                <w:rFonts w:hint="eastAsia"/>
                <w:sz w:val="21"/>
                <w:szCs w:val="20"/>
              </w:rPr>
              <w:t>+布袋除尘+15</w:t>
            </w:r>
            <w:r>
              <w:rPr>
                <w:sz w:val="21"/>
                <w:szCs w:val="20"/>
              </w:rP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G3</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微粉</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粉尘</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旋风</w:t>
            </w:r>
            <w:r>
              <w:rPr>
                <w:sz w:val="21"/>
                <w:szCs w:val="20"/>
              </w:rPr>
              <w:t>收尘</w:t>
            </w:r>
            <w:r>
              <w:rPr>
                <w:rFonts w:hint="eastAsia"/>
                <w:sz w:val="21"/>
                <w:szCs w:val="20"/>
              </w:rPr>
              <w:t>+布袋除尘+15</w:t>
            </w:r>
            <w:r>
              <w:rPr>
                <w:sz w:val="21"/>
                <w:szCs w:val="20"/>
              </w:rP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G4</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甲醇</w:t>
            </w:r>
            <w:r>
              <w:rPr>
                <w:sz w:val="21"/>
                <w:szCs w:val="20"/>
              </w:rPr>
              <w:t>回收</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甲醇</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冷冻</w:t>
            </w:r>
            <w:r>
              <w:rPr>
                <w:sz w:val="21"/>
                <w:szCs w:val="20"/>
              </w:rPr>
              <w:t>回收</w:t>
            </w:r>
            <w:r>
              <w:rPr>
                <w:rFonts w:hint="eastAsia"/>
                <w:sz w:val="21"/>
                <w:szCs w:val="20"/>
              </w:rPr>
              <w:t>+15</w:t>
            </w:r>
            <w:r>
              <w:rPr>
                <w:sz w:val="21"/>
                <w:szCs w:val="20"/>
              </w:rP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highlight w:val="yellow"/>
              </w:rPr>
            </w:pP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G5</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天然气</w:t>
            </w:r>
            <w:r>
              <w:rPr>
                <w:sz w:val="21"/>
                <w:szCs w:val="20"/>
              </w:rPr>
              <w:t>燃烧废气</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颗粒物</w:t>
            </w:r>
            <w:r>
              <w:rPr>
                <w:sz w:val="21"/>
                <w:szCs w:val="20"/>
              </w:rPr>
              <w:t>、SO</w:t>
            </w:r>
            <w:r>
              <w:rPr>
                <w:sz w:val="21"/>
                <w:szCs w:val="20"/>
                <w:vertAlign w:val="subscript"/>
              </w:rPr>
              <w:t>2</w:t>
            </w:r>
            <w:r>
              <w:rPr>
                <w:sz w:val="21"/>
                <w:szCs w:val="20"/>
              </w:rPr>
              <w:t>、NO</w:t>
            </w:r>
            <w:r>
              <w:rPr>
                <w:sz w:val="21"/>
                <w:szCs w:val="20"/>
                <w:vertAlign w:val="subscript"/>
              </w:rPr>
              <w:t>x</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低氮</w:t>
            </w:r>
            <w:r>
              <w:rPr>
                <w:sz w:val="21"/>
                <w:szCs w:val="20"/>
              </w:rPr>
              <w:t>燃烧</w:t>
            </w:r>
            <w:r>
              <w:rPr>
                <w:rFonts w:hint="eastAsia"/>
                <w:sz w:val="21"/>
                <w:szCs w:val="20"/>
              </w:rPr>
              <w:t>+15</w:t>
            </w:r>
            <w:r>
              <w:rPr>
                <w:sz w:val="21"/>
                <w:szCs w:val="20"/>
              </w:rP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highlight w:val="yellow"/>
              </w:rPr>
            </w:pP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G6</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储罐大小</w:t>
            </w:r>
            <w:r>
              <w:rPr>
                <w:sz w:val="21"/>
                <w:szCs w:val="20"/>
              </w:rPr>
              <w:t>呼吸</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甲醇</w:t>
            </w:r>
            <w:r>
              <w:rPr>
                <w:sz w:val="21"/>
                <w:szCs w:val="20"/>
              </w:rPr>
              <w:t>、石油醚</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地埋式</w:t>
            </w:r>
            <w:r>
              <w:rPr>
                <w:sz w:val="21"/>
                <w:szCs w:val="20"/>
              </w:rPr>
              <w:t>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restart"/>
            <w:vAlign w:val="center"/>
          </w:tcPr>
          <w:p>
            <w:pPr>
              <w:autoSpaceDE w:val="0"/>
              <w:autoSpaceDN w:val="0"/>
              <w:snapToGrid/>
              <w:spacing w:line="240" w:lineRule="auto"/>
              <w:ind w:firstLine="0" w:firstLineChars="0"/>
              <w:jc w:val="center"/>
              <w:textAlignment w:val="bottom"/>
              <w:rPr>
                <w:sz w:val="21"/>
                <w:szCs w:val="20"/>
              </w:rPr>
            </w:pPr>
            <w:r>
              <w:rPr>
                <w:sz w:val="21"/>
                <w:szCs w:val="20"/>
              </w:rPr>
              <w:t>废水</w:t>
            </w: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W1</w:t>
            </w:r>
          </w:p>
        </w:tc>
        <w:tc>
          <w:tcPr>
            <w:tcW w:w="1703" w:type="dxa"/>
            <w:vAlign w:val="center"/>
          </w:tcPr>
          <w:p>
            <w:pPr>
              <w:autoSpaceDE w:val="0"/>
              <w:autoSpaceDN w:val="0"/>
              <w:snapToGrid/>
              <w:spacing w:line="240" w:lineRule="auto"/>
              <w:ind w:firstLine="0" w:firstLineChars="0"/>
              <w:jc w:val="center"/>
              <w:textAlignment w:val="bottom"/>
              <w:rPr>
                <w:sz w:val="21"/>
              </w:rPr>
            </w:pPr>
            <w:r>
              <w:rPr>
                <w:rFonts w:hint="eastAsia"/>
                <w:sz w:val="21"/>
              </w:rPr>
              <w:t>生活</w:t>
            </w:r>
            <w:r>
              <w:rPr>
                <w:sz w:val="21"/>
              </w:rPr>
              <w:t>污水</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sz w:val="21"/>
                <w:szCs w:val="20"/>
              </w:rPr>
              <w:t>COD</w:t>
            </w:r>
            <w:r>
              <w:rPr>
                <w:rFonts w:hint="eastAsia"/>
                <w:sz w:val="21"/>
                <w:szCs w:val="20"/>
              </w:rPr>
              <w:t>、BOD</w:t>
            </w:r>
            <w:r>
              <w:rPr>
                <w:sz w:val="21"/>
                <w:szCs w:val="20"/>
                <w:vertAlign w:val="subscript"/>
              </w:rPr>
              <w:t>5</w:t>
            </w:r>
            <w:r>
              <w:rPr>
                <w:sz w:val="21"/>
                <w:szCs w:val="20"/>
              </w:rPr>
              <w:t>、</w:t>
            </w:r>
            <w:r>
              <w:rPr>
                <w:rFonts w:hint="eastAsia"/>
                <w:sz w:val="21"/>
                <w:szCs w:val="20"/>
              </w:rPr>
              <w:t>SS</w:t>
            </w:r>
            <w:r>
              <w:rPr>
                <w:sz w:val="21"/>
                <w:szCs w:val="20"/>
              </w:rPr>
              <w:t>、NH</w:t>
            </w:r>
            <w:r>
              <w:rPr>
                <w:sz w:val="21"/>
                <w:szCs w:val="20"/>
                <w:vertAlign w:val="subscript"/>
              </w:rPr>
              <w:t>3</w:t>
            </w:r>
            <w:r>
              <w:rPr>
                <w:sz w:val="21"/>
                <w:szCs w:val="20"/>
              </w:rPr>
              <w:t>-N</w:t>
            </w:r>
          </w:p>
        </w:tc>
        <w:tc>
          <w:tcPr>
            <w:tcW w:w="819"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rPr>
            </w:pPr>
            <w:r>
              <w:rPr>
                <w:rFonts w:hint="eastAsia"/>
                <w:sz w:val="21"/>
              </w:rPr>
              <w:t>经化粪池</w:t>
            </w:r>
            <w:r>
              <w:rPr>
                <w:sz w:val="21"/>
              </w:rPr>
              <w:t>处理后排入吕河镇污水处理厂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highlight w:val="yellow"/>
              </w:rPr>
            </w:pP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W2</w:t>
            </w:r>
          </w:p>
        </w:tc>
        <w:tc>
          <w:tcPr>
            <w:tcW w:w="1703" w:type="dxa"/>
            <w:vAlign w:val="center"/>
          </w:tcPr>
          <w:p>
            <w:pPr>
              <w:autoSpaceDE w:val="0"/>
              <w:autoSpaceDN w:val="0"/>
              <w:snapToGrid/>
              <w:spacing w:line="240" w:lineRule="auto"/>
              <w:ind w:firstLine="0" w:firstLineChars="0"/>
              <w:jc w:val="center"/>
              <w:textAlignment w:val="bottom"/>
              <w:rPr>
                <w:sz w:val="21"/>
              </w:rPr>
            </w:pPr>
            <w:r>
              <w:rPr>
                <w:rFonts w:hint="eastAsia"/>
                <w:sz w:val="21"/>
              </w:rPr>
              <w:t>锅炉</w:t>
            </w:r>
            <w:r>
              <w:rPr>
                <w:sz w:val="21"/>
              </w:rPr>
              <w:t>软化水系统、锅炉排污</w:t>
            </w:r>
            <w:r>
              <w:rPr>
                <w:rFonts w:hint="eastAsia"/>
                <w:sz w:val="21"/>
              </w:rPr>
              <w:t>水</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sz w:val="21"/>
                <w:szCs w:val="20"/>
              </w:rPr>
              <w:t>SS</w:t>
            </w:r>
          </w:p>
        </w:tc>
        <w:tc>
          <w:tcPr>
            <w:tcW w:w="819"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rPr>
            </w:pPr>
            <w:r>
              <w:rPr>
                <w:rFonts w:hint="eastAsia"/>
                <w:sz w:val="21"/>
              </w:rPr>
              <w:t>排入</w:t>
            </w:r>
            <w:r>
              <w:rPr>
                <w:sz w:val="21"/>
              </w:rPr>
              <w:t>雨水管网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Align w:val="center"/>
          </w:tcPr>
          <w:p>
            <w:pPr>
              <w:autoSpaceDE w:val="0"/>
              <w:autoSpaceDN w:val="0"/>
              <w:snapToGrid/>
              <w:spacing w:line="240" w:lineRule="auto"/>
              <w:ind w:firstLine="0" w:firstLineChars="0"/>
              <w:jc w:val="center"/>
              <w:textAlignment w:val="bottom"/>
              <w:rPr>
                <w:sz w:val="21"/>
                <w:szCs w:val="20"/>
                <w:highlight w:val="yellow"/>
              </w:rPr>
            </w:pPr>
            <w:r>
              <w:rPr>
                <w:kern w:val="0"/>
                <w:sz w:val="21"/>
                <w:szCs w:val="20"/>
              </w:rPr>
              <w:t>噪声</w:t>
            </w: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N</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粉碎机</w:t>
            </w:r>
            <w:r>
              <w:rPr>
                <w:sz w:val="21"/>
                <w:szCs w:val="20"/>
              </w:rPr>
              <w:t>、引风机、循环泵</w:t>
            </w:r>
            <w:r>
              <w:rPr>
                <w:rFonts w:hint="eastAsia"/>
                <w:sz w:val="21"/>
                <w:szCs w:val="20"/>
              </w:rPr>
              <w:t>、</w:t>
            </w:r>
            <w:r>
              <w:rPr>
                <w:sz w:val="21"/>
                <w:szCs w:val="20"/>
              </w:rPr>
              <w:t>冷却塔、</w:t>
            </w:r>
            <w:r>
              <w:rPr>
                <w:rFonts w:hint="eastAsia"/>
                <w:sz w:val="21"/>
                <w:szCs w:val="20"/>
              </w:rPr>
              <w:t>空压机</w:t>
            </w:r>
            <w:r>
              <w:rPr>
                <w:sz w:val="21"/>
                <w:szCs w:val="20"/>
              </w:rPr>
              <w:t>等</w:t>
            </w:r>
            <w:r>
              <w:rPr>
                <w:rFonts w:hint="eastAsia"/>
                <w:sz w:val="21"/>
                <w:szCs w:val="20"/>
              </w:rPr>
              <w:t>机械</w:t>
            </w:r>
            <w:r>
              <w:rPr>
                <w:sz w:val="21"/>
                <w:szCs w:val="20"/>
              </w:rPr>
              <w:t>设备</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机械</w:t>
            </w:r>
            <w:r>
              <w:rPr>
                <w:sz w:val="21"/>
                <w:szCs w:val="20"/>
              </w:rPr>
              <w:t>设备噪声及空气动力噪声</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基础</w:t>
            </w:r>
            <w:r>
              <w:rPr>
                <w:sz w:val="21"/>
                <w:szCs w:val="20"/>
              </w:rPr>
              <w:t>减振、厂房隔声后</w:t>
            </w:r>
            <w:r>
              <w:rPr>
                <w:rFonts w:hint="eastAsia"/>
                <w:sz w:val="21"/>
                <w:szCs w:val="20"/>
              </w:rPr>
              <w:t>传播</w:t>
            </w:r>
            <w:r>
              <w:rPr>
                <w:sz w:val="21"/>
                <w:szCs w:val="20"/>
              </w:rPr>
              <w:t>至外环境</w:t>
            </w:r>
            <w:r>
              <w:rPr>
                <w:rFonts w:hint="eastAsia"/>
                <w:sz w:val="21"/>
                <w:szCs w:val="20"/>
              </w:rPr>
              <w:t>、</w:t>
            </w:r>
            <w:r>
              <w:rPr>
                <w:sz w:val="21"/>
                <w:szCs w:val="20"/>
              </w:rPr>
              <w:t>风机风管</w:t>
            </w:r>
            <w:r>
              <w:rPr>
                <w:rFonts w:hint="eastAsia"/>
                <w:sz w:val="21"/>
                <w:szCs w:val="20"/>
              </w:rPr>
              <w:t>软连接</w:t>
            </w:r>
            <w:r>
              <w:rPr>
                <w:sz w:val="21"/>
                <w:szCs w:val="20"/>
              </w:rPr>
              <w:t>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restart"/>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固废</w:t>
            </w: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S1</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提取过程</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废渣</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集中</w:t>
            </w:r>
            <w:r>
              <w:rPr>
                <w:sz w:val="21"/>
                <w:szCs w:val="20"/>
              </w:rPr>
              <w:t>收集后，</w:t>
            </w:r>
            <w:r>
              <w:rPr>
                <w:rFonts w:hint="eastAsia"/>
                <w:sz w:val="21"/>
                <w:szCs w:val="20"/>
              </w:rPr>
              <w:t>统一外售</w:t>
            </w:r>
            <w:r>
              <w:rPr>
                <w:sz w:val="21"/>
                <w:szCs w:val="20"/>
              </w:rPr>
              <w:t>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805"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S2</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废酸液</w:t>
            </w:r>
            <w:r>
              <w:rPr>
                <w:sz w:val="21"/>
                <w:szCs w:val="20"/>
              </w:rPr>
              <w:t>回收</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废活性炭</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集中</w:t>
            </w:r>
            <w:r>
              <w:rPr>
                <w:sz w:val="21"/>
                <w:szCs w:val="20"/>
              </w:rPr>
              <w:t>收集后</w:t>
            </w:r>
            <w:r>
              <w:rPr>
                <w:rFonts w:hint="eastAsia"/>
                <w:sz w:val="21"/>
                <w:szCs w:val="20"/>
              </w:rPr>
              <w:t>交</w:t>
            </w:r>
            <w:r>
              <w:rPr>
                <w:sz w:val="21"/>
                <w:szCs w:val="20"/>
              </w:rPr>
              <w:t>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S3</w:t>
            </w:r>
          </w:p>
        </w:tc>
        <w:tc>
          <w:tcPr>
            <w:tcW w:w="170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设备</w:t>
            </w:r>
            <w:r>
              <w:rPr>
                <w:sz w:val="21"/>
                <w:szCs w:val="20"/>
              </w:rPr>
              <w:t>维修、维护</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废</w:t>
            </w:r>
            <w:r>
              <w:rPr>
                <w:sz w:val="21"/>
                <w:szCs w:val="20"/>
              </w:rPr>
              <w:t>含油抹布</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集中</w:t>
            </w:r>
            <w:r>
              <w:rPr>
                <w:sz w:val="21"/>
                <w:szCs w:val="20"/>
              </w:rPr>
              <w:t>收集后</w:t>
            </w:r>
            <w:r>
              <w:rPr>
                <w:rFonts w:hint="eastAsia"/>
                <w:sz w:val="21"/>
                <w:szCs w:val="20"/>
              </w:rPr>
              <w:t>交</w:t>
            </w:r>
            <w:r>
              <w:rPr>
                <w:sz w:val="21"/>
                <w:szCs w:val="20"/>
              </w:rPr>
              <w:t>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38" w:type="dxa"/>
            <w:vMerge w:val="continue"/>
            <w:vAlign w:val="center"/>
          </w:tcPr>
          <w:p>
            <w:pPr>
              <w:autoSpaceDE w:val="0"/>
              <w:autoSpaceDN w:val="0"/>
              <w:snapToGrid/>
              <w:spacing w:line="240" w:lineRule="auto"/>
              <w:ind w:firstLine="0" w:firstLineChars="0"/>
              <w:jc w:val="center"/>
              <w:textAlignment w:val="bottom"/>
              <w:rPr>
                <w:sz w:val="21"/>
                <w:szCs w:val="20"/>
              </w:rPr>
            </w:pPr>
          </w:p>
        </w:tc>
        <w:tc>
          <w:tcPr>
            <w:tcW w:w="805" w:type="dxa"/>
            <w:vAlign w:val="center"/>
          </w:tcPr>
          <w:p>
            <w:pPr>
              <w:autoSpaceDE w:val="0"/>
              <w:autoSpaceDN w:val="0"/>
              <w:snapToGrid/>
              <w:spacing w:line="240" w:lineRule="auto"/>
              <w:ind w:firstLine="0" w:firstLineChars="0"/>
              <w:jc w:val="center"/>
              <w:textAlignment w:val="bottom"/>
              <w:rPr>
                <w:sz w:val="21"/>
                <w:szCs w:val="20"/>
              </w:rPr>
            </w:pPr>
            <w:r>
              <w:rPr>
                <w:kern w:val="0"/>
                <w:sz w:val="21"/>
                <w:szCs w:val="20"/>
              </w:rPr>
              <w:t>S4</w:t>
            </w:r>
          </w:p>
        </w:tc>
        <w:tc>
          <w:tcPr>
            <w:tcW w:w="170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职工</w:t>
            </w:r>
            <w:r>
              <w:rPr>
                <w:kern w:val="0"/>
                <w:sz w:val="21"/>
                <w:szCs w:val="20"/>
              </w:rPr>
              <w:t>生活</w:t>
            </w:r>
          </w:p>
        </w:tc>
        <w:tc>
          <w:tcPr>
            <w:tcW w:w="1701"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生活</w:t>
            </w:r>
            <w:r>
              <w:rPr>
                <w:sz w:val="21"/>
                <w:szCs w:val="20"/>
              </w:rPr>
              <w:t>垃圾</w:t>
            </w:r>
          </w:p>
        </w:tc>
        <w:tc>
          <w:tcPr>
            <w:tcW w:w="819"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间歇</w:t>
            </w:r>
          </w:p>
        </w:tc>
        <w:tc>
          <w:tcPr>
            <w:tcW w:w="3274"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由</w:t>
            </w:r>
            <w:r>
              <w:rPr>
                <w:sz w:val="21"/>
                <w:szCs w:val="20"/>
              </w:rPr>
              <w:t>环卫部门定期清运处理</w:t>
            </w:r>
          </w:p>
        </w:tc>
      </w:tr>
    </w:tbl>
    <w:p>
      <w:pPr>
        <w:pStyle w:val="4"/>
      </w:pPr>
      <w:r>
        <w:t>项目物料平衡</w:t>
      </w:r>
    </w:p>
    <w:p>
      <w:pPr>
        <w:pStyle w:val="5"/>
      </w:pPr>
      <w:r>
        <w:rPr>
          <w:rFonts w:hint="eastAsia"/>
        </w:rPr>
        <w:t>水平衡</w:t>
      </w:r>
    </w:p>
    <w:p>
      <w:pPr>
        <w:ind w:firstLine="480"/>
      </w:pPr>
      <w:r>
        <w:rPr>
          <w:rFonts w:hint="eastAsia"/>
        </w:rPr>
        <w:t>项目</w:t>
      </w:r>
      <w:r>
        <w:t>用水</w:t>
      </w:r>
      <w:r>
        <w:rPr>
          <w:rFonts w:hint="eastAsia"/>
        </w:rPr>
        <w:t>主要</w:t>
      </w:r>
      <w:r>
        <w:t>为</w:t>
      </w:r>
      <w:r>
        <w:rPr>
          <w:rFonts w:hint="eastAsia"/>
        </w:rPr>
        <w:t>锅炉</w:t>
      </w:r>
      <w:r>
        <w:t>用水</w:t>
      </w:r>
      <w:r>
        <w:rPr>
          <w:rFonts w:hint="eastAsia"/>
        </w:rPr>
        <w:t>、</w:t>
      </w:r>
      <w:r>
        <w:t>冷却</w:t>
      </w:r>
      <w:r>
        <w:rPr>
          <w:rFonts w:hint="eastAsia"/>
        </w:rPr>
        <w:t>工序</w:t>
      </w:r>
      <w:r>
        <w:t>用水、员工生活用水等。</w:t>
      </w:r>
    </w:p>
    <w:p>
      <w:pPr>
        <w:ind w:firstLine="480"/>
      </w:pPr>
      <w:r>
        <w:rPr>
          <w:rFonts w:hint="eastAsia"/>
        </w:rPr>
        <w:t>（</w:t>
      </w:r>
      <w:r>
        <w:t>1</w:t>
      </w:r>
      <w:r>
        <w:rPr>
          <w:rFonts w:hint="eastAsia"/>
        </w:rPr>
        <w:t>）锅炉</w:t>
      </w:r>
      <w:r>
        <w:t>用水</w:t>
      </w:r>
    </w:p>
    <w:p>
      <w:pPr>
        <w:ind w:firstLine="480"/>
      </w:pPr>
      <w:r>
        <w:rPr>
          <w:rFonts w:hint="eastAsia"/>
        </w:rPr>
        <w:t>根据《锅炉手册》，蒸汽锅炉补充水量为额定蒸发量的20~40%（本次计算取30%），蒸汽锅炉蒸汽全部利用，排污量为蒸发量的2~3%（本次计算取3%），项目</w:t>
      </w:r>
      <w:r>
        <w:t>采用</w:t>
      </w:r>
      <w:r>
        <w:rPr>
          <w:rFonts w:hint="eastAsia"/>
        </w:rPr>
        <w:t>1台4</w:t>
      </w:r>
      <w:r>
        <w:t>t/h</w:t>
      </w:r>
      <w:r>
        <w:rPr>
          <w:rFonts w:hint="eastAsia"/>
        </w:rPr>
        <w:t>蒸汽</w:t>
      </w:r>
      <w:r>
        <w:t>锅炉，每天运行</w:t>
      </w:r>
      <w:r>
        <w:rPr>
          <w:rFonts w:hint="eastAsia"/>
        </w:rPr>
        <w:t>24</w:t>
      </w:r>
      <w:r>
        <w:t>h，</w:t>
      </w:r>
      <w:r>
        <w:rPr>
          <w:rFonts w:hint="eastAsia"/>
        </w:rPr>
        <w:t>补充</w:t>
      </w:r>
      <w:r>
        <w:t>水量为</w:t>
      </w:r>
      <w:r>
        <w:rPr>
          <w:rFonts w:hint="eastAsia"/>
        </w:rPr>
        <w:t>1.2</w:t>
      </w:r>
      <w:r>
        <w:t>m</w:t>
      </w:r>
      <w:r>
        <w:rPr>
          <w:vertAlign w:val="superscript"/>
        </w:rPr>
        <w:t>3</w:t>
      </w:r>
      <w:r>
        <w:t>/h，</w:t>
      </w:r>
      <w:r>
        <w:rPr>
          <w:rFonts w:hint="eastAsia"/>
        </w:rPr>
        <w:t>28.8</w:t>
      </w:r>
      <w:r>
        <w:t>m</w:t>
      </w:r>
      <w:r>
        <w:rPr>
          <w:vertAlign w:val="superscript"/>
        </w:rPr>
        <w:t>3</w:t>
      </w:r>
      <w:r>
        <w:t>/d</w:t>
      </w:r>
      <w:r>
        <w:rPr>
          <w:rFonts w:hint="eastAsia"/>
        </w:rPr>
        <w:t>，锅炉</w:t>
      </w:r>
      <w:r>
        <w:t>排污水</w:t>
      </w:r>
      <w:r>
        <w:rPr>
          <w:rFonts w:hint="eastAsia"/>
        </w:rPr>
        <w:t>为2.88</w:t>
      </w:r>
      <w:r>
        <w:t>m</w:t>
      </w:r>
      <w:r>
        <w:rPr>
          <w:vertAlign w:val="superscript"/>
        </w:rPr>
        <w:t>3</w:t>
      </w:r>
      <w:r>
        <w:t>/d</w:t>
      </w:r>
      <w:r>
        <w:rPr>
          <w:rFonts w:hint="eastAsia"/>
        </w:rPr>
        <w:t>。</w:t>
      </w:r>
    </w:p>
    <w:p>
      <w:pPr>
        <w:ind w:firstLine="480"/>
      </w:pPr>
      <w:r>
        <w:rPr>
          <w:rFonts w:hint="eastAsia"/>
        </w:rPr>
        <w:t>锅炉补水量采用全自动软化器对原水进行软化处理（软水制备效率为90%），则锅炉需消耗的新鲜水量为32m</w:t>
      </w:r>
      <w:r>
        <w:rPr>
          <w:rFonts w:hint="eastAsia"/>
          <w:vertAlign w:val="superscript"/>
        </w:rPr>
        <w:t>3</w:t>
      </w:r>
      <w:r>
        <w:rPr>
          <w:rFonts w:hint="eastAsia"/>
        </w:rPr>
        <w:t>/d，软水制备废水排放水量为3.2m</w:t>
      </w:r>
      <w:r>
        <w:rPr>
          <w:rFonts w:hint="eastAsia"/>
          <w:vertAlign w:val="superscript"/>
        </w:rPr>
        <w:t>3</w:t>
      </w:r>
      <w:r>
        <w:rPr>
          <w:rFonts w:hint="eastAsia"/>
        </w:rPr>
        <w:t>/d。</w:t>
      </w:r>
    </w:p>
    <w:p>
      <w:pPr>
        <w:ind w:firstLine="480"/>
      </w:pPr>
      <w:r>
        <w:rPr>
          <w:rFonts w:hint="eastAsia"/>
        </w:rPr>
        <w:t>（</w:t>
      </w:r>
      <w:r>
        <w:t>2</w:t>
      </w:r>
      <w:r>
        <w:rPr>
          <w:rFonts w:hint="eastAsia"/>
        </w:rPr>
        <w:t>）冷却</w:t>
      </w:r>
      <w:r>
        <w:t>工序用水</w:t>
      </w:r>
    </w:p>
    <w:p>
      <w:pPr>
        <w:ind w:firstLine="480"/>
      </w:pPr>
      <w:r>
        <w:rPr>
          <w:rFonts w:hint="eastAsia"/>
        </w:rPr>
        <w:t>本项目</w:t>
      </w:r>
      <w:r>
        <w:t>循环冷却水主要用于</w:t>
      </w:r>
      <w:r>
        <w:rPr>
          <w:rFonts w:hint="eastAsia"/>
        </w:rPr>
        <w:t>提取</w:t>
      </w:r>
      <w:r>
        <w:t>结晶罐的间接冷却水</w:t>
      </w:r>
      <w:r>
        <w:rPr>
          <w:rFonts w:hint="eastAsia"/>
        </w:rPr>
        <w:t>、</w:t>
      </w:r>
      <w:r>
        <w:t>石油醚</w:t>
      </w:r>
      <w:r>
        <w:rPr>
          <w:rFonts w:hint="eastAsia"/>
        </w:rPr>
        <w:t>冷凝</w:t>
      </w:r>
      <w:r>
        <w:t>回收的间接冷却</w:t>
      </w:r>
      <w:r>
        <w:rPr>
          <w:rFonts w:hint="eastAsia"/>
        </w:rPr>
        <w:t>水，</w:t>
      </w:r>
      <w:r>
        <w:t>设置有</w:t>
      </w:r>
      <w:r>
        <w:rPr>
          <w:rFonts w:hint="eastAsia"/>
        </w:rPr>
        <w:t>60</w:t>
      </w:r>
      <w:r>
        <w:t>m</w:t>
      </w:r>
      <w:r>
        <w:rPr>
          <w:vertAlign w:val="superscript"/>
        </w:rPr>
        <w:t>3</w:t>
      </w:r>
      <w:r>
        <w:t>循环冷却水</w:t>
      </w:r>
      <w:r>
        <w:rPr>
          <w:rFonts w:hint="eastAsia"/>
        </w:rPr>
        <w:t>罐</w:t>
      </w:r>
      <w:r>
        <w:t>一台，</w:t>
      </w:r>
      <w:r>
        <w:rPr>
          <w:rFonts w:hint="eastAsia"/>
        </w:rPr>
        <w:t>200</w:t>
      </w:r>
      <w:r>
        <w:t>m</w:t>
      </w:r>
      <w:r>
        <w:rPr>
          <w:vertAlign w:val="superscript"/>
        </w:rPr>
        <w:t>3</w:t>
      </w:r>
      <w:r>
        <w:t>/h冷却塔一台，</w:t>
      </w:r>
      <w:r>
        <w:rPr>
          <w:rFonts w:hint="eastAsia"/>
        </w:rPr>
        <w:t>冷却水</w:t>
      </w:r>
      <w:r>
        <w:t>循环使用不外排，定期补充新鲜水，损耗量约</w:t>
      </w:r>
      <w:r>
        <w:rPr>
          <w:rFonts w:hint="eastAsia"/>
        </w:rPr>
        <w:t>2</w:t>
      </w:r>
      <w:r>
        <w:t>m</w:t>
      </w:r>
      <w:r>
        <w:rPr>
          <w:vertAlign w:val="superscript"/>
        </w:rPr>
        <w:t>3</w:t>
      </w:r>
      <w:r>
        <w:t>/d，</w:t>
      </w:r>
      <w:r>
        <w:rPr>
          <w:rFonts w:hint="eastAsia"/>
        </w:rPr>
        <w:t>则</w:t>
      </w:r>
      <w:r>
        <w:t>补充</w:t>
      </w:r>
      <w:r>
        <w:rPr>
          <w:rFonts w:hint="eastAsia"/>
        </w:rPr>
        <w:t>新鲜水量</w:t>
      </w:r>
      <w:r>
        <w:t>为</w:t>
      </w:r>
      <w:r>
        <w:rPr>
          <w:rFonts w:hint="eastAsia"/>
        </w:rPr>
        <w:t>2</w:t>
      </w:r>
      <w:r>
        <w:t>m</w:t>
      </w:r>
      <w:r>
        <w:rPr>
          <w:vertAlign w:val="superscript"/>
        </w:rPr>
        <w:t>3</w:t>
      </w:r>
      <w:r>
        <w:t>/d，</w:t>
      </w:r>
      <w:r>
        <w:rPr>
          <w:rFonts w:hint="eastAsia"/>
        </w:rPr>
        <w:t>600</w:t>
      </w:r>
      <w:r>
        <w:t>m</w:t>
      </w:r>
      <w:r>
        <w:rPr>
          <w:vertAlign w:val="superscript"/>
        </w:rPr>
        <w:t>3</w:t>
      </w:r>
      <w:r>
        <w:t>/a。</w:t>
      </w:r>
    </w:p>
    <w:p>
      <w:pPr>
        <w:ind w:firstLine="480"/>
      </w:pPr>
      <w:r>
        <w:rPr>
          <w:rFonts w:hint="eastAsia"/>
        </w:rPr>
        <w:t>（</w:t>
      </w:r>
      <w:r>
        <w:t>3</w:t>
      </w:r>
      <w:r>
        <w:rPr>
          <w:rFonts w:hint="eastAsia"/>
        </w:rPr>
        <w:t>）生活</w:t>
      </w:r>
      <w:r>
        <w:t>用水</w:t>
      </w:r>
    </w:p>
    <w:p>
      <w:pPr>
        <w:ind w:firstLine="480"/>
      </w:pPr>
      <w:r>
        <w:rPr>
          <w:rFonts w:hint="eastAsia"/>
        </w:rPr>
        <w:t>项目劳动定员为30人，厂区不设食堂和宿舍，根据陕西省地方标准《行业用水定额》（DB61/T943-2020）及项目</w:t>
      </w:r>
      <w:r>
        <w:t>所在地实际情况，生活用水定额</w:t>
      </w:r>
      <w:r>
        <w:rPr>
          <w:rFonts w:hint="eastAsia"/>
        </w:rPr>
        <w:t>为</w:t>
      </w:r>
      <w:r>
        <w:t>35</w:t>
      </w:r>
      <w:r>
        <w:rPr>
          <w:rFonts w:hint="eastAsia"/>
        </w:rPr>
        <w:t>L/人·d，则员工生活用水量为</w:t>
      </w:r>
      <w:r>
        <w:t>1.05</w:t>
      </w:r>
      <w:r>
        <w:rPr>
          <w:rFonts w:hint="eastAsia"/>
        </w:rPr>
        <w:t>m</w:t>
      </w:r>
      <w:r>
        <w:rPr>
          <w:rFonts w:hint="eastAsia"/>
          <w:vertAlign w:val="superscript"/>
        </w:rPr>
        <w:t>3</w:t>
      </w:r>
      <w:r>
        <w:rPr>
          <w:rFonts w:hint="eastAsia"/>
        </w:rPr>
        <w:t>/d，189</w:t>
      </w:r>
      <w:r>
        <w:t>m</w:t>
      </w:r>
      <w:r>
        <w:rPr>
          <w:vertAlign w:val="superscript"/>
        </w:rPr>
        <w:t>3</w:t>
      </w:r>
      <w:r>
        <w:t>/a。</w:t>
      </w:r>
      <w:r>
        <w:rPr>
          <w:rFonts w:hint="eastAsia"/>
        </w:rPr>
        <w:t>废水量</w:t>
      </w:r>
      <w:r>
        <w:t>按用</w:t>
      </w:r>
      <w:r>
        <w:rPr>
          <w:rFonts w:hint="eastAsia"/>
        </w:rPr>
        <w:t>水</w:t>
      </w:r>
      <w:r>
        <w:t>量的</w:t>
      </w:r>
      <w:r>
        <w:rPr>
          <w:rFonts w:hint="eastAsia"/>
        </w:rPr>
        <w:t>0.85计，</w:t>
      </w:r>
      <w:r>
        <w:t>则生活</w:t>
      </w:r>
      <w:r>
        <w:rPr>
          <w:rFonts w:hint="eastAsia"/>
        </w:rPr>
        <w:t>废水</w:t>
      </w:r>
      <w:r>
        <w:t>排放量为</w:t>
      </w:r>
      <w:r>
        <w:rPr>
          <w:rFonts w:hint="eastAsia"/>
        </w:rPr>
        <w:t>0.89</w:t>
      </w:r>
      <w:r>
        <w:t>m</w:t>
      </w:r>
      <w:r>
        <w:rPr>
          <w:vertAlign w:val="superscript"/>
        </w:rPr>
        <w:t>3</w:t>
      </w:r>
      <w:r>
        <w:t>/d，160.2m</w:t>
      </w:r>
      <w:r>
        <w:rPr>
          <w:vertAlign w:val="superscript"/>
        </w:rPr>
        <w:t>3</w:t>
      </w:r>
      <w:r>
        <w:t>/a。</w:t>
      </w:r>
    </w:p>
    <w:p>
      <w:pPr>
        <w:ind w:firstLine="480"/>
      </w:pPr>
      <w:r>
        <w:rPr>
          <w:rFonts w:hint="eastAsia"/>
        </w:rPr>
        <w:t>综上</w:t>
      </w:r>
      <w:r>
        <w:t>，项目</w:t>
      </w:r>
      <w:r>
        <w:rPr>
          <w:rFonts w:hint="eastAsia"/>
        </w:rPr>
        <w:t>新鲜</w:t>
      </w:r>
      <w:r>
        <w:t>用水总量为</w:t>
      </w:r>
      <w:r>
        <w:rPr>
          <w:rFonts w:hint="eastAsia"/>
        </w:rPr>
        <w:t>35.05</w:t>
      </w:r>
      <w:r>
        <w:t>m</w:t>
      </w:r>
      <w:r>
        <w:rPr>
          <w:vertAlign w:val="superscript"/>
        </w:rPr>
        <w:t>3</w:t>
      </w:r>
      <w:r>
        <w:t>/d，6309m</w:t>
      </w:r>
      <w:r>
        <w:rPr>
          <w:vertAlign w:val="superscript"/>
        </w:rPr>
        <w:t>3</w:t>
      </w:r>
      <w:r>
        <w:t>/a，排水量为</w:t>
      </w:r>
      <w:r>
        <w:rPr>
          <w:rFonts w:hint="eastAsia"/>
        </w:rPr>
        <w:t>6.97</w:t>
      </w:r>
      <w:r>
        <w:t>m</w:t>
      </w:r>
      <w:r>
        <w:rPr>
          <w:vertAlign w:val="superscript"/>
        </w:rPr>
        <w:t>3</w:t>
      </w:r>
      <w:r>
        <w:t>/d，1254.6m</w:t>
      </w:r>
      <w:r>
        <w:rPr>
          <w:vertAlign w:val="superscript"/>
        </w:rPr>
        <w:t>3</w:t>
      </w:r>
      <w:r>
        <w:t>/a，其中生活污水经化粪池处理后排入吕河镇污水处理厂，锅炉</w:t>
      </w:r>
      <w:r>
        <w:rPr>
          <w:rFonts w:hint="eastAsia"/>
        </w:rPr>
        <w:t>排污水</w:t>
      </w:r>
      <w:r>
        <w:t>和软水</w:t>
      </w:r>
      <w:r>
        <w:rPr>
          <w:rFonts w:hint="eastAsia"/>
        </w:rPr>
        <w:t>制备</w:t>
      </w:r>
      <w:r>
        <w:t>系统浓水</w:t>
      </w:r>
      <w:r>
        <w:rPr>
          <w:rFonts w:hint="eastAsia"/>
        </w:rPr>
        <w:t>排入市政</w:t>
      </w:r>
      <w:r>
        <w:t>雨水管网。</w:t>
      </w:r>
      <w:r>
        <w:rPr>
          <w:rFonts w:hint="eastAsia"/>
        </w:rPr>
        <w:t>项目用排水</w:t>
      </w:r>
      <w:r>
        <w:t>情况见表</w:t>
      </w:r>
      <w:r>
        <w:rPr>
          <w:rFonts w:hint="eastAsia"/>
        </w:rPr>
        <w:t>3.2-2，</w:t>
      </w:r>
      <w:r>
        <w:t>水平衡图见图</w:t>
      </w:r>
      <w:r>
        <w:rPr>
          <w:rFonts w:hint="eastAsia"/>
        </w:rPr>
        <w:t>3.2-3。</w:t>
      </w:r>
    </w:p>
    <w:p>
      <w:pPr>
        <w:pStyle w:val="93"/>
      </w:pPr>
      <w:r>
        <w:rPr>
          <w:rFonts w:hint="eastAsia"/>
        </w:rPr>
        <w:t>表3.2-2</w:t>
      </w:r>
      <w:r>
        <w:t xml:space="preserve">  </w:t>
      </w:r>
      <w:r>
        <w:rPr>
          <w:rFonts w:hint="eastAsia"/>
        </w:rPr>
        <w:t>项目</w:t>
      </w:r>
      <w:r>
        <w:t>用排水情况表</w:t>
      </w:r>
      <w:r>
        <w:rPr>
          <w:rFonts w:hint="eastAsia"/>
        </w:rPr>
        <w:t xml:space="preserve"> </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958"/>
        <w:gridCol w:w="1638"/>
        <w:gridCol w:w="1131"/>
        <w:gridCol w:w="1033"/>
        <w:gridCol w:w="1630"/>
        <w:gridCol w:w="1033"/>
        <w:gridCol w:w="11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6" w:type="dxa"/>
            <w:tcBorders>
              <w:right w:val="single" w:color="auto" w:sz="2" w:space="0"/>
            </w:tcBorders>
            <w:shd w:val="clear" w:color="auto" w:fill="auto"/>
            <w:vAlign w:val="center"/>
          </w:tcPr>
          <w:p>
            <w:pPr>
              <w:pStyle w:val="26"/>
            </w:pPr>
            <w:r>
              <w:rPr>
                <w:rFonts w:hint="eastAsia"/>
              </w:rPr>
              <w:t>序号</w:t>
            </w:r>
          </w:p>
        </w:tc>
        <w:tc>
          <w:tcPr>
            <w:tcW w:w="958" w:type="dxa"/>
            <w:tcBorders>
              <w:left w:val="single" w:color="auto" w:sz="2" w:space="0"/>
            </w:tcBorders>
            <w:shd w:val="clear" w:color="auto" w:fill="auto"/>
            <w:vAlign w:val="center"/>
          </w:tcPr>
          <w:p>
            <w:pPr>
              <w:pStyle w:val="26"/>
            </w:pPr>
            <w:r>
              <w:rPr>
                <w:rFonts w:hint="eastAsia"/>
              </w:rPr>
              <w:t>用水项目</w:t>
            </w:r>
          </w:p>
        </w:tc>
        <w:tc>
          <w:tcPr>
            <w:tcW w:w="1638" w:type="dxa"/>
            <w:shd w:val="clear" w:color="auto" w:fill="auto"/>
            <w:vAlign w:val="center"/>
          </w:tcPr>
          <w:p>
            <w:pPr>
              <w:pStyle w:val="26"/>
            </w:pPr>
            <w:r>
              <w:rPr>
                <w:rFonts w:hint="eastAsia"/>
              </w:rPr>
              <w:t>用水定额</w:t>
            </w:r>
          </w:p>
        </w:tc>
        <w:tc>
          <w:tcPr>
            <w:tcW w:w="1131" w:type="dxa"/>
            <w:shd w:val="clear" w:color="auto" w:fill="auto"/>
            <w:vAlign w:val="center"/>
          </w:tcPr>
          <w:p>
            <w:pPr>
              <w:pStyle w:val="26"/>
            </w:pPr>
            <w:r>
              <w:rPr>
                <w:rFonts w:hint="eastAsia"/>
              </w:rPr>
              <w:t>数量</w:t>
            </w:r>
          </w:p>
        </w:tc>
        <w:tc>
          <w:tcPr>
            <w:tcW w:w="1033" w:type="dxa"/>
            <w:shd w:val="clear" w:color="auto" w:fill="auto"/>
            <w:vAlign w:val="center"/>
          </w:tcPr>
          <w:p>
            <w:pPr>
              <w:pStyle w:val="26"/>
            </w:pPr>
            <w:r>
              <w:rPr>
                <w:rFonts w:hint="eastAsia"/>
              </w:rPr>
              <w:t>新鲜用水量（m</w:t>
            </w:r>
            <w:r>
              <w:rPr>
                <w:rFonts w:hint="eastAsia"/>
                <w:vertAlign w:val="superscript"/>
              </w:rPr>
              <w:t>3</w:t>
            </w:r>
            <w:r>
              <w:rPr>
                <w:rFonts w:hint="eastAsia"/>
              </w:rPr>
              <w:t>/d）</w:t>
            </w:r>
          </w:p>
        </w:tc>
        <w:tc>
          <w:tcPr>
            <w:tcW w:w="1630" w:type="dxa"/>
            <w:vAlign w:val="center"/>
          </w:tcPr>
          <w:p>
            <w:pPr>
              <w:pStyle w:val="26"/>
            </w:pPr>
            <w:r>
              <w:rPr>
                <w:rFonts w:hint="eastAsia"/>
              </w:rPr>
              <w:t>软水</w:t>
            </w:r>
          </w:p>
          <w:p>
            <w:pPr>
              <w:ind w:firstLine="480"/>
              <w:jc w:val="center"/>
            </w:pPr>
            <w:r>
              <w:rPr>
                <w:rFonts w:hint="eastAsia"/>
              </w:rPr>
              <w:t>（m</w:t>
            </w:r>
            <w:r>
              <w:rPr>
                <w:rFonts w:hint="eastAsia"/>
                <w:vertAlign w:val="superscript"/>
              </w:rPr>
              <w:t>3</w:t>
            </w:r>
            <w:r>
              <w:rPr>
                <w:rFonts w:hint="eastAsia"/>
              </w:rPr>
              <w:t>/d）</w:t>
            </w:r>
          </w:p>
        </w:tc>
        <w:tc>
          <w:tcPr>
            <w:tcW w:w="1033" w:type="dxa"/>
            <w:shd w:val="clear" w:color="auto" w:fill="auto"/>
            <w:vAlign w:val="center"/>
          </w:tcPr>
          <w:p>
            <w:pPr>
              <w:pStyle w:val="26"/>
            </w:pPr>
            <w:r>
              <w:rPr>
                <w:rFonts w:hint="eastAsia"/>
              </w:rPr>
              <w:t>损耗量（m</w:t>
            </w:r>
            <w:r>
              <w:rPr>
                <w:rFonts w:hint="eastAsia"/>
                <w:vertAlign w:val="superscript"/>
              </w:rPr>
              <w:t>3</w:t>
            </w:r>
            <w:r>
              <w:rPr>
                <w:rFonts w:hint="eastAsia"/>
              </w:rPr>
              <w:t>/d）</w:t>
            </w:r>
          </w:p>
        </w:tc>
        <w:tc>
          <w:tcPr>
            <w:tcW w:w="1191" w:type="dxa"/>
            <w:vAlign w:val="center"/>
          </w:tcPr>
          <w:p>
            <w:pPr>
              <w:pStyle w:val="26"/>
            </w:pPr>
            <w:r>
              <w:rPr>
                <w:rFonts w:hint="eastAsia"/>
              </w:rPr>
              <w:t>排水量（m</w:t>
            </w:r>
            <w:r>
              <w:rPr>
                <w:rFonts w:hint="eastAsia"/>
                <w:vertAlign w:val="superscript"/>
              </w:rPr>
              <w:t>3</w:t>
            </w:r>
            <w:r>
              <w:rPr>
                <w:rFonts w:hint="eastAsia"/>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trPr>
        <w:tc>
          <w:tcPr>
            <w:tcW w:w="426" w:type="dxa"/>
            <w:tcBorders>
              <w:right w:val="single" w:color="auto" w:sz="2" w:space="0"/>
            </w:tcBorders>
            <w:shd w:val="clear" w:color="auto" w:fill="auto"/>
            <w:vAlign w:val="center"/>
          </w:tcPr>
          <w:p>
            <w:pPr>
              <w:pStyle w:val="26"/>
            </w:pPr>
            <w:r>
              <w:rPr>
                <w:rFonts w:hint="eastAsia"/>
              </w:rPr>
              <w:t>1</w:t>
            </w:r>
          </w:p>
        </w:tc>
        <w:tc>
          <w:tcPr>
            <w:tcW w:w="958" w:type="dxa"/>
            <w:tcBorders>
              <w:left w:val="single" w:color="auto" w:sz="2" w:space="0"/>
            </w:tcBorders>
            <w:shd w:val="clear" w:color="auto" w:fill="auto"/>
            <w:vAlign w:val="center"/>
          </w:tcPr>
          <w:p>
            <w:pPr>
              <w:pStyle w:val="26"/>
            </w:pPr>
            <w:r>
              <w:rPr>
                <w:rFonts w:hint="eastAsia"/>
              </w:rPr>
              <w:t>蒸汽</w:t>
            </w:r>
            <w:r>
              <w:t>锅炉</w:t>
            </w:r>
          </w:p>
        </w:tc>
        <w:tc>
          <w:tcPr>
            <w:tcW w:w="1638" w:type="dxa"/>
            <w:shd w:val="clear" w:color="auto" w:fill="auto"/>
            <w:vAlign w:val="center"/>
          </w:tcPr>
          <w:p>
            <w:pPr>
              <w:pStyle w:val="26"/>
            </w:pPr>
            <w:r>
              <w:rPr>
                <w:rFonts w:hint="eastAsia"/>
              </w:rPr>
              <w:t>补充水</w:t>
            </w:r>
            <w:r>
              <w:t>为额定蒸发量的</w:t>
            </w:r>
            <w:r>
              <w:rPr>
                <w:rFonts w:hint="eastAsia"/>
              </w:rPr>
              <w:t>30</w:t>
            </w:r>
            <w:r>
              <w:t>%，排污为</w:t>
            </w:r>
            <w:r>
              <w:rPr>
                <w:rFonts w:hint="eastAsia"/>
              </w:rPr>
              <w:t>蒸发量</w:t>
            </w:r>
            <w:r>
              <w:t>的</w:t>
            </w:r>
            <w:r>
              <w:rPr>
                <w:rFonts w:hint="eastAsia"/>
              </w:rPr>
              <w:t>3</w:t>
            </w:r>
            <w:r>
              <w:t>%</w:t>
            </w:r>
          </w:p>
        </w:tc>
        <w:tc>
          <w:tcPr>
            <w:tcW w:w="1131" w:type="dxa"/>
            <w:shd w:val="clear" w:color="auto" w:fill="auto"/>
            <w:vAlign w:val="center"/>
          </w:tcPr>
          <w:p>
            <w:pPr>
              <w:pStyle w:val="26"/>
            </w:pPr>
            <w:r>
              <w:t>1</w:t>
            </w:r>
            <w:r>
              <w:rPr>
                <w:rFonts w:hint="eastAsia"/>
              </w:rPr>
              <w:t>台</w:t>
            </w:r>
            <w:r>
              <w:t>4t/h</w:t>
            </w:r>
            <w:r>
              <w:rPr>
                <w:rFonts w:hint="eastAsia"/>
              </w:rPr>
              <w:t>蒸汽</w:t>
            </w:r>
            <w:r>
              <w:t>锅炉</w:t>
            </w:r>
          </w:p>
        </w:tc>
        <w:tc>
          <w:tcPr>
            <w:tcW w:w="1033" w:type="dxa"/>
            <w:shd w:val="clear" w:color="auto" w:fill="auto"/>
            <w:vAlign w:val="center"/>
          </w:tcPr>
          <w:p>
            <w:pPr>
              <w:pStyle w:val="26"/>
            </w:pPr>
            <w:r>
              <w:t>32</w:t>
            </w:r>
          </w:p>
        </w:tc>
        <w:tc>
          <w:tcPr>
            <w:tcW w:w="1630" w:type="dxa"/>
            <w:vAlign w:val="center"/>
          </w:tcPr>
          <w:p>
            <w:pPr>
              <w:pStyle w:val="26"/>
            </w:pPr>
            <w:r>
              <w:t>28.8</w:t>
            </w:r>
          </w:p>
        </w:tc>
        <w:tc>
          <w:tcPr>
            <w:tcW w:w="1033" w:type="dxa"/>
            <w:shd w:val="clear" w:color="auto" w:fill="auto"/>
            <w:vAlign w:val="center"/>
          </w:tcPr>
          <w:p>
            <w:pPr>
              <w:pStyle w:val="26"/>
            </w:pPr>
            <w:r>
              <w:rPr>
                <w:rFonts w:hint="eastAsia"/>
              </w:rPr>
              <w:t>25.92</w:t>
            </w:r>
          </w:p>
        </w:tc>
        <w:tc>
          <w:tcPr>
            <w:tcW w:w="1191" w:type="dxa"/>
            <w:vAlign w:val="center"/>
          </w:tcPr>
          <w:p>
            <w:pPr>
              <w:pStyle w:val="26"/>
            </w:pPr>
            <w:r>
              <w:rPr>
                <w:rFonts w:hint="eastAsia"/>
              </w:rPr>
              <w:t>锅炉</w:t>
            </w:r>
            <w:r>
              <w:t>排污2.88m</w:t>
            </w:r>
            <w:r>
              <w:rPr>
                <w:vertAlign w:val="superscript"/>
              </w:rPr>
              <w:t>3</w:t>
            </w:r>
            <w:r>
              <w:t>/d，软水制备3.2m</w:t>
            </w:r>
            <w:r>
              <w:rPr>
                <w:vertAlign w:val="superscript"/>
              </w:rPr>
              <w:t>3</w:t>
            </w:r>
            <w: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6" w:type="dxa"/>
            <w:tcBorders>
              <w:right w:val="single" w:color="auto" w:sz="2" w:space="0"/>
            </w:tcBorders>
            <w:shd w:val="clear" w:color="auto" w:fill="auto"/>
            <w:vAlign w:val="center"/>
          </w:tcPr>
          <w:p>
            <w:pPr>
              <w:pStyle w:val="26"/>
            </w:pPr>
            <w:r>
              <w:rPr>
                <w:rFonts w:hint="eastAsia"/>
              </w:rPr>
              <w:t>2</w:t>
            </w:r>
          </w:p>
        </w:tc>
        <w:tc>
          <w:tcPr>
            <w:tcW w:w="958" w:type="dxa"/>
            <w:tcBorders>
              <w:left w:val="single" w:color="auto" w:sz="2" w:space="0"/>
            </w:tcBorders>
            <w:shd w:val="clear" w:color="auto" w:fill="auto"/>
            <w:vAlign w:val="center"/>
          </w:tcPr>
          <w:p>
            <w:pPr>
              <w:pStyle w:val="26"/>
            </w:pPr>
            <w:r>
              <w:rPr>
                <w:rFonts w:hint="eastAsia"/>
              </w:rPr>
              <w:t>冷却水</w:t>
            </w:r>
            <w:r>
              <w:t>系统</w:t>
            </w:r>
          </w:p>
        </w:tc>
        <w:tc>
          <w:tcPr>
            <w:tcW w:w="1638" w:type="dxa"/>
            <w:shd w:val="clear" w:color="auto" w:fill="auto"/>
            <w:vAlign w:val="center"/>
          </w:tcPr>
          <w:p>
            <w:pPr>
              <w:pStyle w:val="26"/>
            </w:pPr>
            <w:r>
              <w:rPr>
                <w:rFonts w:hint="eastAsia"/>
              </w:rPr>
              <w:t>循环水量200</w:t>
            </w:r>
            <w:r>
              <w:t>m</w:t>
            </w:r>
            <w:r>
              <w:rPr>
                <w:vertAlign w:val="superscript"/>
              </w:rPr>
              <w:t>3</w:t>
            </w:r>
            <w:r>
              <w:t>/h</w:t>
            </w:r>
          </w:p>
        </w:tc>
        <w:tc>
          <w:tcPr>
            <w:tcW w:w="1131" w:type="dxa"/>
            <w:shd w:val="clear" w:color="auto" w:fill="auto"/>
            <w:vAlign w:val="center"/>
          </w:tcPr>
          <w:p>
            <w:pPr>
              <w:pStyle w:val="26"/>
            </w:pPr>
            <w:r>
              <w:rPr>
                <w:rFonts w:hint="eastAsia"/>
              </w:rPr>
              <w:t>/</w:t>
            </w:r>
          </w:p>
        </w:tc>
        <w:tc>
          <w:tcPr>
            <w:tcW w:w="1033" w:type="dxa"/>
            <w:shd w:val="clear" w:color="auto" w:fill="auto"/>
            <w:vAlign w:val="center"/>
          </w:tcPr>
          <w:p>
            <w:pPr>
              <w:pStyle w:val="26"/>
            </w:pPr>
            <w:r>
              <w:rPr>
                <w:rFonts w:hint="eastAsia"/>
              </w:rPr>
              <w:t>2</w:t>
            </w:r>
          </w:p>
        </w:tc>
        <w:tc>
          <w:tcPr>
            <w:tcW w:w="1630" w:type="dxa"/>
            <w:vAlign w:val="center"/>
          </w:tcPr>
          <w:p>
            <w:pPr>
              <w:pStyle w:val="26"/>
            </w:pPr>
            <w:r>
              <w:rPr>
                <w:rFonts w:hint="eastAsia"/>
              </w:rPr>
              <w:t>/</w:t>
            </w:r>
          </w:p>
        </w:tc>
        <w:tc>
          <w:tcPr>
            <w:tcW w:w="1033" w:type="dxa"/>
            <w:shd w:val="clear" w:color="auto" w:fill="auto"/>
            <w:vAlign w:val="center"/>
          </w:tcPr>
          <w:p>
            <w:pPr>
              <w:pStyle w:val="26"/>
            </w:pPr>
            <w:r>
              <w:rPr>
                <w:rFonts w:hint="eastAsia"/>
              </w:rPr>
              <w:t>2</w:t>
            </w:r>
          </w:p>
        </w:tc>
        <w:tc>
          <w:tcPr>
            <w:tcW w:w="1191" w:type="dxa"/>
            <w:vAlign w:val="center"/>
          </w:tcPr>
          <w:p>
            <w:pPr>
              <w:pStyle w:val="26"/>
            </w:pP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6" w:type="dxa"/>
            <w:tcBorders>
              <w:right w:val="single" w:color="auto" w:sz="2" w:space="0"/>
            </w:tcBorders>
            <w:shd w:val="clear" w:color="auto" w:fill="auto"/>
            <w:vAlign w:val="center"/>
          </w:tcPr>
          <w:p>
            <w:pPr>
              <w:pStyle w:val="26"/>
            </w:pPr>
            <w:r>
              <w:rPr>
                <w:rFonts w:hint="eastAsia"/>
              </w:rPr>
              <w:t>3</w:t>
            </w:r>
          </w:p>
        </w:tc>
        <w:tc>
          <w:tcPr>
            <w:tcW w:w="958" w:type="dxa"/>
            <w:tcBorders>
              <w:left w:val="single" w:color="auto" w:sz="2" w:space="0"/>
            </w:tcBorders>
            <w:shd w:val="clear" w:color="auto" w:fill="auto"/>
            <w:vAlign w:val="center"/>
          </w:tcPr>
          <w:p>
            <w:pPr>
              <w:pStyle w:val="26"/>
            </w:pPr>
            <w:r>
              <w:rPr>
                <w:rFonts w:hint="eastAsia"/>
              </w:rPr>
              <w:t>生活</w:t>
            </w:r>
            <w:r>
              <w:t>用水</w:t>
            </w:r>
          </w:p>
        </w:tc>
        <w:tc>
          <w:tcPr>
            <w:tcW w:w="1638" w:type="dxa"/>
            <w:shd w:val="clear" w:color="auto" w:fill="auto"/>
            <w:vAlign w:val="center"/>
          </w:tcPr>
          <w:p>
            <w:pPr>
              <w:pStyle w:val="26"/>
            </w:pPr>
            <w:r>
              <w:rPr>
                <w:rFonts w:hint="eastAsia"/>
              </w:rPr>
              <w:t>35</w:t>
            </w:r>
            <w:r>
              <w:t>L/人·d</w:t>
            </w:r>
          </w:p>
        </w:tc>
        <w:tc>
          <w:tcPr>
            <w:tcW w:w="1131" w:type="dxa"/>
            <w:shd w:val="clear" w:color="auto" w:fill="auto"/>
            <w:vAlign w:val="center"/>
          </w:tcPr>
          <w:p>
            <w:pPr>
              <w:pStyle w:val="26"/>
            </w:pPr>
            <w:r>
              <w:rPr>
                <w:rFonts w:hint="eastAsia"/>
              </w:rPr>
              <w:t>30人</w:t>
            </w:r>
          </w:p>
        </w:tc>
        <w:tc>
          <w:tcPr>
            <w:tcW w:w="1033" w:type="dxa"/>
            <w:shd w:val="clear" w:color="auto" w:fill="auto"/>
            <w:vAlign w:val="center"/>
          </w:tcPr>
          <w:p>
            <w:pPr>
              <w:pStyle w:val="26"/>
            </w:pPr>
            <w:r>
              <w:rPr>
                <w:rFonts w:hint="eastAsia"/>
              </w:rPr>
              <w:t>1.05</w:t>
            </w:r>
          </w:p>
        </w:tc>
        <w:tc>
          <w:tcPr>
            <w:tcW w:w="1630" w:type="dxa"/>
            <w:vAlign w:val="center"/>
          </w:tcPr>
          <w:p>
            <w:pPr>
              <w:pStyle w:val="26"/>
            </w:pPr>
            <w:r>
              <w:rPr>
                <w:rFonts w:hint="eastAsia"/>
              </w:rPr>
              <w:t>/</w:t>
            </w:r>
          </w:p>
        </w:tc>
        <w:tc>
          <w:tcPr>
            <w:tcW w:w="1033" w:type="dxa"/>
            <w:shd w:val="clear" w:color="auto" w:fill="auto"/>
            <w:vAlign w:val="center"/>
          </w:tcPr>
          <w:p>
            <w:pPr>
              <w:pStyle w:val="26"/>
            </w:pPr>
            <w:r>
              <w:rPr>
                <w:rFonts w:hint="eastAsia"/>
              </w:rPr>
              <w:t>0.16</w:t>
            </w:r>
          </w:p>
        </w:tc>
        <w:tc>
          <w:tcPr>
            <w:tcW w:w="1191" w:type="dxa"/>
            <w:vAlign w:val="center"/>
          </w:tcPr>
          <w:p>
            <w:pPr>
              <w:pStyle w:val="26"/>
            </w:pPr>
            <w:r>
              <w:rPr>
                <w:rFonts w:hint="eastAsia"/>
              </w:rPr>
              <w:t>0.89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153" w:type="dxa"/>
            <w:gridSpan w:val="4"/>
            <w:shd w:val="clear" w:color="auto" w:fill="auto"/>
            <w:vAlign w:val="center"/>
          </w:tcPr>
          <w:p>
            <w:pPr>
              <w:pStyle w:val="26"/>
              <w:rPr>
                <w:szCs w:val="21"/>
              </w:rPr>
            </w:pPr>
            <w:r>
              <w:rPr>
                <w:rFonts w:hint="eastAsia"/>
              </w:rPr>
              <w:t>合计</w:t>
            </w:r>
          </w:p>
        </w:tc>
        <w:tc>
          <w:tcPr>
            <w:tcW w:w="1033" w:type="dxa"/>
            <w:shd w:val="clear" w:color="auto" w:fill="auto"/>
            <w:vAlign w:val="center"/>
          </w:tcPr>
          <w:p>
            <w:pPr>
              <w:pStyle w:val="26"/>
            </w:pPr>
            <w:r>
              <w:rPr>
                <w:rFonts w:hint="eastAsia"/>
              </w:rPr>
              <w:t>35.05</w:t>
            </w:r>
          </w:p>
        </w:tc>
        <w:tc>
          <w:tcPr>
            <w:tcW w:w="1630" w:type="dxa"/>
            <w:vAlign w:val="center"/>
          </w:tcPr>
          <w:p>
            <w:pPr>
              <w:pStyle w:val="26"/>
              <w:rPr>
                <w:szCs w:val="21"/>
              </w:rPr>
            </w:pPr>
            <w:r>
              <w:rPr>
                <w:rFonts w:hint="eastAsia"/>
                <w:szCs w:val="21"/>
              </w:rPr>
              <w:t>28.8</w:t>
            </w:r>
          </w:p>
        </w:tc>
        <w:tc>
          <w:tcPr>
            <w:tcW w:w="1033" w:type="dxa"/>
            <w:shd w:val="clear" w:color="auto" w:fill="auto"/>
            <w:vAlign w:val="center"/>
          </w:tcPr>
          <w:p>
            <w:pPr>
              <w:pStyle w:val="26"/>
              <w:rPr>
                <w:szCs w:val="21"/>
              </w:rPr>
            </w:pPr>
            <w:r>
              <w:rPr>
                <w:rFonts w:hint="eastAsia"/>
                <w:szCs w:val="21"/>
              </w:rPr>
              <w:t>28.08</w:t>
            </w:r>
          </w:p>
        </w:tc>
        <w:tc>
          <w:tcPr>
            <w:tcW w:w="1191" w:type="dxa"/>
            <w:vAlign w:val="center"/>
          </w:tcPr>
          <w:p>
            <w:pPr>
              <w:pStyle w:val="26"/>
            </w:pPr>
            <w:r>
              <w:rPr>
                <w:rFonts w:hint="eastAsia"/>
              </w:rPr>
              <w:t>6.97</w:t>
            </w:r>
          </w:p>
        </w:tc>
      </w:tr>
    </w:tbl>
    <w:p>
      <w:pPr>
        <w:ind w:firstLine="0" w:firstLineChars="0"/>
      </w:pPr>
      <w:r>
        <w:object>
          <v:shape id="_x0000_i1027" o:spt="75" type="#_x0000_t75" style="height:209pt;width:453.25pt;" o:ole="t" filled="f" coordsize="21600,21600">
            <v:path/>
            <v:fill on="f" focussize="0,0"/>
            <v:stroke/>
            <v:imagedata r:id="rId80" o:title=""/>
            <o:lock v:ext="edit" aspectratio="t"/>
            <w10:wrap type="none"/>
            <w10:anchorlock/>
          </v:shape>
          <o:OLEObject Type="Embed" ProgID="Visio.Drawing.11" ShapeID="_x0000_i1027" DrawAspect="Content" ObjectID="_1468075727" r:id="rId79">
            <o:LockedField>false</o:LockedField>
          </o:OLEObject>
        </w:object>
      </w:r>
    </w:p>
    <w:p>
      <w:pPr>
        <w:ind w:firstLine="482"/>
        <w:jc w:val="center"/>
        <w:rPr>
          <w:b/>
        </w:rPr>
      </w:pPr>
      <w:r>
        <w:rPr>
          <w:rFonts w:hint="eastAsia"/>
          <w:b/>
        </w:rPr>
        <w:t>图3.2-3  项目</w:t>
      </w:r>
      <w:r>
        <w:rPr>
          <w:b/>
        </w:rPr>
        <w:t>水平衡图</w:t>
      </w:r>
      <w:r>
        <w:rPr>
          <w:rFonts w:hint="eastAsia"/>
          <w:b/>
        </w:rPr>
        <w:t xml:space="preserve">  单位：</w:t>
      </w:r>
      <w:r>
        <w:rPr>
          <w:b/>
        </w:rPr>
        <w:t>m</w:t>
      </w:r>
      <w:r>
        <w:rPr>
          <w:b/>
          <w:vertAlign w:val="superscript"/>
        </w:rPr>
        <w:t>3</w:t>
      </w:r>
      <w:r>
        <w:rPr>
          <w:b/>
        </w:rPr>
        <w:t>/d</w:t>
      </w:r>
    </w:p>
    <w:p>
      <w:pPr>
        <w:pStyle w:val="5"/>
      </w:pPr>
      <w:r>
        <w:rPr>
          <w:rFonts w:hint="eastAsia"/>
        </w:rPr>
        <w:t>物料</w:t>
      </w:r>
      <w:r>
        <w:t>平衡</w:t>
      </w:r>
    </w:p>
    <w:p>
      <w:pPr>
        <w:ind w:firstLine="480"/>
      </w:pPr>
      <w:r>
        <w:rPr>
          <w:rFonts w:hint="eastAsia"/>
        </w:rPr>
        <w:t>项目</w:t>
      </w:r>
      <w:r>
        <w:t>运营期物料平衡见表</w:t>
      </w:r>
      <w:r>
        <w:rPr>
          <w:rFonts w:hint="eastAsia"/>
        </w:rPr>
        <w:t>3.</w:t>
      </w:r>
      <w:r>
        <w:t>2</w:t>
      </w:r>
      <w:r>
        <w:rPr>
          <w:rFonts w:hint="eastAsia"/>
        </w:rPr>
        <w:t>-3。</w:t>
      </w:r>
    </w:p>
    <w:p>
      <w:pPr>
        <w:pStyle w:val="93"/>
      </w:pPr>
      <w:r>
        <w:rPr>
          <w:rFonts w:hint="eastAsia"/>
        </w:rPr>
        <w:t>表3.2-3  项目</w:t>
      </w:r>
      <w:r>
        <w:t>物料平衡表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065"/>
        <w:gridCol w:w="2293"/>
        <w:gridCol w:w="2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trPr>
        <w:tc>
          <w:tcPr>
            <w:tcW w:w="4377" w:type="dxa"/>
            <w:gridSpan w:val="2"/>
            <w:shd w:val="clear" w:color="auto" w:fill="auto"/>
            <w:vAlign w:val="center"/>
          </w:tcPr>
          <w:p>
            <w:pPr>
              <w:widowControl/>
              <w:snapToGrid/>
              <w:spacing w:line="240" w:lineRule="auto"/>
              <w:ind w:firstLine="0" w:firstLineChars="0"/>
              <w:jc w:val="center"/>
              <w:textAlignment w:val="center"/>
              <w:rPr>
                <w:b/>
                <w:bCs/>
                <w:sz w:val="21"/>
                <w:szCs w:val="21"/>
              </w:rPr>
            </w:pPr>
            <w:r>
              <w:rPr>
                <w:b/>
                <w:kern w:val="0"/>
                <w:sz w:val="21"/>
                <w:szCs w:val="21"/>
                <w:lang w:bidi="ar"/>
              </w:rPr>
              <w:t>投入</w:t>
            </w:r>
          </w:p>
        </w:tc>
        <w:tc>
          <w:tcPr>
            <w:tcW w:w="4663" w:type="dxa"/>
            <w:gridSpan w:val="2"/>
            <w:shd w:val="clear" w:color="auto" w:fill="auto"/>
            <w:vAlign w:val="center"/>
          </w:tcPr>
          <w:p>
            <w:pPr>
              <w:widowControl/>
              <w:snapToGrid/>
              <w:spacing w:line="240" w:lineRule="auto"/>
              <w:ind w:firstLine="0" w:firstLineChars="0"/>
              <w:jc w:val="center"/>
              <w:textAlignment w:val="center"/>
              <w:rPr>
                <w:b/>
                <w:bCs/>
                <w:sz w:val="21"/>
                <w:szCs w:val="21"/>
              </w:rPr>
            </w:pPr>
            <w:r>
              <w:rPr>
                <w:b/>
                <w:kern w:val="0"/>
                <w:sz w:val="21"/>
                <w:szCs w:val="21"/>
                <w:lang w:bidi="ar"/>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blHeader/>
        </w:trPr>
        <w:tc>
          <w:tcPr>
            <w:tcW w:w="2312" w:type="dxa"/>
            <w:shd w:val="clear" w:color="auto" w:fill="auto"/>
            <w:vAlign w:val="center"/>
          </w:tcPr>
          <w:p>
            <w:pPr>
              <w:widowControl/>
              <w:snapToGrid/>
              <w:spacing w:line="240" w:lineRule="auto"/>
              <w:ind w:firstLine="0" w:firstLineChars="0"/>
              <w:jc w:val="center"/>
              <w:textAlignment w:val="center"/>
              <w:rPr>
                <w:b/>
                <w:bCs/>
                <w:sz w:val="21"/>
                <w:szCs w:val="21"/>
              </w:rPr>
            </w:pPr>
            <w:r>
              <w:rPr>
                <w:b/>
                <w:kern w:val="0"/>
                <w:sz w:val="21"/>
                <w:szCs w:val="21"/>
                <w:lang w:bidi="ar"/>
              </w:rPr>
              <w:t>名称</w:t>
            </w:r>
          </w:p>
        </w:tc>
        <w:tc>
          <w:tcPr>
            <w:tcW w:w="2065" w:type="dxa"/>
            <w:shd w:val="clear" w:color="auto" w:fill="auto"/>
            <w:vAlign w:val="center"/>
          </w:tcPr>
          <w:p>
            <w:pPr>
              <w:widowControl/>
              <w:snapToGrid/>
              <w:spacing w:line="240" w:lineRule="auto"/>
              <w:ind w:firstLine="0" w:firstLineChars="0"/>
              <w:jc w:val="center"/>
              <w:textAlignment w:val="center"/>
              <w:rPr>
                <w:b/>
                <w:bCs/>
                <w:sz w:val="21"/>
                <w:szCs w:val="21"/>
              </w:rPr>
            </w:pPr>
            <w:r>
              <w:rPr>
                <w:b/>
                <w:kern w:val="0"/>
                <w:sz w:val="21"/>
                <w:szCs w:val="21"/>
                <w:lang w:bidi="ar"/>
              </w:rPr>
              <w:t>数量(t/a)</w:t>
            </w:r>
          </w:p>
        </w:tc>
        <w:tc>
          <w:tcPr>
            <w:tcW w:w="2293" w:type="dxa"/>
            <w:shd w:val="clear" w:color="auto" w:fill="auto"/>
            <w:vAlign w:val="center"/>
          </w:tcPr>
          <w:p>
            <w:pPr>
              <w:widowControl/>
              <w:snapToGrid/>
              <w:spacing w:line="240" w:lineRule="auto"/>
              <w:ind w:firstLine="0" w:firstLineChars="0"/>
              <w:jc w:val="center"/>
              <w:textAlignment w:val="center"/>
              <w:rPr>
                <w:b/>
                <w:bCs/>
                <w:sz w:val="21"/>
                <w:szCs w:val="21"/>
              </w:rPr>
            </w:pPr>
            <w:r>
              <w:rPr>
                <w:b/>
                <w:kern w:val="0"/>
                <w:sz w:val="21"/>
                <w:szCs w:val="21"/>
                <w:lang w:bidi="ar"/>
              </w:rPr>
              <w:t>名称</w:t>
            </w:r>
          </w:p>
        </w:tc>
        <w:tc>
          <w:tcPr>
            <w:tcW w:w="2370" w:type="dxa"/>
            <w:shd w:val="clear" w:color="auto" w:fill="auto"/>
            <w:vAlign w:val="center"/>
          </w:tcPr>
          <w:p>
            <w:pPr>
              <w:widowControl/>
              <w:snapToGrid/>
              <w:spacing w:line="240" w:lineRule="auto"/>
              <w:ind w:firstLine="0" w:firstLineChars="0"/>
              <w:jc w:val="center"/>
              <w:textAlignment w:val="center"/>
              <w:rPr>
                <w:b/>
                <w:bCs/>
                <w:sz w:val="21"/>
                <w:szCs w:val="21"/>
              </w:rPr>
            </w:pPr>
            <w:r>
              <w:rPr>
                <w:b/>
                <w:kern w:val="0"/>
                <w:sz w:val="21"/>
                <w:szCs w:val="21"/>
                <w:lang w:bidi="ar"/>
              </w:rPr>
              <w:t>数量(t/a)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312" w:type="dxa"/>
            <w:shd w:val="clear" w:color="auto" w:fill="auto"/>
            <w:vAlign w:val="center"/>
          </w:tcPr>
          <w:p>
            <w:pPr>
              <w:widowControl/>
              <w:adjustRightInd/>
              <w:snapToGrid/>
              <w:spacing w:line="240" w:lineRule="auto"/>
              <w:ind w:firstLine="0" w:firstLineChars="0"/>
              <w:jc w:val="center"/>
              <w:textAlignment w:val="center"/>
              <w:rPr>
                <w:sz w:val="21"/>
                <w:szCs w:val="21"/>
              </w:rPr>
            </w:pPr>
            <w:r>
              <w:rPr>
                <w:rFonts w:hint="eastAsia"/>
                <w:sz w:val="21"/>
                <w:szCs w:val="21"/>
              </w:rPr>
              <w:t>黄姜</w:t>
            </w:r>
          </w:p>
        </w:tc>
        <w:tc>
          <w:tcPr>
            <w:tcW w:w="2065" w:type="dxa"/>
            <w:shd w:val="clear" w:color="auto" w:fill="auto"/>
            <w:vAlign w:val="center"/>
          </w:tcPr>
          <w:p>
            <w:pPr>
              <w:widowControl/>
              <w:adjustRightInd/>
              <w:snapToGrid/>
              <w:spacing w:line="240" w:lineRule="auto"/>
              <w:ind w:firstLine="0" w:firstLineChars="0"/>
              <w:jc w:val="center"/>
              <w:textAlignment w:val="center"/>
              <w:rPr>
                <w:sz w:val="21"/>
                <w:szCs w:val="21"/>
              </w:rPr>
            </w:pPr>
            <w:r>
              <w:rPr>
                <w:sz w:val="21"/>
                <w:szCs w:val="21"/>
              </w:rPr>
              <w:t>1080</w:t>
            </w:r>
          </w:p>
        </w:tc>
        <w:tc>
          <w:tcPr>
            <w:tcW w:w="2293" w:type="dxa"/>
            <w:shd w:val="clear" w:color="auto" w:fill="auto"/>
            <w:vAlign w:val="center"/>
          </w:tcPr>
          <w:p>
            <w:pPr>
              <w:widowControl/>
              <w:adjustRightInd/>
              <w:snapToGrid/>
              <w:spacing w:line="240" w:lineRule="auto"/>
              <w:ind w:firstLine="0" w:firstLineChars="0"/>
              <w:jc w:val="center"/>
              <w:textAlignment w:val="center"/>
              <w:rPr>
                <w:sz w:val="21"/>
                <w:szCs w:val="21"/>
              </w:rPr>
            </w:pPr>
            <w:r>
              <w:rPr>
                <w:rFonts w:hint="eastAsia"/>
                <w:sz w:val="21"/>
                <w:szCs w:val="21"/>
              </w:rPr>
              <w:t>皂素产品</w:t>
            </w:r>
          </w:p>
        </w:tc>
        <w:tc>
          <w:tcPr>
            <w:tcW w:w="2370" w:type="dxa"/>
            <w:shd w:val="clear" w:color="auto" w:fill="auto"/>
            <w:vAlign w:val="center"/>
          </w:tcPr>
          <w:p>
            <w:pPr>
              <w:widowControl/>
              <w:adjustRightInd/>
              <w:snapToGrid/>
              <w:spacing w:line="240" w:lineRule="auto"/>
              <w:ind w:firstLine="0" w:firstLineChars="0"/>
              <w:jc w:val="center"/>
              <w:textAlignment w:val="center"/>
              <w:rPr>
                <w:sz w:val="21"/>
                <w:szCs w:val="21"/>
              </w:rPr>
            </w:pPr>
            <w:r>
              <w:rPr>
                <w:sz w:val="21"/>
                <w:szCs w:val="21"/>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312" w:type="dxa"/>
            <w:shd w:val="clear" w:color="auto" w:fill="auto"/>
            <w:vAlign w:val="center"/>
          </w:tcPr>
          <w:p>
            <w:pPr>
              <w:widowControl/>
              <w:adjustRightInd/>
              <w:snapToGrid/>
              <w:spacing w:line="240" w:lineRule="auto"/>
              <w:ind w:firstLine="0" w:firstLineChars="0"/>
              <w:jc w:val="center"/>
              <w:textAlignment w:val="center"/>
              <w:rPr>
                <w:sz w:val="21"/>
                <w:szCs w:val="21"/>
              </w:rPr>
            </w:pPr>
          </w:p>
        </w:tc>
        <w:tc>
          <w:tcPr>
            <w:tcW w:w="2065" w:type="dxa"/>
            <w:shd w:val="clear" w:color="auto" w:fill="auto"/>
            <w:vAlign w:val="center"/>
          </w:tcPr>
          <w:p>
            <w:pPr>
              <w:widowControl/>
              <w:adjustRightInd/>
              <w:snapToGrid/>
              <w:spacing w:line="240" w:lineRule="auto"/>
              <w:ind w:firstLine="0" w:firstLineChars="0"/>
              <w:jc w:val="center"/>
              <w:textAlignment w:val="center"/>
              <w:rPr>
                <w:sz w:val="21"/>
                <w:szCs w:val="21"/>
              </w:rPr>
            </w:pPr>
          </w:p>
        </w:tc>
        <w:tc>
          <w:tcPr>
            <w:tcW w:w="2293" w:type="dxa"/>
            <w:shd w:val="clear" w:color="auto" w:fill="auto"/>
            <w:vAlign w:val="center"/>
          </w:tcPr>
          <w:p>
            <w:pPr>
              <w:widowControl/>
              <w:adjustRightInd/>
              <w:snapToGrid/>
              <w:spacing w:line="240" w:lineRule="auto"/>
              <w:ind w:firstLine="0" w:firstLineChars="0"/>
              <w:jc w:val="center"/>
              <w:textAlignment w:val="center"/>
              <w:rPr>
                <w:sz w:val="21"/>
                <w:szCs w:val="21"/>
              </w:rPr>
            </w:pPr>
            <w:r>
              <w:rPr>
                <w:rFonts w:hint="eastAsia"/>
                <w:sz w:val="21"/>
                <w:szCs w:val="21"/>
              </w:rPr>
              <w:t>黄姜粕副产物</w:t>
            </w:r>
          </w:p>
        </w:tc>
        <w:tc>
          <w:tcPr>
            <w:tcW w:w="2370" w:type="dxa"/>
            <w:shd w:val="clear" w:color="auto" w:fill="auto"/>
            <w:vAlign w:val="center"/>
          </w:tcPr>
          <w:p>
            <w:pPr>
              <w:widowControl/>
              <w:adjustRightInd/>
              <w:snapToGrid/>
              <w:spacing w:line="240" w:lineRule="auto"/>
              <w:ind w:firstLine="0" w:firstLineChars="0"/>
              <w:jc w:val="center"/>
              <w:textAlignment w:val="center"/>
              <w:rPr>
                <w:sz w:val="21"/>
                <w:szCs w:val="21"/>
              </w:rPr>
            </w:pPr>
            <w:r>
              <w:rPr>
                <w:sz w:val="21"/>
                <w:szCs w:val="21"/>
              </w:rPr>
              <w:t>864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312" w:type="dxa"/>
            <w:shd w:val="clear" w:color="auto" w:fill="auto"/>
            <w:vAlign w:val="center"/>
          </w:tcPr>
          <w:p>
            <w:pPr>
              <w:widowControl/>
              <w:adjustRightInd/>
              <w:snapToGrid/>
              <w:spacing w:line="240" w:lineRule="auto"/>
              <w:ind w:firstLine="0" w:firstLineChars="0"/>
              <w:jc w:val="center"/>
              <w:textAlignment w:val="center"/>
              <w:rPr>
                <w:sz w:val="21"/>
                <w:szCs w:val="21"/>
              </w:rPr>
            </w:pPr>
          </w:p>
        </w:tc>
        <w:tc>
          <w:tcPr>
            <w:tcW w:w="2065" w:type="dxa"/>
            <w:shd w:val="clear" w:color="auto" w:fill="auto"/>
            <w:vAlign w:val="center"/>
          </w:tcPr>
          <w:p>
            <w:pPr>
              <w:widowControl/>
              <w:adjustRightInd/>
              <w:snapToGrid/>
              <w:spacing w:line="240" w:lineRule="auto"/>
              <w:ind w:firstLine="0" w:firstLineChars="0"/>
              <w:jc w:val="center"/>
              <w:textAlignment w:val="center"/>
              <w:rPr>
                <w:sz w:val="21"/>
                <w:szCs w:val="21"/>
              </w:rPr>
            </w:pPr>
          </w:p>
        </w:tc>
        <w:tc>
          <w:tcPr>
            <w:tcW w:w="2293" w:type="dxa"/>
            <w:shd w:val="clear" w:color="auto" w:fill="auto"/>
            <w:vAlign w:val="center"/>
          </w:tcPr>
          <w:p>
            <w:pPr>
              <w:widowControl/>
              <w:adjustRightInd/>
              <w:snapToGrid/>
              <w:spacing w:line="240" w:lineRule="auto"/>
              <w:ind w:firstLine="0" w:firstLineChars="0"/>
              <w:jc w:val="center"/>
              <w:textAlignment w:val="center"/>
              <w:rPr>
                <w:sz w:val="21"/>
                <w:szCs w:val="21"/>
                <w:highlight w:val="yellow"/>
              </w:rPr>
            </w:pPr>
            <w:r>
              <w:rPr>
                <w:rFonts w:hint="eastAsia"/>
                <w:sz w:val="21"/>
                <w:szCs w:val="21"/>
              </w:rPr>
              <w:t>废渣</w:t>
            </w:r>
          </w:p>
        </w:tc>
        <w:tc>
          <w:tcPr>
            <w:tcW w:w="2370" w:type="dxa"/>
            <w:shd w:val="clear" w:color="auto" w:fill="auto"/>
            <w:vAlign w:val="center"/>
          </w:tcPr>
          <w:p>
            <w:pPr>
              <w:widowControl/>
              <w:adjustRightInd/>
              <w:snapToGrid/>
              <w:spacing w:line="240" w:lineRule="auto"/>
              <w:ind w:firstLine="0" w:firstLineChars="0"/>
              <w:jc w:val="center"/>
              <w:textAlignment w:val="center"/>
              <w:rPr>
                <w:sz w:val="21"/>
                <w:szCs w:val="21"/>
                <w:highlight w:val="yellow"/>
              </w:rPr>
            </w:pPr>
            <w:r>
              <w:rPr>
                <w:rFonts w:hint="eastAsia"/>
                <w:sz w:val="21"/>
                <w:szCs w:val="21"/>
              </w:rPr>
              <w:t>178.39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312" w:type="dxa"/>
            <w:shd w:val="clear" w:color="auto" w:fill="auto"/>
            <w:vAlign w:val="center"/>
          </w:tcPr>
          <w:p>
            <w:pPr>
              <w:widowControl/>
              <w:adjustRightInd/>
              <w:snapToGrid/>
              <w:spacing w:line="240" w:lineRule="auto"/>
              <w:ind w:firstLine="0" w:firstLineChars="0"/>
              <w:jc w:val="center"/>
              <w:textAlignment w:val="center"/>
              <w:rPr>
                <w:sz w:val="21"/>
                <w:szCs w:val="21"/>
              </w:rPr>
            </w:pPr>
          </w:p>
        </w:tc>
        <w:tc>
          <w:tcPr>
            <w:tcW w:w="2065" w:type="dxa"/>
            <w:shd w:val="clear" w:color="auto" w:fill="auto"/>
            <w:vAlign w:val="center"/>
          </w:tcPr>
          <w:p>
            <w:pPr>
              <w:widowControl/>
              <w:adjustRightInd/>
              <w:snapToGrid/>
              <w:spacing w:line="240" w:lineRule="auto"/>
              <w:ind w:firstLine="0" w:firstLineChars="0"/>
              <w:jc w:val="center"/>
              <w:textAlignment w:val="center"/>
              <w:rPr>
                <w:sz w:val="21"/>
                <w:szCs w:val="21"/>
              </w:rPr>
            </w:pPr>
          </w:p>
        </w:tc>
        <w:tc>
          <w:tcPr>
            <w:tcW w:w="2293" w:type="dxa"/>
            <w:shd w:val="clear" w:color="auto" w:fill="auto"/>
            <w:vAlign w:val="center"/>
          </w:tcPr>
          <w:p>
            <w:pPr>
              <w:widowControl/>
              <w:adjustRightInd/>
              <w:snapToGrid/>
              <w:spacing w:line="240" w:lineRule="auto"/>
              <w:ind w:firstLine="0" w:firstLineChars="0"/>
              <w:jc w:val="center"/>
              <w:textAlignment w:val="center"/>
              <w:rPr>
                <w:sz w:val="21"/>
                <w:szCs w:val="21"/>
              </w:rPr>
            </w:pPr>
            <w:r>
              <w:rPr>
                <w:rFonts w:hint="eastAsia"/>
                <w:sz w:val="21"/>
                <w:szCs w:val="21"/>
              </w:rPr>
              <w:t>粉尘</w:t>
            </w:r>
          </w:p>
        </w:tc>
        <w:tc>
          <w:tcPr>
            <w:tcW w:w="2370" w:type="dxa"/>
            <w:shd w:val="clear" w:color="auto" w:fill="auto"/>
            <w:vAlign w:val="center"/>
          </w:tcPr>
          <w:p>
            <w:pPr>
              <w:widowControl/>
              <w:adjustRightInd/>
              <w:snapToGrid/>
              <w:spacing w:line="240" w:lineRule="auto"/>
              <w:ind w:firstLine="0" w:firstLineChars="0"/>
              <w:jc w:val="center"/>
              <w:textAlignment w:val="center"/>
              <w:rPr>
                <w:sz w:val="21"/>
                <w:szCs w:val="21"/>
              </w:rPr>
            </w:pPr>
            <w:r>
              <w:rPr>
                <w:sz w:val="21"/>
                <w:szCs w:val="21"/>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312" w:type="dxa"/>
            <w:shd w:val="clear" w:color="auto" w:fill="auto"/>
            <w:vAlign w:val="center"/>
          </w:tcPr>
          <w:p>
            <w:pPr>
              <w:widowControl/>
              <w:adjustRightInd/>
              <w:snapToGrid/>
              <w:spacing w:line="240" w:lineRule="auto"/>
              <w:ind w:firstLine="0" w:firstLineChars="0"/>
              <w:jc w:val="center"/>
              <w:textAlignment w:val="center"/>
              <w:rPr>
                <w:sz w:val="21"/>
                <w:szCs w:val="21"/>
              </w:rPr>
            </w:pPr>
            <w:r>
              <w:rPr>
                <w:rFonts w:hint="eastAsia"/>
                <w:sz w:val="21"/>
                <w:szCs w:val="21"/>
              </w:rPr>
              <w:t>合计</w:t>
            </w:r>
          </w:p>
        </w:tc>
        <w:tc>
          <w:tcPr>
            <w:tcW w:w="2065" w:type="dxa"/>
            <w:shd w:val="clear" w:color="auto" w:fill="auto"/>
            <w:vAlign w:val="center"/>
          </w:tcPr>
          <w:p>
            <w:pPr>
              <w:widowControl/>
              <w:adjustRightInd/>
              <w:snapToGrid/>
              <w:spacing w:line="240" w:lineRule="auto"/>
              <w:ind w:firstLine="0" w:firstLineChars="0"/>
              <w:jc w:val="center"/>
              <w:textAlignment w:val="center"/>
              <w:rPr>
                <w:sz w:val="21"/>
                <w:szCs w:val="21"/>
              </w:rPr>
            </w:pPr>
            <w:r>
              <w:rPr>
                <w:sz w:val="21"/>
                <w:szCs w:val="21"/>
              </w:rPr>
              <w:t>1080</w:t>
            </w:r>
          </w:p>
        </w:tc>
        <w:tc>
          <w:tcPr>
            <w:tcW w:w="2293" w:type="dxa"/>
            <w:shd w:val="clear" w:color="auto" w:fill="auto"/>
            <w:vAlign w:val="center"/>
          </w:tcPr>
          <w:p>
            <w:pPr>
              <w:widowControl/>
              <w:adjustRightInd/>
              <w:snapToGrid/>
              <w:spacing w:line="240" w:lineRule="auto"/>
              <w:ind w:firstLine="0" w:firstLineChars="0"/>
              <w:jc w:val="center"/>
              <w:textAlignment w:val="center"/>
              <w:rPr>
                <w:sz w:val="21"/>
                <w:szCs w:val="21"/>
              </w:rPr>
            </w:pPr>
            <w:r>
              <w:rPr>
                <w:rFonts w:hint="eastAsia"/>
                <w:sz w:val="21"/>
                <w:szCs w:val="21"/>
              </w:rPr>
              <w:t>合计</w:t>
            </w:r>
          </w:p>
        </w:tc>
        <w:tc>
          <w:tcPr>
            <w:tcW w:w="2370" w:type="dxa"/>
            <w:shd w:val="clear" w:color="auto" w:fill="auto"/>
            <w:vAlign w:val="center"/>
          </w:tcPr>
          <w:p>
            <w:pPr>
              <w:widowControl/>
              <w:adjustRightInd/>
              <w:snapToGrid/>
              <w:spacing w:line="240" w:lineRule="auto"/>
              <w:ind w:firstLine="0" w:firstLineChars="0"/>
              <w:jc w:val="center"/>
              <w:textAlignment w:val="center"/>
              <w:rPr>
                <w:sz w:val="21"/>
                <w:szCs w:val="21"/>
              </w:rPr>
            </w:pPr>
            <w:r>
              <w:rPr>
                <w:sz w:val="21"/>
                <w:szCs w:val="21"/>
              </w:rPr>
              <w:t>1080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040" w:type="dxa"/>
            <w:gridSpan w:val="4"/>
            <w:shd w:val="clear" w:color="auto" w:fill="auto"/>
            <w:vAlign w:val="center"/>
          </w:tcPr>
          <w:p>
            <w:pPr>
              <w:widowControl/>
              <w:adjustRightInd/>
              <w:snapToGrid/>
              <w:spacing w:line="240" w:lineRule="auto"/>
              <w:ind w:firstLine="0" w:firstLineChars="0"/>
              <w:jc w:val="center"/>
              <w:textAlignment w:val="center"/>
              <w:rPr>
                <w:sz w:val="21"/>
                <w:szCs w:val="21"/>
                <w:highlight w:val="yellow"/>
              </w:rPr>
            </w:pPr>
            <w:r>
              <w:rPr>
                <w:rFonts w:hint="eastAsia"/>
                <w:sz w:val="21"/>
                <w:szCs w:val="21"/>
              </w:rPr>
              <w:t>注</w:t>
            </w:r>
            <w:r>
              <w:rPr>
                <w:sz w:val="21"/>
                <w:szCs w:val="21"/>
              </w:rPr>
              <w:t>：项目中试</w:t>
            </w:r>
            <w:r>
              <w:rPr>
                <w:rFonts w:hint="eastAsia"/>
                <w:sz w:val="21"/>
                <w:szCs w:val="21"/>
              </w:rPr>
              <w:t>产品</w:t>
            </w:r>
            <w:r>
              <w:rPr>
                <w:sz w:val="21"/>
                <w:szCs w:val="21"/>
              </w:rPr>
              <w:t>方案为</w:t>
            </w:r>
            <w:r>
              <w:rPr>
                <w:rFonts w:hint="eastAsia"/>
                <w:sz w:val="21"/>
                <w:szCs w:val="21"/>
              </w:rPr>
              <w:t>100</w:t>
            </w:r>
            <w:r>
              <w:rPr>
                <w:sz w:val="21"/>
                <w:szCs w:val="21"/>
              </w:rPr>
              <w:t>kg-200kg/d，本次评价以最大值</w:t>
            </w:r>
            <w:r>
              <w:rPr>
                <w:rFonts w:hint="eastAsia"/>
                <w:sz w:val="21"/>
                <w:szCs w:val="21"/>
              </w:rPr>
              <w:t>200</w:t>
            </w:r>
            <w:r>
              <w:rPr>
                <w:sz w:val="21"/>
                <w:szCs w:val="21"/>
              </w:rPr>
              <w:t>kg/d进行计算</w:t>
            </w:r>
          </w:p>
        </w:tc>
      </w:tr>
    </w:tbl>
    <w:p>
      <w:pPr>
        <w:spacing w:line="240" w:lineRule="auto"/>
        <w:ind w:firstLine="0" w:firstLineChars="0"/>
        <w:jc w:val="center"/>
        <w:rPr>
          <w:highlight w:val="yellow"/>
        </w:rPr>
      </w:pPr>
      <w:r>
        <w:object>
          <v:shape id="_x0000_i1028" o:spt="75" type="#_x0000_t75" style="height:135.3pt;width:345.95pt;" o:ole="t" filled="f" coordsize="21600,21600">
            <v:path/>
            <v:fill on="f" focussize="0,0"/>
            <v:stroke/>
            <v:imagedata r:id="rId82" o:title=""/>
            <o:lock v:ext="edit" aspectratio="t"/>
            <w10:wrap type="none"/>
            <w10:anchorlock/>
          </v:shape>
          <o:OLEObject Type="Embed" ProgID="Visio.Drawing.11" ShapeID="_x0000_i1028" DrawAspect="Content" ObjectID="_1468075728" r:id="rId81">
            <o:LockedField>false</o:LockedField>
          </o:OLEObject>
        </w:object>
      </w:r>
    </w:p>
    <w:p>
      <w:pPr>
        <w:pStyle w:val="93"/>
      </w:pPr>
      <w:r>
        <w:rPr>
          <w:rFonts w:hint="eastAsia"/>
        </w:rPr>
        <w:t>图3.2-4  项目</w:t>
      </w:r>
      <w:r>
        <w:t>物料平衡图</w:t>
      </w:r>
      <w:r>
        <w:rPr>
          <w:rFonts w:hint="eastAsia"/>
        </w:rPr>
        <w:t xml:space="preserve">   单位</w:t>
      </w:r>
      <w:r>
        <w:t>：t/a</w:t>
      </w:r>
    </w:p>
    <w:p>
      <w:pPr>
        <w:pStyle w:val="3"/>
      </w:pPr>
      <w:bookmarkStart w:id="72" w:name="_Toc82502949"/>
      <w:bookmarkStart w:id="73" w:name="_Toc488102162"/>
      <w:r>
        <w:rPr>
          <w:rFonts w:hint="eastAsia"/>
        </w:rPr>
        <w:t>污染源强核算</w:t>
      </w:r>
      <w:bookmarkEnd w:id="72"/>
      <w:bookmarkEnd w:id="73"/>
    </w:p>
    <w:p>
      <w:pPr>
        <w:pStyle w:val="4"/>
      </w:pPr>
      <w:r>
        <w:rPr>
          <w:rFonts w:hint="eastAsia"/>
        </w:rPr>
        <w:t>施工期</w:t>
      </w:r>
      <w:r>
        <w:t>污染</w:t>
      </w:r>
      <w:r>
        <w:rPr>
          <w:rFonts w:hint="eastAsia"/>
        </w:rPr>
        <w:t>物源强</w:t>
      </w:r>
      <w:r>
        <w:t>核算</w:t>
      </w:r>
    </w:p>
    <w:p>
      <w:pPr>
        <w:ind w:firstLine="480"/>
      </w:pPr>
      <w:r>
        <w:rPr>
          <w:rFonts w:hint="eastAsia"/>
        </w:rPr>
        <w:t>项目租赁已建成厂房，无土建工程，施工期的主要环境影响为设备安装产生的废气、固废、噪声以及</w:t>
      </w:r>
      <w:r>
        <w:t>施工人员生活污水</w:t>
      </w:r>
      <w:r>
        <w:rPr>
          <w:rFonts w:hint="eastAsia"/>
        </w:rPr>
        <w:t>。</w:t>
      </w:r>
    </w:p>
    <w:p>
      <w:pPr>
        <w:pStyle w:val="5"/>
      </w:pPr>
      <w:r>
        <w:rPr>
          <w:rFonts w:hint="eastAsia"/>
        </w:rPr>
        <w:t>施工</w:t>
      </w:r>
      <w:r>
        <w:t>废气</w:t>
      </w:r>
    </w:p>
    <w:p>
      <w:pPr>
        <w:ind w:firstLine="480"/>
      </w:pPr>
      <w:r>
        <w:rPr>
          <w:rFonts w:hint="eastAsia"/>
        </w:rPr>
        <w:t>施工期环境空气污染源主要有车间设备安装扬尘和运输车辆扬尘及尾气，本项目在设备装修初期，对厂房进行清扫整理时，会产生少量扬尘，但整理厂房主要在车间内进行，且可通过洒水抑尘，降低扬尘污染，对周围环境空气影响较小。</w:t>
      </w:r>
    </w:p>
    <w:p>
      <w:pPr>
        <w:ind w:firstLine="480"/>
      </w:pPr>
      <w:r>
        <w:rPr>
          <w:rFonts w:hint="eastAsia"/>
        </w:rPr>
        <w:t>运输车辆扬尘，车辆行驶造成的道路扬尘，属无组织排放。不利气象条件下，如大风风速≥3.0m/s时，上述颗粒物就会扬起进入大气环境中，对周围环境空气质量造成影响。</w:t>
      </w:r>
    </w:p>
    <w:p>
      <w:pPr>
        <w:ind w:firstLine="480"/>
      </w:pPr>
      <w:r>
        <w:rPr>
          <w:rFonts w:hint="eastAsia"/>
        </w:rPr>
        <w:t>运输车辆排放的汽车尾气，主要污染物为NO</w:t>
      </w:r>
      <w:r>
        <w:rPr>
          <w:rFonts w:hint="eastAsia"/>
          <w:vertAlign w:val="subscript"/>
        </w:rPr>
        <w:t>2</w:t>
      </w:r>
      <w:r>
        <w:rPr>
          <w:rFonts w:hint="eastAsia"/>
        </w:rPr>
        <w:t>、CO，其产生量与施工机械的选用、机械性能和维护水平有关，属移动点源污染，是暂时和间断性的。</w:t>
      </w:r>
    </w:p>
    <w:p>
      <w:pPr>
        <w:pStyle w:val="5"/>
      </w:pPr>
      <w:r>
        <w:rPr>
          <w:rFonts w:hint="eastAsia"/>
        </w:rPr>
        <w:t>施工</w:t>
      </w:r>
      <w:r>
        <w:t>废水</w:t>
      </w:r>
    </w:p>
    <w:p>
      <w:pPr>
        <w:ind w:firstLine="480"/>
      </w:pPr>
      <w:r>
        <w:t>本项目施工期</w:t>
      </w:r>
      <w:r>
        <w:rPr>
          <w:rFonts w:hint="eastAsia"/>
        </w:rPr>
        <w:t>无</w:t>
      </w:r>
      <w:r>
        <w:t>土建工程，无生产废水产生，施工期废水主要为生活废水。</w:t>
      </w:r>
    </w:p>
    <w:p>
      <w:pPr>
        <w:tabs>
          <w:tab w:val="left" w:pos="898"/>
        </w:tabs>
        <w:ind w:firstLine="470" w:firstLineChars="196"/>
        <w:rPr>
          <w:rFonts w:hAnsi="宋体"/>
          <w:kern w:val="0"/>
        </w:rPr>
      </w:pPr>
      <w:r>
        <w:rPr>
          <w:rFonts w:hAnsi="宋体"/>
          <w:lang w:val="zh-CN"/>
        </w:rPr>
        <w:t>本项目周围配套良好，</w:t>
      </w:r>
      <w:r>
        <w:rPr>
          <w:rFonts w:hint="eastAsia" w:hAnsi="宋体"/>
          <w:lang w:val="zh-CN"/>
        </w:rPr>
        <w:t>施工期</w:t>
      </w:r>
      <w:r>
        <w:rPr>
          <w:rFonts w:hAnsi="宋体"/>
          <w:lang w:val="zh-CN"/>
        </w:rPr>
        <w:t>不设置施工营地，施工期</w:t>
      </w:r>
      <w:r>
        <w:rPr>
          <w:rFonts w:hint="eastAsia"/>
        </w:rPr>
        <w:t>高峰</w:t>
      </w:r>
      <w:r>
        <w:t>施工人数约</w:t>
      </w:r>
      <w:r>
        <w:rPr>
          <w:rFonts w:hint="eastAsia"/>
        </w:rPr>
        <w:t>为</w:t>
      </w:r>
      <w:r>
        <w:t>15人。根据</w:t>
      </w:r>
      <w:r>
        <w:rPr>
          <w:rFonts w:hint="eastAsia"/>
        </w:rPr>
        <w:t>《行业</w:t>
      </w:r>
      <w:r>
        <w:t>用水定额</w:t>
      </w:r>
      <w:r>
        <w:rPr>
          <w:rFonts w:hint="eastAsia"/>
        </w:rPr>
        <w:t>》（DB</w:t>
      </w:r>
      <w:r>
        <w:t>61/T943-2020</w:t>
      </w:r>
      <w:r>
        <w:rPr>
          <w:rFonts w:hint="eastAsia"/>
        </w:rPr>
        <w:t>）</w:t>
      </w:r>
      <w:r>
        <w:t>，用水量</w:t>
      </w:r>
      <w:r>
        <w:rPr>
          <w:rFonts w:hint="eastAsia"/>
        </w:rPr>
        <w:t>以</w:t>
      </w:r>
      <w:r>
        <w:t>35L/人</w:t>
      </w:r>
      <w:r>
        <w:rPr>
          <w:rFonts w:hint="eastAsia"/>
        </w:rPr>
        <w:t>·</w:t>
      </w:r>
      <w:r>
        <w:t>d</w:t>
      </w:r>
      <w:r>
        <w:rPr>
          <w:rFonts w:hint="eastAsia"/>
        </w:rPr>
        <w:t>计</w:t>
      </w:r>
      <w:r>
        <w:t>，用水</w:t>
      </w:r>
      <w:r>
        <w:rPr>
          <w:rFonts w:hint="eastAsia"/>
        </w:rPr>
        <w:t>量</w:t>
      </w:r>
      <w:r>
        <w:t>0.52m</w:t>
      </w:r>
      <w:r>
        <w:rPr>
          <w:vertAlign w:val="superscript"/>
        </w:rPr>
        <w:t>3</w:t>
      </w:r>
      <w:r>
        <w:t>/d，生活污水产生量按日用水量的0.85计，施工期生活污水最大排放量为0.45m</w:t>
      </w:r>
      <w:r>
        <w:rPr>
          <w:vertAlign w:val="superscript"/>
        </w:rPr>
        <w:t>3</w:t>
      </w:r>
      <w:r>
        <w:t>/d。生活污水中的主要污染物为COD、SS和氨氮。</w:t>
      </w:r>
      <w:r>
        <w:rPr>
          <w:rFonts w:hint="eastAsia"/>
        </w:rPr>
        <w:t>根据同类项目类比，</w:t>
      </w:r>
      <w:r>
        <w:rPr>
          <w:rFonts w:hAnsi="宋体"/>
          <w:kern w:val="0"/>
        </w:rPr>
        <w:t>施工期生活污水及主要污染物产生量见表</w:t>
      </w:r>
      <w:r>
        <w:rPr>
          <w:kern w:val="0"/>
        </w:rPr>
        <w:t>3.</w:t>
      </w:r>
      <w:r>
        <w:rPr>
          <w:rFonts w:hint="eastAsia"/>
          <w:kern w:val="0"/>
        </w:rPr>
        <w:t>3</w:t>
      </w:r>
      <w:r>
        <w:rPr>
          <w:kern w:val="0"/>
        </w:rPr>
        <w:t>-1</w:t>
      </w:r>
      <w:r>
        <w:rPr>
          <w:rFonts w:hint="eastAsia" w:hAnsi="宋体"/>
          <w:kern w:val="0"/>
        </w:rPr>
        <w:t>，生活</w:t>
      </w:r>
      <w:r>
        <w:rPr>
          <w:rFonts w:hAnsi="宋体"/>
          <w:kern w:val="0"/>
        </w:rPr>
        <w:t>废水依托厂区已</w:t>
      </w:r>
      <w:r>
        <w:rPr>
          <w:rFonts w:hint="eastAsia" w:hAnsi="宋体"/>
          <w:kern w:val="0"/>
        </w:rPr>
        <w:t>建成</w:t>
      </w:r>
      <w:r>
        <w:rPr>
          <w:rFonts w:hAnsi="宋体"/>
          <w:kern w:val="0"/>
        </w:rPr>
        <w:t>的化粪池处理后排入</w:t>
      </w:r>
      <w:r>
        <w:rPr>
          <w:rFonts w:hint="eastAsia" w:hAnsi="宋体"/>
          <w:kern w:val="0"/>
        </w:rPr>
        <w:t>吕河镇</w:t>
      </w:r>
      <w:r>
        <w:rPr>
          <w:rFonts w:hAnsi="宋体"/>
          <w:kern w:val="0"/>
        </w:rPr>
        <w:t>污水处理厂。</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施工期废水排污</w:t>
      </w:r>
      <w:r>
        <w:rPr>
          <w:rFonts w:hint="eastAsia"/>
        </w:rPr>
        <w:t>情况</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2195"/>
        <w:gridCol w:w="1477"/>
        <w:gridCol w:w="1625"/>
        <w:gridCol w:w="1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15" w:type="dxa"/>
            <w:vAlign w:val="center"/>
          </w:tcPr>
          <w:p>
            <w:pPr>
              <w:pStyle w:val="92"/>
            </w:pPr>
            <w:r>
              <w:t>污染物</w:t>
            </w:r>
          </w:p>
        </w:tc>
        <w:tc>
          <w:tcPr>
            <w:tcW w:w="2195" w:type="dxa"/>
            <w:vAlign w:val="center"/>
          </w:tcPr>
          <w:p>
            <w:pPr>
              <w:pStyle w:val="92"/>
            </w:pPr>
            <w:r>
              <w:t>废水量（m</w:t>
            </w:r>
            <w:r>
              <w:rPr>
                <w:vertAlign w:val="superscript"/>
              </w:rPr>
              <w:t>3</w:t>
            </w:r>
            <w:r>
              <w:t>/d）</w:t>
            </w:r>
          </w:p>
        </w:tc>
        <w:tc>
          <w:tcPr>
            <w:tcW w:w="1477" w:type="dxa"/>
            <w:vAlign w:val="center"/>
          </w:tcPr>
          <w:p>
            <w:pPr>
              <w:pStyle w:val="92"/>
              <w:rPr>
                <w:vertAlign w:val="subscript"/>
              </w:rPr>
            </w:pPr>
            <w:r>
              <w:t>CODc</w:t>
            </w:r>
            <w:r>
              <w:rPr>
                <w:vertAlign w:val="subscript"/>
              </w:rPr>
              <w:t>r</w:t>
            </w:r>
          </w:p>
        </w:tc>
        <w:tc>
          <w:tcPr>
            <w:tcW w:w="1625" w:type="dxa"/>
            <w:vAlign w:val="center"/>
          </w:tcPr>
          <w:p>
            <w:pPr>
              <w:pStyle w:val="92"/>
            </w:pPr>
            <w:r>
              <w:t>SS</w:t>
            </w:r>
          </w:p>
        </w:tc>
        <w:tc>
          <w:tcPr>
            <w:tcW w:w="1828" w:type="dxa"/>
            <w:vAlign w:val="center"/>
          </w:tcPr>
          <w:p>
            <w:pPr>
              <w:pStyle w:val="92"/>
            </w:pPr>
            <w: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15" w:type="dxa"/>
            <w:vAlign w:val="center"/>
          </w:tcPr>
          <w:p>
            <w:pPr>
              <w:pStyle w:val="92"/>
              <w:rPr>
                <w:rFonts w:hAnsi="Times New Roman"/>
                <w:szCs w:val="21"/>
              </w:rPr>
            </w:pPr>
            <w:r>
              <w:rPr>
                <w:rFonts w:hAnsi="Times New Roman"/>
                <w:szCs w:val="21"/>
              </w:rPr>
              <w:t>浓度（mg/L）</w:t>
            </w:r>
          </w:p>
        </w:tc>
        <w:tc>
          <w:tcPr>
            <w:tcW w:w="2195" w:type="dxa"/>
            <w:vAlign w:val="center"/>
          </w:tcPr>
          <w:p>
            <w:pPr>
              <w:pStyle w:val="92"/>
              <w:rPr>
                <w:rFonts w:hAnsi="Times New Roman"/>
                <w:szCs w:val="21"/>
              </w:rPr>
            </w:pPr>
            <w:r>
              <w:rPr>
                <w:rFonts w:hAnsi="Times New Roman"/>
                <w:szCs w:val="21"/>
              </w:rPr>
              <w:t>/</w:t>
            </w:r>
          </w:p>
        </w:tc>
        <w:tc>
          <w:tcPr>
            <w:tcW w:w="1477" w:type="dxa"/>
            <w:vAlign w:val="center"/>
          </w:tcPr>
          <w:p>
            <w:pPr>
              <w:pStyle w:val="92"/>
              <w:rPr>
                <w:rFonts w:hAnsi="Times New Roman"/>
                <w:szCs w:val="21"/>
              </w:rPr>
            </w:pPr>
            <w:r>
              <w:rPr>
                <w:rFonts w:hAnsi="Times New Roman"/>
                <w:szCs w:val="21"/>
              </w:rPr>
              <w:t>120</w:t>
            </w:r>
          </w:p>
        </w:tc>
        <w:tc>
          <w:tcPr>
            <w:tcW w:w="1625" w:type="dxa"/>
            <w:vAlign w:val="center"/>
          </w:tcPr>
          <w:p>
            <w:pPr>
              <w:pStyle w:val="92"/>
              <w:rPr>
                <w:rFonts w:hAnsi="Times New Roman"/>
                <w:szCs w:val="21"/>
              </w:rPr>
            </w:pPr>
            <w:r>
              <w:rPr>
                <w:rFonts w:hAnsi="Times New Roman"/>
                <w:szCs w:val="21"/>
              </w:rPr>
              <w:t>80</w:t>
            </w:r>
          </w:p>
        </w:tc>
        <w:tc>
          <w:tcPr>
            <w:tcW w:w="1828" w:type="dxa"/>
            <w:vAlign w:val="center"/>
          </w:tcPr>
          <w:p>
            <w:pPr>
              <w:pStyle w:val="92"/>
              <w:rPr>
                <w:rFonts w:hAnsi="Times New Roman"/>
                <w:szCs w:val="21"/>
              </w:rPr>
            </w:pPr>
            <w:r>
              <w:rPr>
                <w:rFonts w:hAnsi="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15" w:type="dxa"/>
            <w:vAlign w:val="center"/>
          </w:tcPr>
          <w:p>
            <w:pPr>
              <w:pStyle w:val="92"/>
              <w:rPr>
                <w:rFonts w:hAnsi="Times New Roman"/>
                <w:szCs w:val="21"/>
              </w:rPr>
            </w:pPr>
            <w:r>
              <w:rPr>
                <w:rFonts w:hAnsi="Times New Roman"/>
                <w:szCs w:val="21"/>
              </w:rPr>
              <w:t>产生量</w:t>
            </w:r>
            <w:r>
              <w:rPr>
                <w:rFonts w:hint="eastAsia" w:hAnsi="Times New Roman"/>
                <w:szCs w:val="21"/>
              </w:rPr>
              <w:t>（kg/d）</w:t>
            </w:r>
          </w:p>
        </w:tc>
        <w:tc>
          <w:tcPr>
            <w:tcW w:w="2195" w:type="dxa"/>
            <w:vAlign w:val="center"/>
          </w:tcPr>
          <w:p>
            <w:pPr>
              <w:pStyle w:val="92"/>
              <w:rPr>
                <w:rFonts w:hAnsi="Times New Roman"/>
                <w:szCs w:val="21"/>
              </w:rPr>
            </w:pPr>
            <w:r>
              <w:rPr>
                <w:rFonts w:hAnsi="Times New Roman"/>
                <w:szCs w:val="21"/>
              </w:rPr>
              <w:t>0.45</w:t>
            </w:r>
          </w:p>
        </w:tc>
        <w:tc>
          <w:tcPr>
            <w:tcW w:w="1477" w:type="dxa"/>
            <w:vAlign w:val="center"/>
          </w:tcPr>
          <w:p>
            <w:pPr>
              <w:pStyle w:val="92"/>
              <w:rPr>
                <w:rFonts w:hAnsi="Times New Roman"/>
                <w:szCs w:val="21"/>
              </w:rPr>
            </w:pPr>
            <w:r>
              <w:rPr>
                <w:rFonts w:hAnsi="Times New Roman"/>
                <w:szCs w:val="21"/>
              </w:rPr>
              <w:t>0.05</w:t>
            </w:r>
          </w:p>
        </w:tc>
        <w:tc>
          <w:tcPr>
            <w:tcW w:w="1625" w:type="dxa"/>
            <w:vAlign w:val="center"/>
          </w:tcPr>
          <w:p>
            <w:pPr>
              <w:pStyle w:val="92"/>
              <w:rPr>
                <w:rFonts w:hAnsi="Times New Roman"/>
                <w:szCs w:val="21"/>
              </w:rPr>
            </w:pPr>
            <w:r>
              <w:rPr>
                <w:rFonts w:hint="eastAsia" w:hAnsi="Times New Roman"/>
                <w:szCs w:val="21"/>
              </w:rPr>
              <w:t>0.04</w:t>
            </w:r>
          </w:p>
        </w:tc>
        <w:tc>
          <w:tcPr>
            <w:tcW w:w="1828" w:type="dxa"/>
            <w:vAlign w:val="center"/>
          </w:tcPr>
          <w:p>
            <w:pPr>
              <w:pStyle w:val="92"/>
              <w:rPr>
                <w:rFonts w:hAnsi="Times New Roman"/>
                <w:szCs w:val="21"/>
              </w:rPr>
            </w:pPr>
            <w:r>
              <w:rPr>
                <w:rFonts w:hint="eastAsia" w:hAnsi="Times New Roman"/>
                <w:szCs w:val="21"/>
              </w:rPr>
              <w:t>0.005</w:t>
            </w:r>
          </w:p>
        </w:tc>
      </w:tr>
    </w:tbl>
    <w:p>
      <w:pPr>
        <w:pStyle w:val="5"/>
      </w:pPr>
      <w:r>
        <w:rPr>
          <w:rFonts w:hint="eastAsia"/>
        </w:rPr>
        <w:t>施工</w:t>
      </w:r>
      <w:r>
        <w:t>噪声</w:t>
      </w:r>
    </w:p>
    <w:p>
      <w:pPr>
        <w:pStyle w:val="87"/>
        <w:ind w:firstLine="480"/>
        <w:rPr>
          <w:lang w:val="en-GB"/>
        </w:rPr>
      </w:pPr>
      <w:r>
        <w:rPr>
          <w:rFonts w:hint="eastAsia"/>
          <w:lang w:val="en-GB"/>
        </w:rPr>
        <w:t>施工期噪声主要为运输车辆噪声和施工机械（室内设备安装）噪声，污染源强约为85~95dB（A），项目施工机械源强前表3.3-2。</w:t>
      </w:r>
    </w:p>
    <w:p>
      <w:pPr>
        <w:spacing w:line="240" w:lineRule="auto"/>
        <w:ind w:firstLine="422"/>
        <w:jc w:val="center"/>
        <w:rPr>
          <w:b/>
          <w:sz w:val="21"/>
          <w:szCs w:val="21"/>
        </w:rPr>
      </w:pPr>
      <w:bookmarkStart w:id="74" w:name="_Ref25682435"/>
      <w:r>
        <w:rPr>
          <w:rFonts w:hint="eastAsia"/>
          <w:b/>
          <w:sz w:val="21"/>
          <w:szCs w:val="21"/>
        </w:rPr>
        <w:t>表</w:t>
      </w:r>
      <w:r>
        <w:rPr>
          <w:b/>
          <w:sz w:val="21"/>
          <w:szCs w:val="21"/>
        </w:rPr>
        <w:fldChar w:fldCharType="begin"/>
      </w:r>
      <w:r>
        <w:rPr>
          <w:b/>
          <w:sz w:val="21"/>
          <w:szCs w:val="21"/>
        </w:rPr>
        <w:instrText xml:space="preserve"> </w:instrText>
      </w:r>
      <w:r>
        <w:rPr>
          <w:rFonts w:hint="eastAsia"/>
          <w:b/>
          <w:sz w:val="21"/>
          <w:szCs w:val="21"/>
        </w:rPr>
        <w:instrText xml:space="preserve">STYLEREF 2 \s</w:instrText>
      </w:r>
      <w:r>
        <w:rPr>
          <w:b/>
          <w:sz w:val="21"/>
          <w:szCs w:val="21"/>
        </w:rPr>
        <w:instrText xml:space="preserve"> </w:instrText>
      </w:r>
      <w:r>
        <w:rPr>
          <w:b/>
          <w:sz w:val="21"/>
          <w:szCs w:val="21"/>
        </w:rPr>
        <w:fldChar w:fldCharType="separate"/>
      </w:r>
      <w:r>
        <w:rPr>
          <w:b/>
          <w:sz w:val="21"/>
          <w:szCs w:val="21"/>
        </w:rPr>
        <w:t>3.3</w:t>
      </w:r>
      <w:r>
        <w:rPr>
          <w:b/>
          <w:sz w:val="21"/>
          <w:szCs w:val="21"/>
        </w:rPr>
        <w:fldChar w:fldCharType="end"/>
      </w:r>
      <w:r>
        <w:rPr>
          <w:b/>
          <w:sz w:val="21"/>
          <w:szCs w:val="21"/>
        </w:rPr>
        <w:noBreakHyphen/>
      </w:r>
      <w:r>
        <w:rPr>
          <w:b/>
          <w:sz w:val="21"/>
          <w:szCs w:val="21"/>
        </w:rPr>
        <w:fldChar w:fldCharType="begin"/>
      </w:r>
      <w:r>
        <w:rPr>
          <w:b/>
          <w:sz w:val="21"/>
          <w:szCs w:val="21"/>
        </w:rPr>
        <w:instrText xml:space="preserve"> </w:instrText>
      </w:r>
      <w:r>
        <w:rPr>
          <w:rFonts w:hint="eastAsia"/>
          <w:b/>
          <w:sz w:val="21"/>
          <w:szCs w:val="21"/>
        </w:rPr>
        <w:instrText xml:space="preserve">SEQ 表 \* ARABIC \s 2</w:instrText>
      </w:r>
      <w:r>
        <w:rPr>
          <w:b/>
          <w:sz w:val="21"/>
          <w:szCs w:val="21"/>
        </w:rPr>
        <w:instrText xml:space="preserve"> </w:instrText>
      </w:r>
      <w:r>
        <w:rPr>
          <w:b/>
          <w:sz w:val="21"/>
          <w:szCs w:val="21"/>
        </w:rPr>
        <w:fldChar w:fldCharType="separate"/>
      </w:r>
      <w:r>
        <w:rPr>
          <w:b/>
          <w:sz w:val="21"/>
          <w:szCs w:val="21"/>
        </w:rPr>
        <w:t>2</w:t>
      </w:r>
      <w:r>
        <w:rPr>
          <w:b/>
          <w:sz w:val="21"/>
          <w:szCs w:val="21"/>
        </w:rPr>
        <w:fldChar w:fldCharType="end"/>
      </w:r>
      <w:bookmarkEnd w:id="74"/>
      <w:r>
        <w:rPr>
          <w:b/>
          <w:sz w:val="21"/>
          <w:szCs w:val="21"/>
        </w:rPr>
        <w:t xml:space="preserve">  </w:t>
      </w:r>
      <w:r>
        <w:rPr>
          <w:rFonts w:hint="eastAsia"/>
          <w:b/>
          <w:sz w:val="21"/>
          <w:szCs w:val="21"/>
        </w:rPr>
        <w:t>施工机械设备噪声源强</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498"/>
        <w:gridCol w:w="3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704" w:type="dxa"/>
            <w:vAlign w:val="center"/>
          </w:tcPr>
          <w:p>
            <w:pPr>
              <w:adjustRightInd/>
              <w:snapToGrid/>
              <w:spacing w:line="240" w:lineRule="auto"/>
              <w:ind w:firstLine="0" w:firstLineChars="0"/>
              <w:jc w:val="center"/>
              <w:rPr>
                <w:kern w:val="0"/>
                <w:sz w:val="21"/>
                <w:szCs w:val="24"/>
              </w:rPr>
            </w:pPr>
            <w:r>
              <w:rPr>
                <w:kern w:val="0"/>
                <w:sz w:val="21"/>
                <w:szCs w:val="24"/>
              </w:rPr>
              <w:t>序号</w:t>
            </w:r>
          </w:p>
        </w:tc>
        <w:tc>
          <w:tcPr>
            <w:tcW w:w="3498" w:type="dxa"/>
            <w:vAlign w:val="center"/>
          </w:tcPr>
          <w:p>
            <w:pPr>
              <w:adjustRightInd/>
              <w:snapToGrid/>
              <w:spacing w:line="240" w:lineRule="auto"/>
              <w:ind w:firstLine="0" w:firstLineChars="0"/>
              <w:jc w:val="center"/>
              <w:rPr>
                <w:kern w:val="0"/>
                <w:sz w:val="21"/>
                <w:szCs w:val="24"/>
              </w:rPr>
            </w:pPr>
            <w:r>
              <w:rPr>
                <w:kern w:val="0"/>
                <w:sz w:val="21"/>
                <w:szCs w:val="24"/>
              </w:rPr>
              <w:t>设备名称</w:t>
            </w:r>
          </w:p>
        </w:tc>
        <w:tc>
          <w:tcPr>
            <w:tcW w:w="3838" w:type="dxa"/>
            <w:vAlign w:val="center"/>
          </w:tcPr>
          <w:p>
            <w:pPr>
              <w:adjustRightInd/>
              <w:snapToGrid/>
              <w:spacing w:line="240" w:lineRule="auto"/>
              <w:ind w:firstLine="0" w:firstLineChars="0"/>
              <w:jc w:val="center"/>
              <w:rPr>
                <w:kern w:val="0"/>
                <w:sz w:val="21"/>
                <w:szCs w:val="24"/>
              </w:rPr>
            </w:pPr>
            <w:r>
              <w:rPr>
                <w:kern w:val="0"/>
                <w:sz w:val="21"/>
                <w:szCs w:val="24"/>
              </w:rPr>
              <w:t>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704" w:type="dxa"/>
            <w:vAlign w:val="center"/>
          </w:tcPr>
          <w:p>
            <w:pPr>
              <w:adjustRightInd/>
              <w:snapToGrid/>
              <w:spacing w:line="240" w:lineRule="auto"/>
              <w:ind w:firstLine="0" w:firstLineChars="0"/>
              <w:jc w:val="center"/>
              <w:rPr>
                <w:kern w:val="0"/>
                <w:sz w:val="21"/>
                <w:szCs w:val="24"/>
              </w:rPr>
            </w:pPr>
            <w:r>
              <w:rPr>
                <w:kern w:val="0"/>
                <w:sz w:val="21"/>
                <w:szCs w:val="24"/>
              </w:rPr>
              <w:t>1</w:t>
            </w:r>
          </w:p>
        </w:tc>
        <w:tc>
          <w:tcPr>
            <w:tcW w:w="3498" w:type="dxa"/>
            <w:vAlign w:val="center"/>
          </w:tcPr>
          <w:p>
            <w:pPr>
              <w:adjustRightInd/>
              <w:snapToGrid/>
              <w:spacing w:line="240" w:lineRule="auto"/>
              <w:ind w:firstLine="0" w:firstLineChars="0"/>
              <w:jc w:val="center"/>
              <w:rPr>
                <w:kern w:val="0"/>
                <w:sz w:val="21"/>
                <w:szCs w:val="24"/>
              </w:rPr>
            </w:pPr>
            <w:r>
              <w:rPr>
                <w:rFonts w:hint="eastAsia"/>
                <w:kern w:val="0"/>
                <w:sz w:val="21"/>
                <w:szCs w:val="24"/>
              </w:rPr>
              <w:t>运输</w:t>
            </w:r>
            <w:r>
              <w:rPr>
                <w:kern w:val="0"/>
                <w:sz w:val="21"/>
                <w:szCs w:val="24"/>
              </w:rPr>
              <w:t>车辆</w:t>
            </w:r>
          </w:p>
        </w:tc>
        <w:tc>
          <w:tcPr>
            <w:tcW w:w="3838" w:type="dxa"/>
            <w:vAlign w:val="center"/>
          </w:tcPr>
          <w:p>
            <w:pPr>
              <w:adjustRightInd/>
              <w:snapToGrid/>
              <w:spacing w:line="240" w:lineRule="auto"/>
              <w:ind w:firstLine="0" w:firstLineChars="0"/>
              <w:jc w:val="center"/>
              <w:rPr>
                <w:kern w:val="0"/>
                <w:sz w:val="21"/>
                <w:szCs w:val="24"/>
              </w:rPr>
            </w:pPr>
            <w:r>
              <w:rPr>
                <w:kern w:val="0"/>
                <w:sz w:val="21"/>
                <w:szCs w:val="24"/>
              </w:rPr>
              <w:t>75~</w:t>
            </w:r>
            <w:r>
              <w:rPr>
                <w:rFonts w:hint="eastAsia"/>
                <w:kern w:val="0"/>
                <w:sz w:val="21"/>
                <w:szCs w:val="24"/>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704" w:type="dxa"/>
            <w:shd w:val="clear" w:color="auto" w:fill="auto"/>
            <w:vAlign w:val="center"/>
          </w:tcPr>
          <w:p>
            <w:pPr>
              <w:adjustRightInd/>
              <w:snapToGrid/>
              <w:spacing w:line="240" w:lineRule="auto"/>
              <w:ind w:firstLine="0" w:firstLineChars="0"/>
              <w:jc w:val="center"/>
              <w:rPr>
                <w:kern w:val="0"/>
                <w:sz w:val="21"/>
                <w:szCs w:val="24"/>
              </w:rPr>
            </w:pPr>
            <w:r>
              <w:rPr>
                <w:kern w:val="0"/>
                <w:sz w:val="21"/>
                <w:szCs w:val="24"/>
              </w:rPr>
              <w:t>2</w:t>
            </w:r>
          </w:p>
        </w:tc>
        <w:tc>
          <w:tcPr>
            <w:tcW w:w="3498" w:type="dxa"/>
            <w:vAlign w:val="center"/>
          </w:tcPr>
          <w:p>
            <w:pPr>
              <w:adjustRightInd/>
              <w:snapToGrid/>
              <w:spacing w:line="240" w:lineRule="auto"/>
              <w:ind w:firstLine="0" w:firstLineChars="0"/>
              <w:jc w:val="center"/>
              <w:rPr>
                <w:kern w:val="0"/>
                <w:sz w:val="21"/>
                <w:szCs w:val="24"/>
              </w:rPr>
            </w:pPr>
            <w:r>
              <w:rPr>
                <w:sz w:val="21"/>
                <w:szCs w:val="21"/>
              </w:rPr>
              <w:t>切割机</w:t>
            </w:r>
          </w:p>
        </w:tc>
        <w:tc>
          <w:tcPr>
            <w:tcW w:w="3838" w:type="dxa"/>
            <w:vAlign w:val="center"/>
          </w:tcPr>
          <w:p>
            <w:pPr>
              <w:adjustRightInd/>
              <w:snapToGrid/>
              <w:spacing w:line="240" w:lineRule="auto"/>
              <w:ind w:firstLine="0" w:firstLineChars="0"/>
              <w:jc w:val="center"/>
              <w:rPr>
                <w:kern w:val="0"/>
                <w:sz w:val="21"/>
                <w:szCs w:val="24"/>
              </w:rPr>
            </w:pPr>
            <w:r>
              <w:rPr>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704" w:type="dxa"/>
            <w:shd w:val="clear" w:color="auto" w:fill="auto"/>
            <w:vAlign w:val="center"/>
          </w:tcPr>
          <w:p>
            <w:pPr>
              <w:adjustRightInd/>
              <w:snapToGrid/>
              <w:spacing w:line="240" w:lineRule="auto"/>
              <w:ind w:firstLine="0" w:firstLineChars="0"/>
              <w:jc w:val="center"/>
              <w:rPr>
                <w:kern w:val="0"/>
                <w:sz w:val="21"/>
                <w:szCs w:val="24"/>
              </w:rPr>
            </w:pPr>
            <w:r>
              <w:rPr>
                <w:kern w:val="0"/>
                <w:sz w:val="21"/>
                <w:szCs w:val="24"/>
              </w:rPr>
              <w:t>3</w:t>
            </w:r>
          </w:p>
        </w:tc>
        <w:tc>
          <w:tcPr>
            <w:tcW w:w="3498" w:type="dxa"/>
            <w:shd w:val="clear" w:color="auto" w:fill="auto"/>
            <w:vAlign w:val="center"/>
          </w:tcPr>
          <w:p>
            <w:pPr>
              <w:adjustRightInd/>
              <w:snapToGrid/>
              <w:spacing w:line="240" w:lineRule="auto"/>
              <w:ind w:firstLine="0" w:firstLineChars="0"/>
              <w:jc w:val="center"/>
              <w:rPr>
                <w:kern w:val="0"/>
                <w:sz w:val="21"/>
                <w:szCs w:val="24"/>
              </w:rPr>
            </w:pPr>
            <w:r>
              <w:rPr>
                <w:sz w:val="21"/>
                <w:szCs w:val="21"/>
              </w:rPr>
              <w:t>电焊机</w:t>
            </w:r>
          </w:p>
        </w:tc>
        <w:tc>
          <w:tcPr>
            <w:tcW w:w="3838" w:type="dxa"/>
            <w:shd w:val="clear" w:color="auto" w:fill="auto"/>
            <w:vAlign w:val="center"/>
          </w:tcPr>
          <w:p>
            <w:pPr>
              <w:adjustRightInd/>
              <w:snapToGrid/>
              <w:spacing w:line="240" w:lineRule="auto"/>
              <w:ind w:firstLine="0" w:firstLineChars="0"/>
              <w:jc w:val="center"/>
              <w:rPr>
                <w:kern w:val="0"/>
                <w:sz w:val="21"/>
                <w:szCs w:val="24"/>
              </w:rPr>
            </w:pPr>
            <w:r>
              <w:rPr>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704" w:type="dxa"/>
            <w:shd w:val="clear" w:color="auto" w:fill="auto"/>
            <w:vAlign w:val="center"/>
          </w:tcPr>
          <w:p>
            <w:pPr>
              <w:adjustRightInd/>
              <w:snapToGrid/>
              <w:spacing w:line="240" w:lineRule="auto"/>
              <w:ind w:firstLine="0" w:firstLineChars="0"/>
              <w:jc w:val="center"/>
              <w:rPr>
                <w:kern w:val="0"/>
                <w:sz w:val="21"/>
                <w:szCs w:val="24"/>
              </w:rPr>
            </w:pPr>
            <w:r>
              <w:rPr>
                <w:kern w:val="0"/>
                <w:sz w:val="21"/>
                <w:szCs w:val="24"/>
              </w:rPr>
              <w:t>4</w:t>
            </w:r>
          </w:p>
        </w:tc>
        <w:tc>
          <w:tcPr>
            <w:tcW w:w="3498" w:type="dxa"/>
            <w:shd w:val="clear" w:color="auto" w:fill="auto"/>
            <w:vAlign w:val="center"/>
          </w:tcPr>
          <w:p>
            <w:pPr>
              <w:adjustRightInd/>
              <w:snapToGrid/>
              <w:spacing w:line="240" w:lineRule="auto"/>
              <w:ind w:firstLine="0" w:firstLineChars="0"/>
              <w:jc w:val="center"/>
              <w:rPr>
                <w:kern w:val="0"/>
                <w:sz w:val="21"/>
                <w:szCs w:val="24"/>
              </w:rPr>
            </w:pPr>
            <w:r>
              <w:rPr>
                <w:sz w:val="21"/>
                <w:szCs w:val="21"/>
              </w:rPr>
              <w:t>电钻</w:t>
            </w:r>
          </w:p>
        </w:tc>
        <w:tc>
          <w:tcPr>
            <w:tcW w:w="3838" w:type="dxa"/>
            <w:shd w:val="clear" w:color="auto" w:fill="auto"/>
            <w:vAlign w:val="center"/>
          </w:tcPr>
          <w:p>
            <w:pPr>
              <w:adjustRightInd/>
              <w:snapToGrid/>
              <w:spacing w:line="240" w:lineRule="auto"/>
              <w:ind w:firstLine="0" w:firstLineChars="0"/>
              <w:jc w:val="center"/>
              <w:rPr>
                <w:kern w:val="0"/>
                <w:sz w:val="21"/>
                <w:szCs w:val="24"/>
              </w:rPr>
            </w:pPr>
            <w:r>
              <w:rPr>
                <w:sz w:val="21"/>
                <w:szCs w:val="21"/>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704" w:type="dxa"/>
            <w:shd w:val="clear" w:color="auto" w:fill="auto"/>
            <w:vAlign w:val="center"/>
          </w:tcPr>
          <w:p>
            <w:pPr>
              <w:adjustRightInd/>
              <w:snapToGrid/>
              <w:spacing w:line="240" w:lineRule="auto"/>
              <w:ind w:firstLine="0" w:firstLineChars="0"/>
              <w:jc w:val="center"/>
              <w:rPr>
                <w:kern w:val="0"/>
                <w:sz w:val="21"/>
                <w:szCs w:val="24"/>
              </w:rPr>
            </w:pPr>
            <w:r>
              <w:rPr>
                <w:rFonts w:hint="eastAsia"/>
                <w:kern w:val="0"/>
                <w:sz w:val="21"/>
                <w:szCs w:val="24"/>
              </w:rPr>
              <w:t>5</w:t>
            </w:r>
          </w:p>
        </w:tc>
        <w:tc>
          <w:tcPr>
            <w:tcW w:w="3498" w:type="dxa"/>
            <w:shd w:val="clear" w:color="auto" w:fill="auto"/>
            <w:vAlign w:val="center"/>
          </w:tcPr>
          <w:p>
            <w:pPr>
              <w:adjustRightInd/>
              <w:snapToGrid/>
              <w:spacing w:line="240" w:lineRule="auto"/>
              <w:ind w:firstLine="0" w:firstLineChars="0"/>
              <w:jc w:val="center"/>
              <w:rPr>
                <w:kern w:val="0"/>
                <w:sz w:val="21"/>
                <w:szCs w:val="24"/>
              </w:rPr>
            </w:pPr>
            <w:r>
              <w:rPr>
                <w:sz w:val="21"/>
                <w:szCs w:val="21"/>
              </w:rPr>
              <w:t>电锯</w:t>
            </w:r>
          </w:p>
        </w:tc>
        <w:tc>
          <w:tcPr>
            <w:tcW w:w="3838" w:type="dxa"/>
            <w:shd w:val="clear" w:color="auto" w:fill="auto"/>
            <w:vAlign w:val="center"/>
          </w:tcPr>
          <w:p>
            <w:pPr>
              <w:adjustRightInd/>
              <w:snapToGrid/>
              <w:spacing w:line="240" w:lineRule="auto"/>
              <w:ind w:firstLine="0" w:firstLineChars="0"/>
              <w:jc w:val="center"/>
              <w:rPr>
                <w:kern w:val="0"/>
                <w:sz w:val="21"/>
                <w:szCs w:val="24"/>
              </w:rPr>
            </w:pPr>
            <w:r>
              <w:rPr>
                <w:sz w:val="21"/>
                <w:szCs w:val="21"/>
              </w:rPr>
              <w:t>95</w:t>
            </w:r>
          </w:p>
        </w:tc>
      </w:tr>
    </w:tbl>
    <w:p>
      <w:pPr>
        <w:pStyle w:val="5"/>
      </w:pPr>
      <w:r>
        <w:rPr>
          <w:rFonts w:hint="eastAsia"/>
        </w:rPr>
        <w:t>施工</w:t>
      </w:r>
      <w:r>
        <w:t>固废</w:t>
      </w:r>
    </w:p>
    <w:p>
      <w:pPr>
        <w:ind w:firstLine="480"/>
      </w:pPr>
      <w:r>
        <w:rPr>
          <w:rFonts w:hint="eastAsia"/>
        </w:rPr>
        <w:t>施工期固废主要为建筑垃圾和施工人员产生的生活垃圾。</w:t>
      </w:r>
    </w:p>
    <w:p>
      <w:pPr>
        <w:ind w:firstLine="480"/>
      </w:pPr>
      <w:r>
        <w:rPr>
          <w:rFonts w:hint="eastAsia"/>
        </w:rPr>
        <w:t>（1）建筑</w:t>
      </w:r>
      <w:r>
        <w:t>垃圾</w:t>
      </w:r>
    </w:p>
    <w:p>
      <w:pPr>
        <w:ind w:firstLine="480"/>
      </w:pPr>
      <w:r>
        <w:rPr>
          <w:rFonts w:hint="eastAsia"/>
        </w:rPr>
        <w:t>根据</w:t>
      </w:r>
      <w:r>
        <w:t>建设单位</w:t>
      </w:r>
      <w:r>
        <w:rPr>
          <w:rFonts w:hint="eastAsia"/>
        </w:rPr>
        <w:t>提供</w:t>
      </w:r>
      <w:r>
        <w:t>资料，</w:t>
      </w:r>
      <w:r>
        <w:rPr>
          <w:rFonts w:hint="eastAsia"/>
        </w:rPr>
        <w:t>施工期</w:t>
      </w:r>
      <w:r>
        <w:t>施工期厂房</w:t>
      </w:r>
      <w:r>
        <w:rPr>
          <w:rFonts w:hint="eastAsia"/>
        </w:rPr>
        <w:t>设备</w:t>
      </w:r>
      <w:r>
        <w:t>安装产生的建筑垃圾约1t，运往建筑垃圾</w:t>
      </w:r>
      <w:r>
        <w:rPr>
          <w:rFonts w:hint="eastAsia"/>
        </w:rPr>
        <w:t>填埋场</w:t>
      </w:r>
      <w:r>
        <w:t>，</w:t>
      </w:r>
      <w:r>
        <w:rPr>
          <w:lang w:val="en-GB"/>
        </w:rPr>
        <w:t>施工期间产生的废包装垃圾</w:t>
      </w:r>
      <w:r>
        <w:rPr>
          <w:rFonts w:hint="eastAsia"/>
          <w:lang w:val="en-GB"/>
        </w:rPr>
        <w:t>约</w:t>
      </w:r>
      <w:r>
        <w:rPr>
          <w:lang w:val="en-GB"/>
        </w:rPr>
        <w:t>2t，收集后外售</w:t>
      </w:r>
      <w:r>
        <w:rPr>
          <w:rFonts w:hint="eastAsia"/>
          <w:lang w:val="en-GB"/>
        </w:rPr>
        <w:t>。</w:t>
      </w:r>
    </w:p>
    <w:p>
      <w:pPr>
        <w:ind w:firstLine="480"/>
      </w:pPr>
      <w:r>
        <w:rPr>
          <w:rFonts w:hint="eastAsia"/>
        </w:rPr>
        <w:t>（2）生活</w:t>
      </w:r>
      <w:r>
        <w:t>垃圾</w:t>
      </w:r>
    </w:p>
    <w:p>
      <w:pPr>
        <w:ind w:firstLine="480"/>
      </w:pPr>
      <w:r>
        <w:rPr>
          <w:rFonts w:hint="eastAsia"/>
        </w:rPr>
        <w:t>施工期间最大施工人数为15人/d，产生的生活垃圾按0.3kg/人•d计算，垃圾产生量为4.5kg/d。施工现场设垃圾桶，将产生的生活垃圾收集，统一交由环卫部门处置。</w:t>
      </w:r>
    </w:p>
    <w:p>
      <w:pPr>
        <w:pStyle w:val="4"/>
      </w:pPr>
      <w:r>
        <w:rPr>
          <w:rFonts w:hint="eastAsia"/>
        </w:rPr>
        <w:t>运营期污染物源强</w:t>
      </w:r>
      <w:r>
        <w:t>核算</w:t>
      </w:r>
    </w:p>
    <w:p>
      <w:pPr>
        <w:ind w:firstLine="480"/>
      </w:pPr>
      <w:r>
        <w:rPr>
          <w:rFonts w:hint="eastAsia"/>
        </w:rPr>
        <w:t>本次</w:t>
      </w:r>
      <w:r>
        <w:t>项目为</w:t>
      </w:r>
      <w:r>
        <w:rPr>
          <w:rFonts w:hint="eastAsia"/>
        </w:rPr>
        <w:t>黄姜提取</w:t>
      </w:r>
      <w:r>
        <w:t>物研究基地项目，为中试试验阶段，产品</w:t>
      </w:r>
      <w:r>
        <w:rPr>
          <w:rFonts w:hint="eastAsia"/>
        </w:rPr>
        <w:t>方案100</w:t>
      </w:r>
      <w:r>
        <w:t>~200kg/d，</w:t>
      </w:r>
      <w:r>
        <w:rPr>
          <w:rFonts w:hint="eastAsia"/>
        </w:rPr>
        <w:t>产品</w:t>
      </w:r>
      <w:r>
        <w:t>产量</w:t>
      </w:r>
      <w:r>
        <w:rPr>
          <w:rFonts w:hint="eastAsia"/>
        </w:rPr>
        <w:t>存在不确定</w:t>
      </w:r>
      <w:r>
        <w:t>性，不稳定，本次评价以最大产量</w:t>
      </w:r>
      <w:r>
        <w:rPr>
          <w:rFonts w:hint="eastAsia"/>
        </w:rPr>
        <w:t>200</w:t>
      </w:r>
      <w:r>
        <w:t>kg/d</w:t>
      </w:r>
      <w:r>
        <w:rPr>
          <w:rFonts w:hint="eastAsia"/>
        </w:rPr>
        <w:t>进行</w:t>
      </w:r>
      <w:r>
        <w:t>计算。</w:t>
      </w:r>
    </w:p>
    <w:p>
      <w:pPr>
        <w:pStyle w:val="5"/>
      </w:pPr>
      <w:r>
        <w:rPr>
          <w:rFonts w:hint="eastAsia"/>
        </w:rPr>
        <w:t>废气</w:t>
      </w:r>
    </w:p>
    <w:p>
      <w:pPr>
        <w:ind w:firstLine="480"/>
      </w:pPr>
      <w:r>
        <w:rPr>
          <w:rFonts w:hint="eastAsia"/>
        </w:rPr>
        <w:t>项目</w:t>
      </w:r>
      <w:r>
        <w:t>运营期</w:t>
      </w:r>
      <w:r>
        <w:rPr>
          <w:rFonts w:hint="eastAsia"/>
        </w:rPr>
        <w:t>废气</w:t>
      </w:r>
      <w:r>
        <w:t>主要为</w:t>
      </w:r>
      <w:r>
        <w:rPr>
          <w:rFonts w:hint="eastAsia"/>
        </w:rPr>
        <w:t>初</w:t>
      </w:r>
      <w:r>
        <w:t>清筛粉尘、粗粉、</w:t>
      </w:r>
      <w:r>
        <w:rPr>
          <w:rFonts w:hint="eastAsia"/>
        </w:rPr>
        <w:t>微粉</w:t>
      </w:r>
      <w:r>
        <w:t>破碎粉尘、</w:t>
      </w:r>
      <w:r>
        <w:rPr>
          <w:rFonts w:hint="eastAsia"/>
        </w:rPr>
        <w:t>天然气</w:t>
      </w:r>
      <w:r>
        <w:t>锅炉废气</w:t>
      </w:r>
      <w:r>
        <w:rPr>
          <w:rFonts w:hint="eastAsia"/>
        </w:rPr>
        <w:t>、溶剂</w:t>
      </w:r>
      <w:r>
        <w:t>废气、储罐大小呼吸废气</w:t>
      </w:r>
      <w:r>
        <w:rPr>
          <w:rFonts w:hint="eastAsia"/>
        </w:rPr>
        <w:t>等</w:t>
      </w:r>
      <w:r>
        <w:t>。</w:t>
      </w:r>
    </w:p>
    <w:p>
      <w:pPr>
        <w:pStyle w:val="87"/>
        <w:ind w:firstLine="480"/>
      </w:pPr>
      <w:r>
        <w:rPr>
          <w:rFonts w:hint="eastAsia"/>
        </w:rPr>
        <w:t>（1）</w:t>
      </w:r>
      <w:r>
        <w:t>粉尘</w:t>
      </w:r>
    </w:p>
    <w:p>
      <w:pPr>
        <w:pStyle w:val="87"/>
        <w:ind w:firstLine="480"/>
      </w:pPr>
      <w:r>
        <w:rPr>
          <w:rFonts w:hint="eastAsia"/>
        </w:rPr>
        <w:t>初</w:t>
      </w:r>
      <w:r>
        <w:t>清理采用</w:t>
      </w:r>
      <w:r>
        <w:rPr>
          <w:rFonts w:hint="eastAsia"/>
        </w:rPr>
        <w:t>圆锥初</w:t>
      </w:r>
      <w:r>
        <w:t>清筛，筛分过程中会产生粉尘，</w:t>
      </w:r>
      <w:r>
        <w:rPr>
          <w:rFonts w:hint="eastAsia"/>
        </w:rPr>
        <w:t>根据</w:t>
      </w:r>
      <w:r>
        <w:t>建设</w:t>
      </w:r>
      <w:r>
        <w:rPr>
          <w:rFonts w:hint="eastAsia"/>
        </w:rPr>
        <w:t>单位</w:t>
      </w:r>
      <w:r>
        <w:t>提供数据，</w:t>
      </w:r>
      <w:r>
        <w:rPr>
          <w:rFonts w:hint="eastAsia"/>
        </w:rPr>
        <w:t>清筛</w:t>
      </w:r>
      <w:r>
        <w:t>、的</w:t>
      </w:r>
      <w:r>
        <w:rPr>
          <w:rFonts w:hint="eastAsia"/>
        </w:rPr>
        <w:t>产尘</w:t>
      </w:r>
      <w:r>
        <w:t>量为处理</w:t>
      </w:r>
      <w:r>
        <w:rPr>
          <w:rFonts w:hint="eastAsia"/>
        </w:rPr>
        <w:t>量</w:t>
      </w:r>
      <w:r>
        <w:t>的</w:t>
      </w:r>
      <w:r>
        <w:rPr>
          <w:rFonts w:hint="eastAsia"/>
        </w:rPr>
        <w:t>0.</w:t>
      </w:r>
      <w:r>
        <w:t>0</w:t>
      </w:r>
      <w:r>
        <w:rPr>
          <w:rFonts w:hint="eastAsia"/>
        </w:rPr>
        <w:t>5</w:t>
      </w:r>
      <w:r>
        <w:t>%计算</w:t>
      </w:r>
      <w:r>
        <w:rPr>
          <w:rFonts w:hint="eastAsia"/>
        </w:rPr>
        <w:t>，本项目</w:t>
      </w:r>
      <w:r>
        <w:t>处理黄姜量</w:t>
      </w:r>
      <w:r>
        <w:rPr>
          <w:rFonts w:hint="eastAsia"/>
        </w:rPr>
        <w:t>最大</w:t>
      </w:r>
      <w:r>
        <w:t>为6t/d，则清筛的粉尘产生量均为0.003t/d，</w:t>
      </w:r>
      <w:r>
        <w:rPr>
          <w:rFonts w:hint="eastAsia"/>
        </w:rPr>
        <w:t>0.54</w:t>
      </w:r>
      <w:r>
        <w:t>t/a，采用</w:t>
      </w:r>
      <w:r>
        <w:rPr>
          <w:rFonts w:hint="eastAsia"/>
        </w:rPr>
        <w:t>1套</w:t>
      </w:r>
      <w:r>
        <w:t>旋风收尘</w:t>
      </w:r>
      <w:r>
        <w:rPr>
          <w:rFonts w:hint="eastAsia"/>
        </w:rPr>
        <w:t>+布袋</w:t>
      </w:r>
      <w:r>
        <w:t>除尘</w:t>
      </w:r>
      <w:r>
        <w:rPr>
          <w:rFonts w:hint="eastAsia"/>
        </w:rPr>
        <w:t>+15</w:t>
      </w:r>
      <w:r>
        <w:t>m</w:t>
      </w:r>
      <w:r>
        <w:rPr>
          <w:rFonts w:hint="eastAsia"/>
        </w:rPr>
        <w:t>排气筒</w:t>
      </w:r>
      <w:r>
        <w:t>方式</w:t>
      </w:r>
      <w:r>
        <w:rPr>
          <w:rFonts w:hint="eastAsia"/>
        </w:rPr>
        <w:t>进行</w:t>
      </w:r>
      <w:r>
        <w:t>处理</w:t>
      </w:r>
      <w:r>
        <w:rPr>
          <w:rFonts w:hint="eastAsia"/>
        </w:rPr>
        <w:t>，</w:t>
      </w:r>
      <w:r>
        <w:t>处理效率按99%计算，则清筛粉尘排放量为</w:t>
      </w:r>
      <w:r>
        <w:rPr>
          <w:rFonts w:hint="eastAsia"/>
        </w:rPr>
        <w:t>0.</w:t>
      </w:r>
      <w:r>
        <w:t>005t/a，排放速率</w:t>
      </w:r>
      <w:r>
        <w:rPr>
          <w:rFonts w:hint="eastAsia"/>
        </w:rPr>
        <w:t>为0.0</w:t>
      </w:r>
      <w:r>
        <w:t>01kg/h，风机风量为</w:t>
      </w:r>
      <w:r>
        <w:rPr>
          <w:rFonts w:hint="eastAsia"/>
        </w:rPr>
        <w:t>2062</w:t>
      </w:r>
      <w:r>
        <w:t>m</w:t>
      </w:r>
      <w:r>
        <w:rPr>
          <w:vertAlign w:val="superscript"/>
        </w:rPr>
        <w:t>3</w:t>
      </w:r>
      <w:r>
        <w:t>/h</w:t>
      </w:r>
      <w:r>
        <w:rPr>
          <w:rFonts w:hint="eastAsia"/>
        </w:rPr>
        <w:t>，</w:t>
      </w:r>
      <w:r>
        <w:t>则排放</w:t>
      </w:r>
      <w:r>
        <w:rPr>
          <w:rFonts w:hint="eastAsia"/>
        </w:rPr>
        <w:t>浓度</w:t>
      </w:r>
      <w:r>
        <w:t>为0.48mg/m</w:t>
      </w:r>
      <w:r>
        <w:rPr>
          <w:vertAlign w:val="superscript"/>
        </w:rPr>
        <w:t>3</w:t>
      </w:r>
      <w:r>
        <w:t>。</w:t>
      </w:r>
    </w:p>
    <w:p>
      <w:pPr>
        <w:pStyle w:val="87"/>
        <w:ind w:firstLine="480"/>
        <w:rPr>
          <w:highlight w:val="yellow"/>
        </w:rPr>
      </w:pPr>
      <w:r>
        <w:rPr>
          <w:rFonts w:hint="eastAsia"/>
        </w:rPr>
        <w:t>清理后进入</w:t>
      </w:r>
      <w:r>
        <w:t>粗粉工序，</w:t>
      </w:r>
      <w:r>
        <w:rPr>
          <w:rFonts w:hint="eastAsia"/>
        </w:rPr>
        <w:t>粗粉</w:t>
      </w:r>
      <w:r>
        <w:t>过程中会产生粉尘，</w:t>
      </w:r>
      <w:r>
        <w:rPr>
          <w:rFonts w:hint="eastAsia"/>
        </w:rPr>
        <w:t>根据</w:t>
      </w:r>
      <w:r>
        <w:t>建设</w:t>
      </w:r>
      <w:r>
        <w:rPr>
          <w:rFonts w:hint="eastAsia"/>
        </w:rPr>
        <w:t>单位</w:t>
      </w:r>
      <w:r>
        <w:t>提供数据，</w:t>
      </w:r>
      <w:r>
        <w:rPr>
          <w:rFonts w:hint="eastAsia"/>
        </w:rPr>
        <w:t>粗粉产尘</w:t>
      </w:r>
      <w:r>
        <w:t>量为处理</w:t>
      </w:r>
      <w:r>
        <w:rPr>
          <w:rFonts w:hint="eastAsia"/>
        </w:rPr>
        <w:t>量</w:t>
      </w:r>
      <w:r>
        <w:t>的</w:t>
      </w:r>
      <w:r>
        <w:rPr>
          <w:rFonts w:hint="eastAsia"/>
        </w:rPr>
        <w:t>0.</w:t>
      </w:r>
      <w:r>
        <w:t>0</w:t>
      </w:r>
      <w:r>
        <w:rPr>
          <w:rFonts w:hint="eastAsia"/>
        </w:rPr>
        <w:t>5</w:t>
      </w:r>
      <w:r>
        <w:t>%计算</w:t>
      </w:r>
      <w:r>
        <w:rPr>
          <w:rFonts w:hint="eastAsia"/>
        </w:rPr>
        <w:t>，本项目进入</w:t>
      </w:r>
      <w:r>
        <w:t>粗粉工序的处理黄姜量为5.997t/d，则粗粉的粉尘产生量均为0.54t/a，采用</w:t>
      </w:r>
      <w:r>
        <w:rPr>
          <w:rFonts w:hint="eastAsia"/>
        </w:rPr>
        <w:t>1套</w:t>
      </w:r>
      <w:r>
        <w:t>旋风收尘</w:t>
      </w:r>
      <w:r>
        <w:rPr>
          <w:rFonts w:hint="eastAsia"/>
        </w:rPr>
        <w:t>+布袋</w:t>
      </w:r>
      <w:r>
        <w:t>除尘</w:t>
      </w:r>
      <w:r>
        <w:rPr>
          <w:rFonts w:hint="eastAsia"/>
        </w:rPr>
        <w:t>+15</w:t>
      </w:r>
      <w:r>
        <w:t>m</w:t>
      </w:r>
      <w:r>
        <w:rPr>
          <w:rFonts w:hint="eastAsia"/>
        </w:rPr>
        <w:t>排气筒</w:t>
      </w:r>
      <w:r>
        <w:t>方式</w:t>
      </w:r>
      <w:r>
        <w:rPr>
          <w:rFonts w:hint="eastAsia"/>
        </w:rPr>
        <w:t>进行</w:t>
      </w:r>
      <w:r>
        <w:t>处理</w:t>
      </w:r>
      <w:r>
        <w:rPr>
          <w:rFonts w:hint="eastAsia"/>
        </w:rPr>
        <w:t>，</w:t>
      </w:r>
      <w:r>
        <w:t>处理效率按</w:t>
      </w:r>
      <w:r>
        <w:rPr>
          <w:rFonts w:hint="eastAsia"/>
        </w:rPr>
        <w:t>9</w:t>
      </w:r>
      <w:r>
        <w:t>9%计算，则</w:t>
      </w:r>
      <w:r>
        <w:rPr>
          <w:rFonts w:hint="eastAsia"/>
        </w:rPr>
        <w:t>粗粉</w:t>
      </w:r>
      <w:r>
        <w:t>粉尘排放量为</w:t>
      </w:r>
      <w:r>
        <w:rPr>
          <w:rFonts w:hint="eastAsia"/>
        </w:rPr>
        <w:t>0.</w:t>
      </w:r>
      <w:r>
        <w:t>005t/a，排放速率</w:t>
      </w:r>
      <w:r>
        <w:rPr>
          <w:rFonts w:hint="eastAsia"/>
        </w:rPr>
        <w:t>为0.0</w:t>
      </w:r>
      <w:r>
        <w:t>01kg/h，风机风量为</w:t>
      </w:r>
      <w:r>
        <w:rPr>
          <w:rFonts w:hint="eastAsia"/>
        </w:rPr>
        <w:t>2062</w:t>
      </w:r>
      <w:r>
        <w:t>m</w:t>
      </w:r>
      <w:r>
        <w:rPr>
          <w:vertAlign w:val="superscript"/>
        </w:rPr>
        <w:t>3</w:t>
      </w:r>
      <w:r>
        <w:t>/h</w:t>
      </w:r>
      <w:r>
        <w:rPr>
          <w:rFonts w:hint="eastAsia"/>
        </w:rPr>
        <w:t>，</w:t>
      </w:r>
      <w:r>
        <w:t>则排放</w:t>
      </w:r>
      <w:r>
        <w:rPr>
          <w:rFonts w:hint="eastAsia"/>
        </w:rPr>
        <w:t>浓度</w:t>
      </w:r>
      <w:r>
        <w:t>为0.48mg/m</w:t>
      </w:r>
      <w:r>
        <w:rPr>
          <w:vertAlign w:val="superscript"/>
        </w:rPr>
        <w:t>3</w:t>
      </w:r>
      <w:r>
        <w:t>。</w:t>
      </w:r>
    </w:p>
    <w:p>
      <w:pPr>
        <w:pStyle w:val="87"/>
        <w:ind w:firstLine="480"/>
        <w:rPr>
          <w:highlight w:val="yellow"/>
        </w:rPr>
      </w:pPr>
      <w:r>
        <w:rPr>
          <w:rFonts w:hint="eastAsia"/>
        </w:rPr>
        <w:t>原料粗粉</w:t>
      </w:r>
      <w:r>
        <w:t>后</w:t>
      </w:r>
      <w:r>
        <w:rPr>
          <w:rFonts w:hint="eastAsia"/>
        </w:rPr>
        <w:t>进入</w:t>
      </w:r>
      <w:r>
        <w:t>微粉工序，</w:t>
      </w:r>
      <w:r>
        <w:rPr>
          <w:rFonts w:hint="eastAsia"/>
        </w:rPr>
        <w:t>微粉</w:t>
      </w:r>
      <w:r>
        <w:t>过程中会产生粉尘，</w:t>
      </w:r>
      <w:r>
        <w:rPr>
          <w:rFonts w:hint="eastAsia"/>
        </w:rPr>
        <w:t>根据</w:t>
      </w:r>
      <w:r>
        <w:t>建设</w:t>
      </w:r>
      <w:r>
        <w:rPr>
          <w:rFonts w:hint="eastAsia"/>
        </w:rPr>
        <w:t>单位</w:t>
      </w:r>
      <w:r>
        <w:t>提供数据，微粉的</w:t>
      </w:r>
      <w:r>
        <w:rPr>
          <w:rFonts w:hint="eastAsia"/>
        </w:rPr>
        <w:t>产尘</w:t>
      </w:r>
      <w:r>
        <w:t>量为处理</w:t>
      </w:r>
      <w:r>
        <w:rPr>
          <w:rFonts w:hint="eastAsia"/>
        </w:rPr>
        <w:t>量</w:t>
      </w:r>
      <w:r>
        <w:t>的</w:t>
      </w:r>
      <w:r>
        <w:rPr>
          <w:rFonts w:hint="eastAsia"/>
        </w:rPr>
        <w:t>0.</w:t>
      </w:r>
      <w:r>
        <w:t>0</w:t>
      </w:r>
      <w:r>
        <w:rPr>
          <w:rFonts w:hint="eastAsia"/>
        </w:rPr>
        <w:t>5</w:t>
      </w:r>
      <w:r>
        <w:t>%计算</w:t>
      </w:r>
      <w:r>
        <w:rPr>
          <w:rFonts w:hint="eastAsia"/>
        </w:rPr>
        <w:t>，本项目进入</w:t>
      </w:r>
      <w:r>
        <w:t>微粉</w:t>
      </w:r>
      <w:r>
        <w:rPr>
          <w:rFonts w:hint="eastAsia"/>
        </w:rPr>
        <w:t>工序</w:t>
      </w:r>
      <w:r>
        <w:t>处理黄姜量为5.94t/d，则微粉的粉尘产生量为0.53t/a，采用</w:t>
      </w:r>
      <w:r>
        <w:rPr>
          <w:rFonts w:hint="eastAsia"/>
        </w:rPr>
        <w:t>2套</w:t>
      </w:r>
      <w:r>
        <w:t>旋风收尘</w:t>
      </w:r>
      <w:r>
        <w:rPr>
          <w:rFonts w:hint="eastAsia"/>
        </w:rPr>
        <w:t>+布袋</w:t>
      </w:r>
      <w:r>
        <w:t>除尘</w:t>
      </w:r>
      <w:r>
        <w:rPr>
          <w:rFonts w:hint="eastAsia"/>
        </w:rPr>
        <w:t>+15</w:t>
      </w:r>
      <w:r>
        <w:t>m</w:t>
      </w:r>
      <w:r>
        <w:rPr>
          <w:rFonts w:hint="eastAsia"/>
        </w:rPr>
        <w:t>排气筒</w:t>
      </w:r>
      <w:r>
        <w:t>方式</w:t>
      </w:r>
      <w:r>
        <w:rPr>
          <w:rFonts w:hint="eastAsia"/>
        </w:rPr>
        <w:t>进行</w:t>
      </w:r>
      <w:r>
        <w:t>处理</w:t>
      </w:r>
      <w:r>
        <w:rPr>
          <w:rFonts w:hint="eastAsia"/>
        </w:rPr>
        <w:t>，</w:t>
      </w:r>
      <w:r>
        <w:t>处理效率按</w:t>
      </w:r>
      <w:r>
        <w:rPr>
          <w:rFonts w:hint="eastAsia"/>
        </w:rPr>
        <w:t>9</w:t>
      </w:r>
      <w:r>
        <w:t>9%计算，则</w:t>
      </w:r>
      <w:r>
        <w:rPr>
          <w:rFonts w:hint="eastAsia"/>
        </w:rPr>
        <w:t>微粉</w:t>
      </w:r>
      <w:r>
        <w:t>粉尘排放量为</w:t>
      </w:r>
      <w:r>
        <w:rPr>
          <w:rFonts w:hint="eastAsia"/>
        </w:rPr>
        <w:t>0.0</w:t>
      </w:r>
      <w:r>
        <w:t>05t/a，</w:t>
      </w:r>
      <w:r>
        <w:rPr>
          <w:rFonts w:hint="eastAsia"/>
        </w:rPr>
        <w:t>每个排气筒</w:t>
      </w:r>
      <w:r>
        <w:t>的排放速率</w:t>
      </w:r>
      <w:r>
        <w:rPr>
          <w:rFonts w:hint="eastAsia"/>
        </w:rPr>
        <w:t>为0.0</w:t>
      </w:r>
      <w:r>
        <w:t>005kg/h，风机风量为</w:t>
      </w:r>
      <w:r>
        <w:rPr>
          <w:rFonts w:hint="eastAsia"/>
        </w:rPr>
        <w:t>2062</w:t>
      </w:r>
      <w:r>
        <w:t>m</w:t>
      </w:r>
      <w:r>
        <w:rPr>
          <w:vertAlign w:val="superscript"/>
        </w:rPr>
        <w:t>3</w:t>
      </w:r>
      <w:r>
        <w:t>/h</w:t>
      </w:r>
      <w:r>
        <w:rPr>
          <w:rFonts w:hint="eastAsia"/>
        </w:rPr>
        <w:t>，</w:t>
      </w:r>
      <w:r>
        <w:t>则</w:t>
      </w:r>
      <w:r>
        <w:rPr>
          <w:rFonts w:hint="eastAsia"/>
        </w:rPr>
        <w:t>每个</w:t>
      </w:r>
      <w:r>
        <w:t>排气筒的排放</w:t>
      </w:r>
      <w:r>
        <w:rPr>
          <w:rFonts w:hint="eastAsia"/>
        </w:rPr>
        <w:t>浓度</w:t>
      </w:r>
      <w:r>
        <w:t>为0.24mg/m</w:t>
      </w:r>
      <w:r>
        <w:rPr>
          <w:vertAlign w:val="superscript"/>
        </w:rPr>
        <w:t>3</w:t>
      </w:r>
      <w:r>
        <w:t>。</w:t>
      </w:r>
    </w:p>
    <w:p>
      <w:pPr>
        <w:pStyle w:val="87"/>
        <w:ind w:firstLine="480"/>
      </w:pPr>
      <w:r>
        <w:rPr>
          <w:rFonts w:hint="eastAsia"/>
        </w:rPr>
        <w:t>由</w:t>
      </w:r>
      <w:r>
        <w:t>以上</w:t>
      </w:r>
      <w:r>
        <w:rPr>
          <w:rFonts w:hint="eastAsia"/>
        </w:rPr>
        <w:t>计算</w:t>
      </w:r>
      <w:r>
        <w:t>可知，</w:t>
      </w:r>
      <w:r>
        <w:rPr>
          <w:rFonts w:hint="eastAsia"/>
        </w:rPr>
        <w:t>前处理</w:t>
      </w:r>
      <w:r>
        <w:t>工序产生的粉尘</w:t>
      </w:r>
      <w:r>
        <w:rPr>
          <w:rFonts w:hint="eastAsia"/>
        </w:rPr>
        <w:t>经旋风</w:t>
      </w:r>
      <w:r>
        <w:t>收尘</w:t>
      </w:r>
      <w:r>
        <w:rPr>
          <w:rFonts w:hint="eastAsia"/>
        </w:rPr>
        <w:t>+布袋</w:t>
      </w:r>
      <w:r>
        <w:t>除尘器处理后</w:t>
      </w:r>
      <w:r>
        <w:rPr>
          <w:rFonts w:hint="eastAsia"/>
        </w:rPr>
        <w:t>满足《大气污染物综合排放标准》（GB16297-1996）二级标准</w:t>
      </w:r>
      <w:r>
        <w:t>要求</w:t>
      </w:r>
      <w:r>
        <w:rPr>
          <w:rFonts w:hint="eastAsia"/>
        </w:rPr>
        <w:t>。</w:t>
      </w:r>
    </w:p>
    <w:p>
      <w:pPr>
        <w:pStyle w:val="87"/>
        <w:ind w:firstLine="480"/>
      </w:pPr>
      <w:r>
        <w:rPr>
          <w:rFonts w:hint="eastAsia"/>
        </w:rPr>
        <w:t>（</w:t>
      </w:r>
      <w:r>
        <w:t>2</w:t>
      </w:r>
      <w:r>
        <w:rPr>
          <w:rFonts w:hint="eastAsia"/>
        </w:rPr>
        <w:t>）溶剂废气</w:t>
      </w:r>
    </w:p>
    <w:p>
      <w:pPr>
        <w:pStyle w:val="87"/>
        <w:ind w:firstLine="480"/>
      </w:pPr>
      <w:r>
        <w:rPr>
          <w:rFonts w:hint="eastAsia"/>
        </w:rPr>
        <w:t>项目</w:t>
      </w:r>
      <w:r>
        <w:t>萃取环节采用甲醇进行</w:t>
      </w:r>
      <w:r>
        <w:rPr>
          <w:rFonts w:hint="eastAsia"/>
        </w:rPr>
        <w:t>萃取</w:t>
      </w:r>
      <w:r>
        <w:t>，</w:t>
      </w:r>
      <w:r>
        <w:rPr>
          <w:rFonts w:hint="eastAsia"/>
        </w:rPr>
        <w:t>最大</w:t>
      </w:r>
      <w:r>
        <w:t>甲醇</w:t>
      </w:r>
      <w:r>
        <w:rPr>
          <w:rFonts w:hint="eastAsia"/>
        </w:rPr>
        <w:t>用量</w:t>
      </w:r>
      <w:r>
        <w:t>为30kg/d</w:t>
      </w:r>
      <w:r>
        <w:rPr>
          <w:rFonts w:hint="eastAsia"/>
        </w:rPr>
        <w:t>，</w:t>
      </w:r>
      <w:r>
        <w:t>通过蒸发浓缩</w:t>
      </w:r>
      <w:r>
        <w:rPr>
          <w:rFonts w:hint="eastAsia"/>
        </w:rPr>
        <w:t>-冷冻</w:t>
      </w:r>
      <w:r>
        <w:t>回收甲醇，根据</w:t>
      </w:r>
      <w:r>
        <w:rPr>
          <w:rFonts w:hint="eastAsia"/>
        </w:rPr>
        <w:t>建设</w:t>
      </w:r>
      <w:r>
        <w:t>单位</w:t>
      </w:r>
      <w:r>
        <w:rPr>
          <w:rFonts w:hint="eastAsia"/>
        </w:rPr>
        <w:t>提供</w:t>
      </w:r>
      <w:r>
        <w:t>的</w:t>
      </w:r>
      <w:r>
        <w:rPr>
          <w:rFonts w:hint="eastAsia"/>
        </w:rPr>
        <w:t>资料该</w:t>
      </w:r>
      <w:r>
        <w:t>反应中回流的溶剂回收率约为</w:t>
      </w:r>
      <w:r>
        <w:rPr>
          <w:rFonts w:hint="eastAsia"/>
        </w:rPr>
        <w:t>95</w:t>
      </w:r>
      <w:r>
        <w:t>%，其余通过废气排放</w:t>
      </w:r>
      <w:r>
        <w:rPr>
          <w:rFonts w:hint="eastAsia"/>
        </w:rPr>
        <w:t>，</w:t>
      </w:r>
      <w:r>
        <w:t>则甲醇废气产生量约为</w:t>
      </w:r>
      <w:r>
        <w:rPr>
          <w:rFonts w:hint="eastAsia"/>
        </w:rPr>
        <w:t>1.5</w:t>
      </w:r>
      <w:r>
        <w:t>kg/d</w:t>
      </w:r>
      <w:r>
        <w:rPr>
          <w:rFonts w:hint="eastAsia"/>
        </w:rPr>
        <w:t>，</w:t>
      </w:r>
      <w:r>
        <w:t>年工作</w:t>
      </w:r>
      <w:r>
        <w:rPr>
          <w:rFonts w:hint="eastAsia"/>
        </w:rPr>
        <w:t>时间</w:t>
      </w:r>
      <w:r>
        <w:t>180d，</w:t>
      </w:r>
      <w:r>
        <w:rPr>
          <w:rFonts w:hint="eastAsia"/>
        </w:rPr>
        <w:t>每天</w:t>
      </w:r>
      <w:r>
        <w:t>工作</w:t>
      </w:r>
      <w:r>
        <w:rPr>
          <w:rFonts w:hint="eastAsia"/>
        </w:rPr>
        <w:t>24</w:t>
      </w:r>
      <w:r>
        <w:t>h，风机风量</w:t>
      </w:r>
      <w:r>
        <w:rPr>
          <w:rFonts w:hint="eastAsia"/>
        </w:rPr>
        <w:t>2062</w:t>
      </w:r>
      <w:r>
        <w:t>m</w:t>
      </w:r>
      <w:r>
        <w:rPr>
          <w:vertAlign w:val="superscript"/>
        </w:rPr>
        <w:t>3</w:t>
      </w:r>
      <w:r>
        <w:t>/h，</w:t>
      </w:r>
      <w:r>
        <w:rPr>
          <w:rFonts w:hint="eastAsia"/>
        </w:rPr>
        <w:t>则</w:t>
      </w:r>
      <w:r>
        <w:t>甲醇的</w:t>
      </w:r>
      <w:r>
        <w:rPr>
          <w:rFonts w:hint="eastAsia"/>
        </w:rPr>
        <w:t>产生</w:t>
      </w:r>
      <w:r>
        <w:t>量为</w:t>
      </w:r>
      <w:r>
        <w:rPr>
          <w:rFonts w:hint="eastAsia"/>
        </w:rPr>
        <w:t>0.27</w:t>
      </w:r>
      <w:r>
        <w:t>t/a，产生速率为</w:t>
      </w:r>
      <w:r>
        <w:rPr>
          <w:rFonts w:hint="eastAsia"/>
        </w:rPr>
        <w:t>0.063</w:t>
      </w:r>
      <w:r>
        <w:t>kg/h</w:t>
      </w:r>
      <w:r>
        <w:rPr>
          <w:rFonts w:hint="eastAsia"/>
        </w:rPr>
        <w:t>，30.55</w:t>
      </w:r>
      <w:r>
        <w:t>mg/m</w:t>
      </w:r>
      <w:r>
        <w:rPr>
          <w:vertAlign w:val="superscript"/>
        </w:rPr>
        <w:t>3</w:t>
      </w:r>
      <w:r>
        <w:rPr>
          <w:rFonts w:hint="eastAsia"/>
        </w:rPr>
        <w:t>，甲醇冷冻</w:t>
      </w:r>
      <w:r>
        <w:t>回收</w:t>
      </w:r>
      <w:r>
        <w:rPr>
          <w:rFonts w:hint="eastAsia"/>
        </w:rPr>
        <w:t>对甲醇</w:t>
      </w:r>
      <w:r>
        <w:t>的处理效率</w:t>
      </w:r>
      <w:r>
        <w:rPr>
          <w:rFonts w:hint="eastAsia"/>
        </w:rPr>
        <w:t>以75</w:t>
      </w:r>
      <w:r>
        <w:t>%</w:t>
      </w:r>
      <w:r>
        <w:rPr>
          <w:rFonts w:hint="eastAsia"/>
        </w:rPr>
        <w:t>计算，</w:t>
      </w:r>
      <w:r>
        <w:t>则甲醇的</w:t>
      </w:r>
      <w:r>
        <w:rPr>
          <w:rFonts w:hint="eastAsia"/>
        </w:rPr>
        <w:t>排放量</w:t>
      </w:r>
      <w:r>
        <w:t>为</w:t>
      </w:r>
      <w:r>
        <w:rPr>
          <w:rFonts w:hint="eastAsia"/>
        </w:rPr>
        <w:t>0.07</w:t>
      </w:r>
      <w:r>
        <w:t>t/a，</w:t>
      </w:r>
      <w:r>
        <w:rPr>
          <w:rFonts w:hint="eastAsia"/>
        </w:rPr>
        <w:t>甲醇</w:t>
      </w:r>
      <w:r>
        <w:t>排放速率为</w:t>
      </w:r>
      <w:r>
        <w:rPr>
          <w:rFonts w:hint="eastAsia"/>
        </w:rPr>
        <w:t>0.</w:t>
      </w:r>
      <w:r>
        <w:t>016kg/h，</w:t>
      </w:r>
      <w:r>
        <w:rPr>
          <w:rFonts w:hint="eastAsia"/>
        </w:rPr>
        <w:t>排放</w:t>
      </w:r>
      <w:r>
        <w:t>浓度为</w:t>
      </w:r>
      <w:r>
        <w:rPr>
          <w:rFonts w:hint="eastAsia"/>
        </w:rPr>
        <w:t>7.</w:t>
      </w:r>
      <w:r>
        <w:t>64 mg/m</w:t>
      </w:r>
      <w:r>
        <w:rPr>
          <w:vertAlign w:val="superscript"/>
        </w:rPr>
        <w:t>3</w:t>
      </w:r>
      <w:r>
        <w:rPr>
          <w:rFonts w:hint="eastAsia"/>
        </w:rPr>
        <w:t>，</w:t>
      </w:r>
      <w:r>
        <w:t>满足</w:t>
      </w:r>
      <w:r>
        <w:rPr>
          <w:rFonts w:hint="eastAsia"/>
        </w:rPr>
        <w:t>《挥发性有机物排放控制标准》（DB61/T 1061-2017）中医药制造行业标准（甲醇浓度60</w:t>
      </w:r>
      <w:r>
        <w:t>mg/m</w:t>
      </w:r>
      <w:r>
        <w:rPr>
          <w:vertAlign w:val="superscript"/>
        </w:rPr>
        <w:t>3</w:t>
      </w:r>
      <w:r>
        <w:rPr>
          <w:rFonts w:hint="eastAsia"/>
        </w:rPr>
        <w:t>）</w:t>
      </w:r>
    </w:p>
    <w:p>
      <w:pPr>
        <w:pStyle w:val="87"/>
        <w:ind w:firstLine="480"/>
      </w:pPr>
      <w:r>
        <w:rPr>
          <w:rFonts w:hint="eastAsia"/>
        </w:rPr>
        <w:t>项目提取工序</w:t>
      </w:r>
      <w:r>
        <w:t>采用</w:t>
      </w:r>
      <w:r>
        <w:rPr>
          <w:rFonts w:hint="eastAsia"/>
        </w:rPr>
        <w:t>石油醚</w:t>
      </w:r>
      <w:r>
        <w:t>进行提取，</w:t>
      </w:r>
      <w:r>
        <w:rPr>
          <w:rFonts w:hint="eastAsia"/>
        </w:rPr>
        <w:t>石油醚最大</w:t>
      </w:r>
      <w:r>
        <w:t>用量为24kg/d</w:t>
      </w:r>
      <w:r>
        <w:rPr>
          <w:rFonts w:hint="eastAsia"/>
        </w:rPr>
        <w:t>，4.32</w:t>
      </w:r>
      <w:r>
        <w:t>t/a，</w:t>
      </w:r>
      <w:r>
        <w:rPr>
          <w:rFonts w:hint="eastAsia"/>
        </w:rPr>
        <w:t>提取</w:t>
      </w:r>
      <w:r>
        <w:t>过程位于密闭的</w:t>
      </w:r>
      <w:r>
        <w:rPr>
          <w:rFonts w:hint="eastAsia"/>
        </w:rPr>
        <w:t>提取</w:t>
      </w:r>
      <w:r>
        <w:t>罐中，</w:t>
      </w:r>
      <w:r>
        <w:rPr>
          <w:rFonts w:hint="eastAsia"/>
        </w:rPr>
        <w:t>提取</w:t>
      </w:r>
      <w:r>
        <w:t>后进行分离精滤</w:t>
      </w:r>
      <w:r>
        <w:rPr>
          <w:rFonts w:hint="eastAsia"/>
        </w:rPr>
        <w:t>，</w:t>
      </w:r>
      <w:r>
        <w:t>离心脱离后的</w:t>
      </w:r>
      <w:r>
        <w:rPr>
          <w:rFonts w:hint="eastAsia"/>
        </w:rPr>
        <w:t>石油醚</w:t>
      </w:r>
      <w:r>
        <w:t>直接通过管道全部回流至提取罐</w:t>
      </w:r>
      <w:r>
        <w:rPr>
          <w:rFonts w:hint="eastAsia"/>
        </w:rPr>
        <w:t>循环</w:t>
      </w:r>
      <w:r>
        <w:t>使用。</w:t>
      </w:r>
      <w:r>
        <w:rPr>
          <w:rFonts w:hint="eastAsia"/>
        </w:rPr>
        <w:t>项目</w:t>
      </w:r>
      <w:r>
        <w:t>溶剂废气产生量及排放</w:t>
      </w:r>
      <w:r>
        <w:rPr>
          <w:rFonts w:hint="eastAsia"/>
        </w:rPr>
        <w:t>情况</w:t>
      </w:r>
      <w:r>
        <w:t>见表</w:t>
      </w:r>
      <w:r>
        <w:rPr>
          <w:rFonts w:hint="eastAsia"/>
        </w:rPr>
        <w:t>3.3-</w:t>
      </w:r>
      <w:r>
        <w:t>3</w:t>
      </w:r>
      <w:r>
        <w:rPr>
          <w:rFonts w:hint="eastAsia"/>
        </w:rPr>
        <w:t>。</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w:t>
      </w:r>
      <w:r>
        <w:rPr>
          <w:rFonts w:hint="eastAsia"/>
        </w:rPr>
        <w:t>项目溶剂</w:t>
      </w:r>
      <w:r>
        <w:t>废气产生及排放情况</w:t>
      </w:r>
    </w:p>
    <w:tbl>
      <w:tblPr>
        <w:tblStyle w:val="36"/>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5"/>
        <w:gridCol w:w="993"/>
        <w:gridCol w:w="1275"/>
        <w:gridCol w:w="993"/>
        <w:gridCol w:w="1557"/>
        <w:gridCol w:w="1130"/>
        <w:gridCol w:w="1132"/>
        <w:gridCol w:w="11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5" w:type="dxa"/>
            <w:vMerge w:val="restart"/>
            <w:vAlign w:val="center"/>
          </w:tcPr>
          <w:p>
            <w:pPr>
              <w:pStyle w:val="97"/>
            </w:pPr>
            <w:r>
              <w:rPr>
                <w:rFonts w:hint="eastAsia"/>
              </w:rPr>
              <w:t>工序</w:t>
            </w:r>
          </w:p>
        </w:tc>
        <w:tc>
          <w:tcPr>
            <w:tcW w:w="3261" w:type="dxa"/>
            <w:gridSpan w:val="3"/>
            <w:vAlign w:val="center"/>
          </w:tcPr>
          <w:p>
            <w:pPr>
              <w:pStyle w:val="97"/>
            </w:pPr>
            <w:r>
              <w:rPr>
                <w:rFonts w:hint="eastAsia"/>
              </w:rPr>
              <w:t>产生</w:t>
            </w:r>
            <w:r>
              <w:t>情况</w:t>
            </w:r>
          </w:p>
        </w:tc>
        <w:tc>
          <w:tcPr>
            <w:tcW w:w="1557" w:type="dxa"/>
            <w:vMerge w:val="restart"/>
            <w:vAlign w:val="center"/>
          </w:tcPr>
          <w:p>
            <w:pPr>
              <w:pStyle w:val="97"/>
            </w:pPr>
            <w:r>
              <w:rPr>
                <w:rFonts w:hint="eastAsia"/>
              </w:rPr>
              <w:t>治理</w:t>
            </w:r>
            <w:r>
              <w:t>措施</w:t>
            </w:r>
          </w:p>
        </w:tc>
        <w:tc>
          <w:tcPr>
            <w:tcW w:w="3387" w:type="dxa"/>
            <w:gridSpan w:val="3"/>
            <w:vAlign w:val="center"/>
          </w:tcPr>
          <w:p>
            <w:pPr>
              <w:pStyle w:val="97"/>
            </w:pPr>
            <w:r>
              <w:rPr>
                <w:rFonts w:hint="eastAsia"/>
              </w:rPr>
              <w:t>排放</w:t>
            </w:r>
            <w: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5" w:type="dxa"/>
            <w:vMerge w:val="continue"/>
            <w:vAlign w:val="center"/>
          </w:tcPr>
          <w:p>
            <w:pPr>
              <w:pStyle w:val="97"/>
            </w:pPr>
          </w:p>
        </w:tc>
        <w:tc>
          <w:tcPr>
            <w:tcW w:w="993" w:type="dxa"/>
            <w:vAlign w:val="center"/>
          </w:tcPr>
          <w:p>
            <w:pPr>
              <w:pStyle w:val="97"/>
            </w:pPr>
            <w:r>
              <w:rPr>
                <w:rFonts w:hint="eastAsia"/>
              </w:rPr>
              <w:t>产生</w:t>
            </w:r>
            <w:r>
              <w:t>量</w:t>
            </w:r>
          </w:p>
          <w:p>
            <w:pPr>
              <w:pStyle w:val="97"/>
            </w:pPr>
            <w:r>
              <w:rPr>
                <w:rFonts w:hint="eastAsia"/>
              </w:rPr>
              <w:t>t/a</w:t>
            </w:r>
          </w:p>
        </w:tc>
        <w:tc>
          <w:tcPr>
            <w:tcW w:w="1275" w:type="dxa"/>
            <w:vAlign w:val="center"/>
          </w:tcPr>
          <w:p>
            <w:pPr>
              <w:pStyle w:val="97"/>
            </w:pPr>
            <w:r>
              <w:rPr>
                <w:rFonts w:hint="eastAsia"/>
              </w:rPr>
              <w:t>产生</w:t>
            </w:r>
            <w:r>
              <w:t>速率</w:t>
            </w:r>
          </w:p>
          <w:p>
            <w:pPr>
              <w:pStyle w:val="97"/>
            </w:pPr>
            <w:r>
              <w:rPr>
                <w:rFonts w:hint="eastAsia"/>
              </w:rPr>
              <w:t>kg/h</w:t>
            </w:r>
          </w:p>
        </w:tc>
        <w:tc>
          <w:tcPr>
            <w:tcW w:w="993" w:type="dxa"/>
            <w:vAlign w:val="center"/>
          </w:tcPr>
          <w:p>
            <w:pPr>
              <w:pStyle w:val="97"/>
            </w:pPr>
            <w:r>
              <w:rPr>
                <w:rFonts w:hint="eastAsia"/>
              </w:rPr>
              <w:t>产生</w:t>
            </w:r>
            <w:r>
              <w:t>浓度</w:t>
            </w:r>
          </w:p>
          <w:p>
            <w:pPr>
              <w:pStyle w:val="97"/>
            </w:pPr>
            <w:r>
              <w:rPr>
                <w:rFonts w:hint="eastAsia"/>
              </w:rPr>
              <w:t>mg/m</w:t>
            </w:r>
            <w:r>
              <w:rPr>
                <w:rFonts w:hint="eastAsia"/>
                <w:vertAlign w:val="superscript"/>
              </w:rPr>
              <w:t>3</w:t>
            </w:r>
          </w:p>
        </w:tc>
        <w:tc>
          <w:tcPr>
            <w:tcW w:w="1557" w:type="dxa"/>
            <w:vMerge w:val="continue"/>
            <w:vAlign w:val="center"/>
          </w:tcPr>
          <w:p>
            <w:pPr>
              <w:pStyle w:val="97"/>
            </w:pPr>
          </w:p>
        </w:tc>
        <w:tc>
          <w:tcPr>
            <w:tcW w:w="1130" w:type="dxa"/>
            <w:vAlign w:val="center"/>
          </w:tcPr>
          <w:p>
            <w:pPr>
              <w:pStyle w:val="97"/>
            </w:pPr>
            <w:r>
              <w:rPr>
                <w:rFonts w:hint="eastAsia"/>
              </w:rPr>
              <w:t>排放量</w:t>
            </w:r>
          </w:p>
          <w:p>
            <w:pPr>
              <w:pStyle w:val="97"/>
            </w:pPr>
            <w:r>
              <w:rPr>
                <w:rFonts w:hint="eastAsia"/>
              </w:rPr>
              <w:t>t/a</w:t>
            </w:r>
          </w:p>
        </w:tc>
        <w:tc>
          <w:tcPr>
            <w:tcW w:w="1132" w:type="dxa"/>
            <w:vAlign w:val="center"/>
          </w:tcPr>
          <w:p>
            <w:pPr>
              <w:pStyle w:val="97"/>
            </w:pPr>
            <w:r>
              <w:rPr>
                <w:rFonts w:hint="eastAsia"/>
              </w:rPr>
              <w:t>排放</w:t>
            </w:r>
            <w:r>
              <w:t>速率</w:t>
            </w:r>
          </w:p>
          <w:p>
            <w:pPr>
              <w:pStyle w:val="97"/>
            </w:pPr>
            <w:r>
              <w:rPr>
                <w:rFonts w:hint="eastAsia"/>
              </w:rPr>
              <w:t>kg/h</w:t>
            </w:r>
          </w:p>
        </w:tc>
        <w:tc>
          <w:tcPr>
            <w:tcW w:w="1125" w:type="dxa"/>
            <w:vAlign w:val="center"/>
          </w:tcPr>
          <w:p>
            <w:pPr>
              <w:pStyle w:val="97"/>
            </w:pPr>
            <w:r>
              <w:rPr>
                <w:rFonts w:hint="eastAsia"/>
              </w:rPr>
              <w:t>排放浓度</w:t>
            </w:r>
          </w:p>
          <w:p>
            <w:pPr>
              <w:pStyle w:val="97"/>
            </w:pPr>
            <w:r>
              <w:rPr>
                <w:rFonts w:hint="eastAsia"/>
              </w:rPr>
              <w:t>mg/m</w:t>
            </w:r>
            <w:r>
              <w:rPr>
                <w:rFonts w:hint="eastAsia"/>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5" w:type="dxa"/>
            <w:vAlign w:val="center"/>
          </w:tcPr>
          <w:p>
            <w:pPr>
              <w:pStyle w:val="97"/>
            </w:pPr>
            <w:r>
              <w:rPr>
                <w:rFonts w:hint="eastAsia"/>
              </w:rPr>
              <w:t>甲醇</w:t>
            </w:r>
            <w:r>
              <w:t>萃取</w:t>
            </w:r>
          </w:p>
        </w:tc>
        <w:tc>
          <w:tcPr>
            <w:tcW w:w="993" w:type="dxa"/>
            <w:vAlign w:val="center"/>
          </w:tcPr>
          <w:p>
            <w:pPr>
              <w:pStyle w:val="97"/>
            </w:pPr>
            <w:r>
              <w:rPr>
                <w:rFonts w:hint="eastAsia"/>
              </w:rPr>
              <w:t>0.27</w:t>
            </w:r>
          </w:p>
        </w:tc>
        <w:tc>
          <w:tcPr>
            <w:tcW w:w="1275" w:type="dxa"/>
            <w:vAlign w:val="center"/>
          </w:tcPr>
          <w:p>
            <w:pPr>
              <w:pStyle w:val="97"/>
            </w:pPr>
            <w:r>
              <w:rPr>
                <w:rFonts w:hint="eastAsia"/>
              </w:rPr>
              <w:t>0.063</w:t>
            </w:r>
          </w:p>
        </w:tc>
        <w:tc>
          <w:tcPr>
            <w:tcW w:w="993" w:type="dxa"/>
            <w:vAlign w:val="center"/>
          </w:tcPr>
          <w:p>
            <w:pPr>
              <w:pStyle w:val="97"/>
            </w:pPr>
            <w:r>
              <w:rPr>
                <w:rFonts w:hint="eastAsia"/>
              </w:rPr>
              <w:t>30.55</w:t>
            </w:r>
          </w:p>
        </w:tc>
        <w:tc>
          <w:tcPr>
            <w:tcW w:w="1557" w:type="dxa"/>
            <w:vAlign w:val="center"/>
          </w:tcPr>
          <w:p>
            <w:pPr>
              <w:pStyle w:val="97"/>
            </w:pPr>
            <w:r>
              <w:rPr>
                <w:rFonts w:hint="eastAsia"/>
              </w:rPr>
              <w:t>蒸发</w:t>
            </w:r>
            <w:r>
              <w:t>浓缩</w:t>
            </w:r>
            <w:r>
              <w:rPr>
                <w:rFonts w:hint="eastAsia"/>
              </w:rPr>
              <w:t>+冷冻回收</w:t>
            </w:r>
          </w:p>
        </w:tc>
        <w:tc>
          <w:tcPr>
            <w:tcW w:w="1130" w:type="dxa"/>
            <w:vAlign w:val="center"/>
          </w:tcPr>
          <w:p>
            <w:pPr>
              <w:pStyle w:val="97"/>
            </w:pPr>
            <w:r>
              <w:rPr>
                <w:rFonts w:hint="eastAsia"/>
              </w:rPr>
              <w:t>0.07</w:t>
            </w:r>
          </w:p>
        </w:tc>
        <w:tc>
          <w:tcPr>
            <w:tcW w:w="1132" w:type="dxa"/>
            <w:vAlign w:val="center"/>
          </w:tcPr>
          <w:p>
            <w:pPr>
              <w:pStyle w:val="97"/>
            </w:pPr>
            <w:r>
              <w:rPr>
                <w:rFonts w:hint="eastAsia"/>
              </w:rPr>
              <w:t>0.016</w:t>
            </w:r>
          </w:p>
        </w:tc>
        <w:tc>
          <w:tcPr>
            <w:tcW w:w="1125" w:type="dxa"/>
            <w:vAlign w:val="center"/>
          </w:tcPr>
          <w:p>
            <w:pPr>
              <w:pStyle w:val="97"/>
            </w:pPr>
            <w:r>
              <w:rPr>
                <w:rFonts w:hint="eastAsia"/>
              </w:rPr>
              <w:t>7.64</w:t>
            </w:r>
          </w:p>
        </w:tc>
      </w:tr>
    </w:tbl>
    <w:p>
      <w:pPr>
        <w:pStyle w:val="87"/>
        <w:ind w:firstLine="480"/>
      </w:pPr>
      <w:r>
        <w:rPr>
          <w:rFonts w:hint="eastAsia"/>
        </w:rPr>
        <w:t>（</w:t>
      </w:r>
      <w:r>
        <w:t>3</w:t>
      </w:r>
      <w:r>
        <w:rPr>
          <w:rFonts w:hint="eastAsia"/>
        </w:rPr>
        <w:t>）天然气</w:t>
      </w:r>
      <w:r>
        <w:t>锅炉废气</w:t>
      </w:r>
    </w:p>
    <w:p>
      <w:pPr>
        <w:pStyle w:val="87"/>
        <w:ind w:firstLine="480"/>
      </w:pPr>
      <w:r>
        <w:rPr>
          <w:rFonts w:hint="eastAsia"/>
        </w:rPr>
        <w:t>项目设置</w:t>
      </w:r>
      <w:r>
        <w:t>有</w:t>
      </w:r>
      <w:r>
        <w:rPr>
          <w:rFonts w:hint="eastAsia"/>
        </w:rPr>
        <w:t>一台4</w:t>
      </w:r>
      <w:r>
        <w:t>t/h的天然气锅炉，</w:t>
      </w:r>
      <w:r>
        <w:rPr>
          <w:rFonts w:hint="eastAsia"/>
        </w:rPr>
        <w:t>提供</w:t>
      </w:r>
      <w:r>
        <w:t>生产过程用气，</w:t>
      </w:r>
      <w:r>
        <w:rPr>
          <w:rFonts w:hint="eastAsia"/>
        </w:rPr>
        <w:t>根据</w:t>
      </w:r>
      <w:r>
        <w:t>建设单位提供数据，天然气用量为129.6</w:t>
      </w:r>
      <w:r>
        <w:rPr>
          <w:rFonts w:hint="eastAsia"/>
        </w:rPr>
        <w:t>万</w:t>
      </w:r>
      <w:r>
        <w:t>m</w:t>
      </w:r>
      <w:r>
        <w:rPr>
          <w:vertAlign w:val="superscript"/>
        </w:rPr>
        <w:t>3</w:t>
      </w:r>
      <w:r>
        <w:t>/a</w:t>
      </w:r>
      <w:r>
        <w:rPr>
          <w:rFonts w:hint="eastAsia"/>
        </w:rPr>
        <w:t>，</w:t>
      </w:r>
      <w:r>
        <w:t>每天运行</w:t>
      </w:r>
      <w:r>
        <w:rPr>
          <w:rFonts w:hint="eastAsia"/>
        </w:rPr>
        <w:t>24</w:t>
      </w:r>
      <w:r>
        <w:t>h，每年工作180d。</w:t>
      </w:r>
    </w:p>
    <w:p>
      <w:pPr>
        <w:pStyle w:val="87"/>
        <w:ind w:firstLine="480"/>
      </w:pPr>
      <w:r>
        <w:rPr>
          <w:rFonts w:hint="eastAsia"/>
        </w:rPr>
        <w:t>参照《第一次全国污染源普查工业污染源产排污系数手册》热力生产和供应行业以及参照《环境影响评价工程师职业资格登记培训教材社会区域类》（中国环境科学出版社出版）中油、气燃料的污染物排放因子及类比</w:t>
      </w:r>
      <w:r>
        <w:t>分析</w:t>
      </w:r>
      <w:r>
        <w:rPr>
          <w:rFonts w:hint="eastAsia"/>
        </w:rPr>
        <w:t>，每燃1000立方米天然气排放烟尘0.12kg，项目燃天然气锅炉的产排污系数见下表。</w:t>
      </w:r>
    </w:p>
    <w:p>
      <w:pPr>
        <w:pStyle w:val="93"/>
        <w:rPr>
          <w:rFonts w:asciiTheme="majorHAnsi" w:hAnsiTheme="majorHAnsi"/>
          <w:sz w:val="20"/>
          <w:szCs w:val="20"/>
        </w:rPr>
      </w:pPr>
      <w:r>
        <w:br w:type="column"/>
      </w: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w:t>
      </w:r>
      <w:r>
        <w:rPr>
          <w:kern w:val="24"/>
          <w:szCs w:val="21"/>
        </w:rPr>
        <w:t xml:space="preserve"> </w:t>
      </w:r>
      <w:r>
        <w:rPr>
          <w:rFonts w:hint="eastAsia" w:ascii="Calibri" w:hAnsi="Calibri"/>
          <w:kern w:val="24"/>
          <w:szCs w:val="21"/>
        </w:rPr>
        <w:t>燃</w:t>
      </w:r>
      <w:r>
        <w:rPr>
          <w:rFonts w:ascii="Calibri" w:hAnsi="Calibri"/>
          <w:kern w:val="24"/>
          <w:szCs w:val="21"/>
        </w:rPr>
        <w:t>天然气产排污系数表</w:t>
      </w:r>
    </w:p>
    <w:tbl>
      <w:tblPr>
        <w:tblStyle w:val="35"/>
        <w:tblW w:w="897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3"/>
        <w:gridCol w:w="845"/>
        <w:gridCol w:w="685"/>
        <w:gridCol w:w="1211"/>
        <w:gridCol w:w="1230"/>
        <w:gridCol w:w="1333"/>
        <w:gridCol w:w="851"/>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Align w:val="center"/>
          </w:tcPr>
          <w:p>
            <w:pPr>
              <w:autoSpaceDE w:val="0"/>
              <w:autoSpaceDN w:val="0"/>
              <w:snapToGrid/>
              <w:spacing w:line="240" w:lineRule="auto"/>
              <w:ind w:firstLine="0" w:firstLineChars="0"/>
              <w:jc w:val="center"/>
              <w:rPr>
                <w:b/>
                <w:sz w:val="21"/>
                <w:szCs w:val="21"/>
              </w:rPr>
            </w:pPr>
            <w:r>
              <w:rPr>
                <w:b/>
                <w:sz w:val="21"/>
                <w:szCs w:val="21"/>
              </w:rPr>
              <w:t>产品名称</w:t>
            </w:r>
          </w:p>
        </w:tc>
        <w:tc>
          <w:tcPr>
            <w:tcW w:w="733" w:type="dxa"/>
            <w:vAlign w:val="center"/>
          </w:tcPr>
          <w:p>
            <w:pPr>
              <w:autoSpaceDE w:val="0"/>
              <w:autoSpaceDN w:val="0"/>
              <w:snapToGrid/>
              <w:spacing w:line="240" w:lineRule="auto"/>
              <w:ind w:firstLine="0" w:firstLineChars="0"/>
              <w:jc w:val="center"/>
              <w:rPr>
                <w:b/>
                <w:sz w:val="21"/>
                <w:szCs w:val="21"/>
              </w:rPr>
            </w:pPr>
            <w:r>
              <w:rPr>
                <w:b/>
                <w:sz w:val="21"/>
                <w:szCs w:val="21"/>
              </w:rPr>
              <w:t>原料名称</w:t>
            </w:r>
          </w:p>
        </w:tc>
        <w:tc>
          <w:tcPr>
            <w:tcW w:w="845" w:type="dxa"/>
            <w:vAlign w:val="center"/>
          </w:tcPr>
          <w:p>
            <w:pPr>
              <w:autoSpaceDE w:val="0"/>
              <w:autoSpaceDN w:val="0"/>
              <w:snapToGrid/>
              <w:spacing w:line="240" w:lineRule="auto"/>
              <w:ind w:firstLine="0" w:firstLineChars="0"/>
              <w:jc w:val="center"/>
              <w:rPr>
                <w:b/>
                <w:sz w:val="21"/>
                <w:szCs w:val="21"/>
              </w:rPr>
            </w:pPr>
            <w:r>
              <w:rPr>
                <w:b/>
                <w:sz w:val="21"/>
                <w:szCs w:val="21"/>
              </w:rPr>
              <w:t>工艺名称</w:t>
            </w:r>
          </w:p>
        </w:tc>
        <w:tc>
          <w:tcPr>
            <w:tcW w:w="685" w:type="dxa"/>
            <w:vAlign w:val="center"/>
          </w:tcPr>
          <w:p>
            <w:pPr>
              <w:autoSpaceDE w:val="0"/>
              <w:autoSpaceDN w:val="0"/>
              <w:snapToGrid/>
              <w:spacing w:line="240" w:lineRule="auto"/>
              <w:ind w:firstLine="0" w:firstLineChars="0"/>
              <w:jc w:val="center"/>
              <w:rPr>
                <w:b/>
                <w:sz w:val="21"/>
                <w:szCs w:val="21"/>
              </w:rPr>
            </w:pPr>
            <w:r>
              <w:rPr>
                <w:b/>
                <w:sz w:val="21"/>
                <w:szCs w:val="21"/>
              </w:rPr>
              <w:t>规模等级</w:t>
            </w:r>
          </w:p>
        </w:tc>
        <w:tc>
          <w:tcPr>
            <w:tcW w:w="1211" w:type="dxa"/>
            <w:vAlign w:val="center"/>
          </w:tcPr>
          <w:p>
            <w:pPr>
              <w:autoSpaceDE w:val="0"/>
              <w:autoSpaceDN w:val="0"/>
              <w:snapToGrid/>
              <w:spacing w:line="240" w:lineRule="auto"/>
              <w:ind w:firstLine="0" w:firstLineChars="0"/>
              <w:jc w:val="center"/>
              <w:rPr>
                <w:b/>
                <w:sz w:val="21"/>
                <w:szCs w:val="21"/>
              </w:rPr>
            </w:pPr>
            <w:r>
              <w:rPr>
                <w:b/>
                <w:sz w:val="21"/>
                <w:szCs w:val="21"/>
              </w:rPr>
              <w:t>污染物</w:t>
            </w:r>
          </w:p>
        </w:tc>
        <w:tc>
          <w:tcPr>
            <w:tcW w:w="1230" w:type="dxa"/>
            <w:vAlign w:val="center"/>
          </w:tcPr>
          <w:p>
            <w:pPr>
              <w:autoSpaceDE w:val="0"/>
              <w:autoSpaceDN w:val="0"/>
              <w:snapToGrid/>
              <w:spacing w:line="240" w:lineRule="auto"/>
              <w:ind w:firstLine="0" w:firstLineChars="0"/>
              <w:jc w:val="center"/>
              <w:rPr>
                <w:b/>
                <w:sz w:val="21"/>
                <w:szCs w:val="21"/>
              </w:rPr>
            </w:pPr>
            <w:r>
              <w:rPr>
                <w:b/>
                <w:sz w:val="21"/>
                <w:szCs w:val="21"/>
              </w:rPr>
              <w:t>单位</w:t>
            </w:r>
          </w:p>
        </w:tc>
        <w:tc>
          <w:tcPr>
            <w:tcW w:w="1333" w:type="dxa"/>
            <w:vAlign w:val="center"/>
          </w:tcPr>
          <w:p>
            <w:pPr>
              <w:autoSpaceDE w:val="0"/>
              <w:autoSpaceDN w:val="0"/>
              <w:snapToGrid/>
              <w:spacing w:line="240" w:lineRule="auto"/>
              <w:ind w:firstLine="0" w:firstLineChars="0"/>
              <w:jc w:val="center"/>
              <w:rPr>
                <w:b/>
                <w:sz w:val="21"/>
                <w:szCs w:val="21"/>
              </w:rPr>
            </w:pPr>
            <w:r>
              <w:rPr>
                <w:b/>
                <w:sz w:val="21"/>
                <w:szCs w:val="21"/>
              </w:rPr>
              <w:t>产污系数</w:t>
            </w:r>
          </w:p>
        </w:tc>
        <w:tc>
          <w:tcPr>
            <w:tcW w:w="851" w:type="dxa"/>
            <w:vAlign w:val="center"/>
          </w:tcPr>
          <w:p>
            <w:pPr>
              <w:autoSpaceDE w:val="0"/>
              <w:autoSpaceDN w:val="0"/>
              <w:snapToGrid/>
              <w:spacing w:line="240" w:lineRule="auto"/>
              <w:ind w:firstLine="0" w:firstLineChars="0"/>
              <w:jc w:val="center"/>
              <w:rPr>
                <w:b/>
                <w:sz w:val="21"/>
                <w:szCs w:val="21"/>
              </w:rPr>
            </w:pPr>
            <w:r>
              <w:rPr>
                <w:b/>
                <w:sz w:val="21"/>
                <w:szCs w:val="21"/>
              </w:rPr>
              <w:t>末端治理技术</w:t>
            </w:r>
          </w:p>
        </w:tc>
        <w:tc>
          <w:tcPr>
            <w:tcW w:w="1269" w:type="dxa"/>
            <w:vAlign w:val="center"/>
          </w:tcPr>
          <w:p>
            <w:pPr>
              <w:autoSpaceDE w:val="0"/>
              <w:autoSpaceDN w:val="0"/>
              <w:snapToGrid/>
              <w:spacing w:line="240" w:lineRule="auto"/>
              <w:ind w:firstLine="0" w:firstLineChars="0"/>
              <w:jc w:val="center"/>
              <w:rPr>
                <w:b/>
                <w:sz w:val="21"/>
                <w:szCs w:val="21"/>
              </w:rPr>
            </w:pPr>
            <w:r>
              <w:rPr>
                <w:b/>
                <w:sz w:val="21"/>
                <w:szCs w:val="21"/>
              </w:rPr>
              <w:t>排污系数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restart"/>
            <w:vAlign w:val="center"/>
          </w:tcPr>
          <w:p>
            <w:pPr>
              <w:autoSpaceDE w:val="0"/>
              <w:autoSpaceDN w:val="0"/>
              <w:snapToGrid/>
              <w:spacing w:line="240" w:lineRule="auto"/>
              <w:ind w:firstLine="0" w:firstLineChars="0"/>
              <w:jc w:val="center"/>
              <w:rPr>
                <w:sz w:val="21"/>
                <w:szCs w:val="21"/>
              </w:rPr>
            </w:pPr>
            <w:r>
              <w:rPr>
                <w:sz w:val="21"/>
                <w:szCs w:val="21"/>
              </w:rPr>
              <w:t>蒸汽/热水/其他</w:t>
            </w:r>
          </w:p>
        </w:tc>
        <w:tc>
          <w:tcPr>
            <w:tcW w:w="733" w:type="dxa"/>
            <w:vMerge w:val="restart"/>
            <w:vAlign w:val="center"/>
          </w:tcPr>
          <w:p>
            <w:pPr>
              <w:autoSpaceDE w:val="0"/>
              <w:autoSpaceDN w:val="0"/>
              <w:snapToGrid/>
              <w:spacing w:line="240" w:lineRule="auto"/>
              <w:ind w:firstLine="0" w:firstLineChars="0"/>
              <w:jc w:val="center"/>
              <w:rPr>
                <w:sz w:val="21"/>
                <w:szCs w:val="21"/>
              </w:rPr>
            </w:pPr>
            <w:r>
              <w:rPr>
                <w:sz w:val="21"/>
                <w:szCs w:val="21"/>
              </w:rPr>
              <w:t>天然气</w:t>
            </w:r>
          </w:p>
        </w:tc>
        <w:tc>
          <w:tcPr>
            <w:tcW w:w="845" w:type="dxa"/>
            <w:vMerge w:val="restart"/>
            <w:vAlign w:val="center"/>
          </w:tcPr>
          <w:p>
            <w:pPr>
              <w:autoSpaceDE w:val="0"/>
              <w:autoSpaceDN w:val="0"/>
              <w:snapToGrid/>
              <w:spacing w:line="240" w:lineRule="auto"/>
              <w:ind w:firstLine="0" w:firstLineChars="0"/>
              <w:jc w:val="center"/>
              <w:rPr>
                <w:sz w:val="21"/>
                <w:szCs w:val="21"/>
              </w:rPr>
            </w:pPr>
            <w:r>
              <w:rPr>
                <w:sz w:val="21"/>
                <w:szCs w:val="21"/>
              </w:rPr>
              <w:t>室燃炉</w:t>
            </w:r>
          </w:p>
        </w:tc>
        <w:tc>
          <w:tcPr>
            <w:tcW w:w="685" w:type="dxa"/>
            <w:vMerge w:val="restart"/>
            <w:vAlign w:val="center"/>
          </w:tcPr>
          <w:p>
            <w:pPr>
              <w:autoSpaceDE w:val="0"/>
              <w:autoSpaceDN w:val="0"/>
              <w:snapToGrid/>
              <w:spacing w:line="240" w:lineRule="auto"/>
              <w:ind w:firstLine="0" w:firstLineChars="0"/>
              <w:jc w:val="center"/>
              <w:rPr>
                <w:sz w:val="21"/>
                <w:szCs w:val="21"/>
              </w:rPr>
            </w:pPr>
            <w:r>
              <w:rPr>
                <w:sz w:val="21"/>
                <w:szCs w:val="21"/>
              </w:rPr>
              <w:t>所有规模</w:t>
            </w:r>
          </w:p>
        </w:tc>
        <w:tc>
          <w:tcPr>
            <w:tcW w:w="1211" w:type="dxa"/>
            <w:vAlign w:val="center"/>
          </w:tcPr>
          <w:p>
            <w:pPr>
              <w:autoSpaceDE w:val="0"/>
              <w:autoSpaceDN w:val="0"/>
              <w:snapToGrid/>
              <w:spacing w:line="240" w:lineRule="auto"/>
              <w:ind w:firstLine="0" w:firstLineChars="0"/>
              <w:jc w:val="center"/>
              <w:rPr>
                <w:sz w:val="21"/>
                <w:szCs w:val="21"/>
              </w:rPr>
            </w:pPr>
            <w:r>
              <w:rPr>
                <w:sz w:val="21"/>
                <w:szCs w:val="21"/>
              </w:rPr>
              <w:t>工业废气量</w:t>
            </w:r>
          </w:p>
        </w:tc>
        <w:tc>
          <w:tcPr>
            <w:tcW w:w="1230" w:type="dxa"/>
            <w:vAlign w:val="center"/>
          </w:tcPr>
          <w:p>
            <w:pPr>
              <w:autoSpaceDE w:val="0"/>
              <w:autoSpaceDN w:val="0"/>
              <w:snapToGrid/>
              <w:spacing w:line="240" w:lineRule="auto"/>
              <w:ind w:firstLine="0" w:firstLineChars="0"/>
              <w:jc w:val="center"/>
              <w:rPr>
                <w:sz w:val="21"/>
                <w:szCs w:val="21"/>
              </w:rPr>
            </w:pPr>
            <w:r>
              <w:rPr>
                <w:sz w:val="21"/>
                <w:szCs w:val="21"/>
              </w:rPr>
              <w:t>Nm</w:t>
            </w:r>
            <w:r>
              <w:rPr>
                <w:sz w:val="21"/>
                <w:szCs w:val="21"/>
                <w:vertAlign w:val="superscript"/>
              </w:rPr>
              <w:t>3</w:t>
            </w:r>
            <w:r>
              <w:rPr>
                <w:sz w:val="21"/>
                <w:szCs w:val="21"/>
              </w:rPr>
              <w:t>/10</w:t>
            </w:r>
            <w:r>
              <w:rPr>
                <w:sz w:val="21"/>
                <w:szCs w:val="21"/>
                <w:vertAlign w:val="superscript"/>
              </w:rPr>
              <w:t>4</w:t>
            </w:r>
            <w:r>
              <w:rPr>
                <w:sz w:val="21"/>
                <w:szCs w:val="21"/>
              </w:rPr>
              <w:t>m</w:t>
            </w:r>
            <w:r>
              <w:rPr>
                <w:sz w:val="21"/>
                <w:szCs w:val="21"/>
                <w:vertAlign w:val="superscript"/>
              </w:rPr>
              <w:t>3</w:t>
            </w:r>
          </w:p>
          <w:p>
            <w:pPr>
              <w:autoSpaceDE w:val="0"/>
              <w:autoSpaceDN w:val="0"/>
              <w:snapToGrid/>
              <w:spacing w:line="240" w:lineRule="auto"/>
              <w:ind w:firstLine="0" w:firstLineChars="0"/>
              <w:jc w:val="center"/>
              <w:rPr>
                <w:sz w:val="21"/>
                <w:szCs w:val="21"/>
              </w:rPr>
            </w:pPr>
            <w:r>
              <w:rPr>
                <w:sz w:val="21"/>
                <w:szCs w:val="21"/>
              </w:rPr>
              <w:t>-原料</w:t>
            </w:r>
          </w:p>
        </w:tc>
        <w:tc>
          <w:tcPr>
            <w:tcW w:w="1333" w:type="dxa"/>
            <w:vAlign w:val="center"/>
          </w:tcPr>
          <w:p>
            <w:pPr>
              <w:autoSpaceDE w:val="0"/>
              <w:autoSpaceDN w:val="0"/>
              <w:snapToGrid/>
              <w:spacing w:line="240" w:lineRule="auto"/>
              <w:ind w:firstLine="0" w:firstLineChars="0"/>
              <w:jc w:val="center"/>
              <w:rPr>
                <w:sz w:val="21"/>
                <w:szCs w:val="21"/>
              </w:rPr>
            </w:pPr>
            <w:r>
              <w:rPr>
                <w:sz w:val="21"/>
                <w:szCs w:val="21"/>
              </w:rPr>
              <w:t>136,259.17</w:t>
            </w:r>
          </w:p>
        </w:tc>
        <w:tc>
          <w:tcPr>
            <w:tcW w:w="851" w:type="dxa"/>
            <w:vMerge w:val="restart"/>
            <w:vAlign w:val="center"/>
          </w:tcPr>
          <w:p>
            <w:pPr>
              <w:autoSpaceDE w:val="0"/>
              <w:autoSpaceDN w:val="0"/>
              <w:snapToGrid/>
              <w:spacing w:line="240" w:lineRule="auto"/>
              <w:ind w:firstLine="0" w:firstLineChars="0"/>
              <w:jc w:val="center"/>
              <w:rPr>
                <w:sz w:val="21"/>
                <w:szCs w:val="21"/>
              </w:rPr>
            </w:pPr>
            <w:r>
              <w:rPr>
                <w:sz w:val="21"/>
                <w:szCs w:val="21"/>
              </w:rPr>
              <w:t>直排</w:t>
            </w:r>
          </w:p>
        </w:tc>
        <w:tc>
          <w:tcPr>
            <w:tcW w:w="1269" w:type="dxa"/>
            <w:vAlign w:val="center"/>
          </w:tcPr>
          <w:p>
            <w:pPr>
              <w:autoSpaceDE w:val="0"/>
              <w:autoSpaceDN w:val="0"/>
              <w:snapToGrid/>
              <w:spacing w:line="240" w:lineRule="auto"/>
              <w:ind w:firstLine="0" w:firstLineChars="0"/>
              <w:jc w:val="center"/>
              <w:rPr>
                <w:sz w:val="21"/>
                <w:szCs w:val="21"/>
              </w:rPr>
            </w:pPr>
            <w:r>
              <w:rPr>
                <w:sz w:val="21"/>
                <w:szCs w:val="21"/>
              </w:rPr>
              <w:t>136, 259.17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autoSpaceDE w:val="0"/>
              <w:autoSpaceDN w:val="0"/>
              <w:snapToGrid/>
              <w:spacing w:line="240" w:lineRule="auto"/>
              <w:ind w:firstLine="0" w:firstLineChars="0"/>
              <w:jc w:val="center"/>
              <w:rPr>
                <w:sz w:val="21"/>
                <w:szCs w:val="21"/>
              </w:rPr>
            </w:pPr>
          </w:p>
        </w:tc>
        <w:tc>
          <w:tcPr>
            <w:tcW w:w="733" w:type="dxa"/>
            <w:vMerge w:val="continue"/>
            <w:vAlign w:val="center"/>
          </w:tcPr>
          <w:p>
            <w:pPr>
              <w:autoSpaceDE w:val="0"/>
              <w:autoSpaceDN w:val="0"/>
              <w:snapToGrid/>
              <w:spacing w:line="240" w:lineRule="auto"/>
              <w:ind w:firstLine="0" w:firstLineChars="0"/>
              <w:jc w:val="center"/>
              <w:rPr>
                <w:sz w:val="21"/>
                <w:szCs w:val="21"/>
              </w:rPr>
            </w:pPr>
          </w:p>
        </w:tc>
        <w:tc>
          <w:tcPr>
            <w:tcW w:w="845" w:type="dxa"/>
            <w:vMerge w:val="continue"/>
            <w:vAlign w:val="center"/>
          </w:tcPr>
          <w:p>
            <w:pPr>
              <w:autoSpaceDE w:val="0"/>
              <w:autoSpaceDN w:val="0"/>
              <w:snapToGrid/>
              <w:spacing w:line="240" w:lineRule="auto"/>
              <w:ind w:firstLine="0" w:firstLineChars="0"/>
              <w:jc w:val="center"/>
              <w:rPr>
                <w:sz w:val="21"/>
                <w:szCs w:val="21"/>
              </w:rPr>
            </w:pPr>
          </w:p>
        </w:tc>
        <w:tc>
          <w:tcPr>
            <w:tcW w:w="685" w:type="dxa"/>
            <w:vMerge w:val="continue"/>
            <w:vAlign w:val="center"/>
          </w:tcPr>
          <w:p>
            <w:pPr>
              <w:autoSpaceDE w:val="0"/>
              <w:autoSpaceDN w:val="0"/>
              <w:snapToGrid/>
              <w:spacing w:line="240" w:lineRule="auto"/>
              <w:ind w:firstLine="0" w:firstLineChars="0"/>
              <w:jc w:val="center"/>
              <w:rPr>
                <w:sz w:val="21"/>
                <w:szCs w:val="21"/>
              </w:rPr>
            </w:pPr>
          </w:p>
        </w:tc>
        <w:tc>
          <w:tcPr>
            <w:tcW w:w="1211" w:type="dxa"/>
            <w:vAlign w:val="center"/>
          </w:tcPr>
          <w:p>
            <w:pPr>
              <w:autoSpaceDE w:val="0"/>
              <w:autoSpaceDN w:val="0"/>
              <w:snapToGrid/>
              <w:spacing w:line="240" w:lineRule="auto"/>
              <w:ind w:firstLine="0" w:firstLineChars="0"/>
              <w:jc w:val="center"/>
              <w:rPr>
                <w:sz w:val="21"/>
                <w:szCs w:val="21"/>
              </w:rPr>
            </w:pPr>
            <w:r>
              <w:rPr>
                <w:sz w:val="21"/>
                <w:szCs w:val="21"/>
              </w:rPr>
              <w:t>颗粒物</w:t>
            </w:r>
          </w:p>
        </w:tc>
        <w:tc>
          <w:tcPr>
            <w:tcW w:w="1230" w:type="dxa"/>
            <w:vAlign w:val="center"/>
          </w:tcPr>
          <w:p>
            <w:pPr>
              <w:autoSpaceDE w:val="0"/>
              <w:autoSpaceDN w:val="0"/>
              <w:snapToGrid/>
              <w:spacing w:line="240" w:lineRule="auto"/>
              <w:ind w:firstLine="0" w:firstLineChars="0"/>
              <w:jc w:val="center"/>
              <w:rPr>
                <w:sz w:val="21"/>
                <w:szCs w:val="21"/>
              </w:rPr>
            </w:pPr>
            <w:r>
              <w:rPr>
                <w:sz w:val="21"/>
                <w:szCs w:val="21"/>
              </w:rPr>
              <w:t>kg/1000m</w:t>
            </w:r>
            <w:r>
              <w:rPr>
                <w:sz w:val="21"/>
                <w:szCs w:val="21"/>
                <w:vertAlign w:val="superscript"/>
              </w:rPr>
              <w:t>3</w:t>
            </w:r>
            <w:r>
              <w:rPr>
                <w:sz w:val="21"/>
                <w:szCs w:val="21"/>
              </w:rPr>
              <w:t>-原料</w:t>
            </w:r>
          </w:p>
        </w:tc>
        <w:tc>
          <w:tcPr>
            <w:tcW w:w="1333" w:type="dxa"/>
            <w:vAlign w:val="center"/>
          </w:tcPr>
          <w:p>
            <w:pPr>
              <w:autoSpaceDE w:val="0"/>
              <w:autoSpaceDN w:val="0"/>
              <w:snapToGrid/>
              <w:spacing w:line="240" w:lineRule="auto"/>
              <w:ind w:firstLine="0" w:firstLineChars="0"/>
              <w:jc w:val="center"/>
              <w:rPr>
                <w:sz w:val="21"/>
                <w:szCs w:val="21"/>
              </w:rPr>
            </w:pPr>
            <w:r>
              <w:rPr>
                <w:sz w:val="21"/>
                <w:szCs w:val="21"/>
              </w:rPr>
              <w:t>0.12</w:t>
            </w:r>
          </w:p>
        </w:tc>
        <w:tc>
          <w:tcPr>
            <w:tcW w:w="851" w:type="dxa"/>
            <w:vMerge w:val="continue"/>
            <w:vAlign w:val="center"/>
          </w:tcPr>
          <w:p>
            <w:pPr>
              <w:autoSpaceDE w:val="0"/>
              <w:autoSpaceDN w:val="0"/>
              <w:snapToGrid/>
              <w:spacing w:line="240" w:lineRule="auto"/>
              <w:ind w:firstLine="0" w:firstLineChars="0"/>
              <w:jc w:val="center"/>
              <w:rPr>
                <w:sz w:val="21"/>
                <w:szCs w:val="21"/>
              </w:rPr>
            </w:pPr>
          </w:p>
        </w:tc>
        <w:tc>
          <w:tcPr>
            <w:tcW w:w="1269" w:type="dxa"/>
            <w:vAlign w:val="center"/>
          </w:tcPr>
          <w:p>
            <w:pPr>
              <w:autoSpaceDE w:val="0"/>
              <w:autoSpaceDN w:val="0"/>
              <w:snapToGrid/>
              <w:spacing w:line="240" w:lineRule="auto"/>
              <w:ind w:firstLine="0" w:firstLineChars="0"/>
              <w:jc w:val="center"/>
              <w:rPr>
                <w:sz w:val="21"/>
                <w:szCs w:val="21"/>
              </w:rPr>
            </w:pPr>
            <w:r>
              <w:rPr>
                <w:sz w:val="21"/>
                <w:szCs w:val="21"/>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820" w:type="dxa"/>
            <w:vMerge w:val="continue"/>
            <w:vAlign w:val="center"/>
          </w:tcPr>
          <w:p>
            <w:pPr>
              <w:autoSpaceDE w:val="0"/>
              <w:autoSpaceDN w:val="0"/>
              <w:snapToGrid/>
              <w:spacing w:line="240" w:lineRule="auto"/>
              <w:ind w:firstLine="0" w:firstLineChars="0"/>
              <w:jc w:val="center"/>
              <w:rPr>
                <w:sz w:val="21"/>
                <w:szCs w:val="21"/>
              </w:rPr>
            </w:pPr>
          </w:p>
        </w:tc>
        <w:tc>
          <w:tcPr>
            <w:tcW w:w="733" w:type="dxa"/>
            <w:vMerge w:val="continue"/>
            <w:vAlign w:val="center"/>
          </w:tcPr>
          <w:p>
            <w:pPr>
              <w:autoSpaceDE w:val="0"/>
              <w:autoSpaceDN w:val="0"/>
              <w:snapToGrid/>
              <w:spacing w:line="240" w:lineRule="auto"/>
              <w:ind w:firstLine="0" w:firstLineChars="0"/>
              <w:jc w:val="center"/>
              <w:rPr>
                <w:sz w:val="21"/>
                <w:szCs w:val="21"/>
              </w:rPr>
            </w:pPr>
          </w:p>
        </w:tc>
        <w:tc>
          <w:tcPr>
            <w:tcW w:w="845" w:type="dxa"/>
            <w:vMerge w:val="continue"/>
            <w:vAlign w:val="center"/>
          </w:tcPr>
          <w:p>
            <w:pPr>
              <w:autoSpaceDE w:val="0"/>
              <w:autoSpaceDN w:val="0"/>
              <w:snapToGrid/>
              <w:spacing w:line="240" w:lineRule="auto"/>
              <w:ind w:firstLine="0" w:firstLineChars="0"/>
              <w:jc w:val="center"/>
              <w:rPr>
                <w:sz w:val="21"/>
                <w:szCs w:val="21"/>
              </w:rPr>
            </w:pPr>
          </w:p>
        </w:tc>
        <w:tc>
          <w:tcPr>
            <w:tcW w:w="685" w:type="dxa"/>
            <w:vMerge w:val="continue"/>
            <w:vAlign w:val="center"/>
          </w:tcPr>
          <w:p>
            <w:pPr>
              <w:autoSpaceDE w:val="0"/>
              <w:autoSpaceDN w:val="0"/>
              <w:snapToGrid/>
              <w:spacing w:line="240" w:lineRule="auto"/>
              <w:ind w:firstLine="0" w:firstLineChars="0"/>
              <w:jc w:val="center"/>
              <w:rPr>
                <w:sz w:val="21"/>
                <w:szCs w:val="21"/>
              </w:rPr>
            </w:pPr>
          </w:p>
        </w:tc>
        <w:tc>
          <w:tcPr>
            <w:tcW w:w="1211" w:type="dxa"/>
            <w:vAlign w:val="center"/>
          </w:tcPr>
          <w:p>
            <w:pPr>
              <w:autoSpaceDE w:val="0"/>
              <w:autoSpaceDN w:val="0"/>
              <w:snapToGrid/>
              <w:spacing w:line="240" w:lineRule="auto"/>
              <w:ind w:firstLine="0" w:firstLineChars="0"/>
              <w:jc w:val="center"/>
              <w:rPr>
                <w:sz w:val="21"/>
                <w:szCs w:val="21"/>
              </w:rPr>
            </w:pPr>
            <w:r>
              <w:rPr>
                <w:sz w:val="21"/>
                <w:szCs w:val="21"/>
              </w:rPr>
              <w:t>二氧化硫</w:t>
            </w:r>
          </w:p>
        </w:tc>
        <w:tc>
          <w:tcPr>
            <w:tcW w:w="1230" w:type="dxa"/>
            <w:vAlign w:val="center"/>
          </w:tcPr>
          <w:p>
            <w:pPr>
              <w:autoSpaceDE w:val="0"/>
              <w:autoSpaceDN w:val="0"/>
              <w:snapToGrid/>
              <w:spacing w:line="240" w:lineRule="auto"/>
              <w:ind w:firstLine="0" w:firstLineChars="0"/>
              <w:jc w:val="center"/>
              <w:rPr>
                <w:sz w:val="21"/>
                <w:szCs w:val="21"/>
              </w:rPr>
            </w:pPr>
            <w:r>
              <w:rPr>
                <w:rFonts w:hint="eastAsia"/>
                <w:sz w:val="21"/>
                <w:szCs w:val="21"/>
              </w:rPr>
              <w:t>k</w:t>
            </w:r>
            <w:r>
              <w:rPr>
                <w:sz w:val="21"/>
                <w:szCs w:val="21"/>
              </w:rPr>
              <w:t>g/10</w:t>
            </w:r>
            <w:r>
              <w:rPr>
                <w:sz w:val="21"/>
                <w:szCs w:val="21"/>
                <w:vertAlign w:val="superscript"/>
              </w:rPr>
              <w:t>4</w:t>
            </w:r>
            <w:r>
              <w:rPr>
                <w:sz w:val="21"/>
                <w:szCs w:val="21"/>
              </w:rPr>
              <w:t>m</w:t>
            </w:r>
            <w:r>
              <w:rPr>
                <w:sz w:val="21"/>
                <w:szCs w:val="21"/>
                <w:vertAlign w:val="superscript"/>
              </w:rPr>
              <w:t>3</w:t>
            </w:r>
          </w:p>
          <w:p>
            <w:pPr>
              <w:autoSpaceDE w:val="0"/>
              <w:autoSpaceDN w:val="0"/>
              <w:snapToGrid/>
              <w:spacing w:line="240" w:lineRule="auto"/>
              <w:ind w:firstLine="0" w:firstLineChars="0"/>
              <w:jc w:val="center"/>
              <w:rPr>
                <w:sz w:val="21"/>
                <w:szCs w:val="21"/>
              </w:rPr>
            </w:pPr>
            <w:r>
              <w:rPr>
                <w:sz w:val="21"/>
                <w:szCs w:val="21"/>
              </w:rPr>
              <w:t>-原料</w:t>
            </w:r>
          </w:p>
        </w:tc>
        <w:tc>
          <w:tcPr>
            <w:tcW w:w="1333" w:type="dxa"/>
            <w:vAlign w:val="center"/>
          </w:tcPr>
          <w:p>
            <w:pPr>
              <w:autoSpaceDE w:val="0"/>
              <w:autoSpaceDN w:val="0"/>
              <w:snapToGrid/>
              <w:spacing w:line="240" w:lineRule="auto"/>
              <w:ind w:firstLine="0" w:firstLineChars="0"/>
              <w:jc w:val="center"/>
              <w:rPr>
                <w:sz w:val="21"/>
                <w:szCs w:val="21"/>
              </w:rPr>
            </w:pPr>
            <w:r>
              <w:rPr>
                <w:sz w:val="21"/>
                <w:szCs w:val="21"/>
              </w:rPr>
              <w:t>0.02S</w:t>
            </w:r>
          </w:p>
        </w:tc>
        <w:tc>
          <w:tcPr>
            <w:tcW w:w="851" w:type="dxa"/>
            <w:vMerge w:val="continue"/>
            <w:vAlign w:val="center"/>
          </w:tcPr>
          <w:p>
            <w:pPr>
              <w:autoSpaceDE w:val="0"/>
              <w:autoSpaceDN w:val="0"/>
              <w:snapToGrid/>
              <w:spacing w:line="240" w:lineRule="auto"/>
              <w:ind w:firstLine="0" w:firstLineChars="0"/>
              <w:jc w:val="center"/>
              <w:rPr>
                <w:sz w:val="21"/>
                <w:szCs w:val="21"/>
              </w:rPr>
            </w:pPr>
          </w:p>
        </w:tc>
        <w:tc>
          <w:tcPr>
            <w:tcW w:w="1269" w:type="dxa"/>
            <w:vAlign w:val="center"/>
          </w:tcPr>
          <w:p>
            <w:pPr>
              <w:autoSpaceDE w:val="0"/>
              <w:autoSpaceDN w:val="0"/>
              <w:snapToGrid/>
              <w:spacing w:line="240" w:lineRule="auto"/>
              <w:ind w:firstLine="0" w:firstLineChars="0"/>
              <w:jc w:val="center"/>
              <w:rPr>
                <w:sz w:val="21"/>
                <w:szCs w:val="21"/>
              </w:rPr>
            </w:pPr>
            <w:r>
              <w:rPr>
                <w:sz w:val="21"/>
                <w:szCs w:val="21"/>
              </w:rPr>
              <w:t>0.02S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autoSpaceDE w:val="0"/>
              <w:autoSpaceDN w:val="0"/>
              <w:snapToGrid/>
              <w:spacing w:line="240" w:lineRule="auto"/>
              <w:ind w:firstLine="0" w:firstLineChars="0"/>
              <w:jc w:val="center"/>
              <w:rPr>
                <w:sz w:val="21"/>
                <w:szCs w:val="21"/>
              </w:rPr>
            </w:pPr>
          </w:p>
        </w:tc>
        <w:tc>
          <w:tcPr>
            <w:tcW w:w="733" w:type="dxa"/>
            <w:vMerge w:val="continue"/>
            <w:vAlign w:val="center"/>
          </w:tcPr>
          <w:p>
            <w:pPr>
              <w:autoSpaceDE w:val="0"/>
              <w:autoSpaceDN w:val="0"/>
              <w:snapToGrid/>
              <w:spacing w:line="240" w:lineRule="auto"/>
              <w:ind w:firstLine="0" w:firstLineChars="0"/>
              <w:jc w:val="center"/>
              <w:rPr>
                <w:sz w:val="21"/>
                <w:szCs w:val="21"/>
              </w:rPr>
            </w:pPr>
          </w:p>
        </w:tc>
        <w:tc>
          <w:tcPr>
            <w:tcW w:w="845" w:type="dxa"/>
            <w:vMerge w:val="continue"/>
            <w:vAlign w:val="center"/>
          </w:tcPr>
          <w:p>
            <w:pPr>
              <w:autoSpaceDE w:val="0"/>
              <w:autoSpaceDN w:val="0"/>
              <w:snapToGrid/>
              <w:spacing w:line="240" w:lineRule="auto"/>
              <w:ind w:firstLine="0" w:firstLineChars="0"/>
              <w:jc w:val="center"/>
              <w:rPr>
                <w:sz w:val="21"/>
                <w:szCs w:val="21"/>
              </w:rPr>
            </w:pPr>
          </w:p>
        </w:tc>
        <w:tc>
          <w:tcPr>
            <w:tcW w:w="685" w:type="dxa"/>
            <w:vMerge w:val="continue"/>
            <w:vAlign w:val="center"/>
          </w:tcPr>
          <w:p>
            <w:pPr>
              <w:autoSpaceDE w:val="0"/>
              <w:autoSpaceDN w:val="0"/>
              <w:snapToGrid/>
              <w:spacing w:line="240" w:lineRule="auto"/>
              <w:ind w:firstLine="0" w:firstLineChars="0"/>
              <w:jc w:val="center"/>
              <w:rPr>
                <w:sz w:val="21"/>
                <w:szCs w:val="21"/>
              </w:rPr>
            </w:pPr>
          </w:p>
        </w:tc>
        <w:tc>
          <w:tcPr>
            <w:tcW w:w="1211" w:type="dxa"/>
            <w:vAlign w:val="center"/>
          </w:tcPr>
          <w:p>
            <w:pPr>
              <w:autoSpaceDE w:val="0"/>
              <w:autoSpaceDN w:val="0"/>
              <w:snapToGrid/>
              <w:spacing w:line="240" w:lineRule="auto"/>
              <w:ind w:firstLine="0" w:firstLineChars="0"/>
              <w:jc w:val="center"/>
              <w:rPr>
                <w:sz w:val="21"/>
                <w:szCs w:val="21"/>
              </w:rPr>
            </w:pPr>
            <w:r>
              <w:rPr>
                <w:sz w:val="21"/>
                <w:szCs w:val="21"/>
              </w:rPr>
              <w:t>氮氧化物</w:t>
            </w:r>
          </w:p>
        </w:tc>
        <w:tc>
          <w:tcPr>
            <w:tcW w:w="1230" w:type="dxa"/>
            <w:vAlign w:val="center"/>
          </w:tcPr>
          <w:p>
            <w:pPr>
              <w:autoSpaceDE w:val="0"/>
              <w:autoSpaceDN w:val="0"/>
              <w:snapToGrid/>
              <w:spacing w:line="240" w:lineRule="auto"/>
              <w:ind w:firstLine="0" w:firstLineChars="0"/>
              <w:jc w:val="center"/>
              <w:rPr>
                <w:sz w:val="21"/>
                <w:szCs w:val="21"/>
              </w:rPr>
            </w:pPr>
            <w:r>
              <w:rPr>
                <w:rFonts w:hint="eastAsia"/>
                <w:sz w:val="21"/>
                <w:szCs w:val="21"/>
              </w:rPr>
              <w:t>k</w:t>
            </w:r>
            <w:r>
              <w:rPr>
                <w:sz w:val="21"/>
                <w:szCs w:val="21"/>
              </w:rPr>
              <w:t>g/10</w:t>
            </w:r>
            <w:r>
              <w:rPr>
                <w:sz w:val="21"/>
                <w:szCs w:val="21"/>
                <w:vertAlign w:val="superscript"/>
              </w:rPr>
              <w:t>4</w:t>
            </w:r>
            <w:r>
              <w:rPr>
                <w:sz w:val="21"/>
                <w:szCs w:val="21"/>
              </w:rPr>
              <w:t>m</w:t>
            </w:r>
            <w:r>
              <w:rPr>
                <w:sz w:val="21"/>
                <w:szCs w:val="21"/>
                <w:vertAlign w:val="superscript"/>
              </w:rPr>
              <w:t>3</w:t>
            </w:r>
          </w:p>
          <w:p>
            <w:pPr>
              <w:autoSpaceDE w:val="0"/>
              <w:autoSpaceDN w:val="0"/>
              <w:snapToGrid/>
              <w:spacing w:line="240" w:lineRule="auto"/>
              <w:ind w:firstLine="0" w:firstLineChars="0"/>
              <w:jc w:val="center"/>
              <w:rPr>
                <w:sz w:val="21"/>
                <w:szCs w:val="21"/>
              </w:rPr>
            </w:pPr>
            <w:r>
              <w:rPr>
                <w:sz w:val="21"/>
                <w:szCs w:val="21"/>
              </w:rPr>
              <w:t>-原料</w:t>
            </w:r>
          </w:p>
        </w:tc>
        <w:tc>
          <w:tcPr>
            <w:tcW w:w="1333" w:type="dxa"/>
            <w:vAlign w:val="center"/>
          </w:tcPr>
          <w:p>
            <w:pPr>
              <w:autoSpaceDE w:val="0"/>
              <w:autoSpaceDN w:val="0"/>
              <w:snapToGrid/>
              <w:spacing w:line="240" w:lineRule="auto"/>
              <w:ind w:firstLine="0" w:firstLineChars="0"/>
              <w:jc w:val="center"/>
              <w:rPr>
                <w:sz w:val="21"/>
                <w:szCs w:val="21"/>
              </w:rPr>
            </w:pPr>
            <w:r>
              <w:rPr>
                <w:sz w:val="21"/>
                <w:szCs w:val="21"/>
              </w:rPr>
              <w:t>18.71</w:t>
            </w:r>
          </w:p>
        </w:tc>
        <w:tc>
          <w:tcPr>
            <w:tcW w:w="851" w:type="dxa"/>
            <w:vMerge w:val="continue"/>
            <w:vAlign w:val="center"/>
          </w:tcPr>
          <w:p>
            <w:pPr>
              <w:autoSpaceDE w:val="0"/>
              <w:autoSpaceDN w:val="0"/>
              <w:snapToGrid/>
              <w:spacing w:line="240" w:lineRule="auto"/>
              <w:ind w:firstLine="0" w:firstLineChars="0"/>
              <w:jc w:val="center"/>
              <w:rPr>
                <w:sz w:val="21"/>
                <w:szCs w:val="21"/>
              </w:rPr>
            </w:pPr>
          </w:p>
        </w:tc>
        <w:tc>
          <w:tcPr>
            <w:tcW w:w="1269" w:type="dxa"/>
            <w:vAlign w:val="center"/>
          </w:tcPr>
          <w:p>
            <w:pPr>
              <w:autoSpaceDE w:val="0"/>
              <w:autoSpaceDN w:val="0"/>
              <w:snapToGrid/>
              <w:spacing w:line="240" w:lineRule="auto"/>
              <w:ind w:firstLine="0" w:firstLineChars="0"/>
              <w:jc w:val="center"/>
              <w:rPr>
                <w:sz w:val="21"/>
                <w:szCs w:val="21"/>
              </w:rPr>
            </w:pPr>
            <w:r>
              <w:rPr>
                <w:sz w:val="21"/>
                <w:szCs w:val="21"/>
              </w:rPr>
              <w:t>18.71</w:t>
            </w:r>
          </w:p>
        </w:tc>
      </w:tr>
    </w:tbl>
    <w:p>
      <w:pPr>
        <w:pStyle w:val="87"/>
        <w:spacing w:line="240" w:lineRule="auto"/>
        <w:ind w:firstLine="422"/>
        <w:rPr>
          <w:b/>
          <w:sz w:val="21"/>
          <w:szCs w:val="21"/>
        </w:rPr>
      </w:pPr>
      <w:r>
        <w:rPr>
          <w:b/>
          <w:sz w:val="21"/>
          <w:szCs w:val="21"/>
        </w:rPr>
        <w:t>注：项目使用的天然气质量符合《强制性国家标准&lt;天然气&gt;》(GB17820-2018）中规定</w:t>
      </w:r>
      <w:r>
        <w:rPr>
          <w:rFonts w:hint="eastAsia"/>
          <w:b/>
          <w:sz w:val="21"/>
          <w:szCs w:val="21"/>
        </w:rPr>
        <w:t>天然气</w:t>
      </w:r>
      <w:r>
        <w:rPr>
          <w:b/>
          <w:sz w:val="21"/>
          <w:szCs w:val="21"/>
        </w:rPr>
        <w:t>总硫含量分为一类和二类，</w:t>
      </w:r>
      <w:r>
        <w:rPr>
          <w:rFonts w:hint="eastAsia"/>
          <w:b/>
          <w:sz w:val="21"/>
          <w:szCs w:val="21"/>
        </w:rPr>
        <w:t>一</w:t>
      </w:r>
      <w:r>
        <w:rPr>
          <w:b/>
          <w:sz w:val="21"/>
          <w:szCs w:val="21"/>
        </w:rPr>
        <w:t>类天然气标准，含硫率小于20mg/m</w:t>
      </w:r>
      <w:r>
        <w:rPr>
          <w:b/>
          <w:sz w:val="21"/>
          <w:szCs w:val="21"/>
          <w:vertAlign w:val="superscript"/>
        </w:rPr>
        <w:t>3</w:t>
      </w:r>
      <w:r>
        <w:rPr>
          <w:rFonts w:hint="eastAsia"/>
          <w:b/>
          <w:sz w:val="21"/>
          <w:szCs w:val="21"/>
          <w:vertAlign w:val="subscript"/>
        </w:rPr>
        <w:t>，</w:t>
      </w:r>
      <w:r>
        <w:rPr>
          <w:rFonts w:hint="eastAsia"/>
          <w:b/>
          <w:sz w:val="21"/>
          <w:szCs w:val="21"/>
        </w:rPr>
        <w:t>二</w:t>
      </w:r>
      <w:r>
        <w:rPr>
          <w:b/>
          <w:sz w:val="21"/>
          <w:szCs w:val="21"/>
        </w:rPr>
        <w:t>类天然气标准，含硫率小于100mg/m</w:t>
      </w:r>
      <w:r>
        <w:rPr>
          <w:b/>
          <w:sz w:val="21"/>
          <w:szCs w:val="21"/>
          <w:vertAlign w:val="superscript"/>
        </w:rPr>
        <w:t>3</w:t>
      </w:r>
      <w:r>
        <w:rPr>
          <w:b/>
          <w:sz w:val="21"/>
          <w:szCs w:val="21"/>
        </w:rPr>
        <w:t>。本项目天然气含硫率按50mg/m</w:t>
      </w:r>
      <w:r>
        <w:rPr>
          <w:b/>
          <w:sz w:val="21"/>
          <w:szCs w:val="21"/>
          <w:vertAlign w:val="superscript"/>
        </w:rPr>
        <w:t>3</w:t>
      </w:r>
      <w:r>
        <w:rPr>
          <w:b/>
          <w:sz w:val="21"/>
          <w:szCs w:val="21"/>
        </w:rPr>
        <w:t>进行核算，即S=50</w:t>
      </w:r>
      <w:r>
        <w:rPr>
          <w:rFonts w:hint="eastAsia"/>
          <w:b/>
          <w:sz w:val="21"/>
          <w:szCs w:val="21"/>
        </w:rPr>
        <w:t>。</w:t>
      </w:r>
    </w:p>
    <w:p>
      <w:pPr>
        <w:pStyle w:val="87"/>
        <w:spacing w:before="163" w:beforeLines="50"/>
        <w:ind w:firstLine="480"/>
      </w:pPr>
      <w:r>
        <w:rPr>
          <w:rFonts w:hint="eastAsia"/>
        </w:rPr>
        <w:t>天然气</w:t>
      </w:r>
      <w:r>
        <w:t>锅炉</w:t>
      </w:r>
      <w:r>
        <w:rPr>
          <w:rFonts w:hint="eastAsia"/>
        </w:rPr>
        <w:t>安装低氮</w:t>
      </w:r>
      <w:r>
        <w:t>燃烧器后经15</w:t>
      </w:r>
      <w:r>
        <w:rPr>
          <w:rFonts w:hint="eastAsia"/>
        </w:rPr>
        <w:t>m</w:t>
      </w:r>
      <w:r>
        <w:t>排气筒排放</w:t>
      </w:r>
      <w:r>
        <w:rPr>
          <w:rFonts w:hint="eastAsia"/>
        </w:rPr>
        <w:t>，项目天然气</w:t>
      </w:r>
      <w:r>
        <w:t>燃烧废气产排污</w:t>
      </w:r>
      <w:r>
        <w:rPr>
          <w:rFonts w:hint="eastAsia"/>
        </w:rPr>
        <w:t>情况</w:t>
      </w:r>
      <w:r>
        <w:t>见表</w:t>
      </w:r>
      <w:r>
        <w:rPr>
          <w:rFonts w:hint="eastAsia"/>
        </w:rPr>
        <w:t>3.3-</w:t>
      </w:r>
      <w:r>
        <w:t>5</w:t>
      </w:r>
      <w:r>
        <w:rPr>
          <w:rFonts w:hint="eastAsia"/>
        </w:rPr>
        <w:t>。</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t xml:space="preserve">  </w:t>
      </w:r>
      <w:r>
        <w:rPr>
          <w:rFonts w:hint="eastAsia"/>
        </w:rPr>
        <w:t>项目</w:t>
      </w:r>
      <w:r>
        <w:t>产排污情况一览表</w:t>
      </w:r>
    </w:p>
    <w:tbl>
      <w:tblPr>
        <w:tblStyle w:val="35"/>
        <w:tblW w:w="890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1942"/>
        <w:gridCol w:w="169"/>
        <w:gridCol w:w="2088"/>
        <w:gridCol w:w="23"/>
        <w:gridCol w:w="21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t>名称</w:t>
            </w:r>
          </w:p>
        </w:tc>
        <w:tc>
          <w:tcPr>
            <w:tcW w:w="1942" w:type="dxa"/>
            <w:vAlign w:val="center"/>
          </w:tcPr>
          <w:p>
            <w:pPr>
              <w:pStyle w:val="97"/>
            </w:pPr>
            <w:r>
              <w:t>颗粒物</w:t>
            </w:r>
          </w:p>
        </w:tc>
        <w:tc>
          <w:tcPr>
            <w:tcW w:w="2257" w:type="dxa"/>
            <w:gridSpan w:val="2"/>
            <w:vAlign w:val="center"/>
          </w:tcPr>
          <w:p>
            <w:pPr>
              <w:pStyle w:val="97"/>
            </w:pPr>
            <w:r>
              <w:t>SO</w:t>
            </w:r>
            <w:r>
              <w:rPr>
                <w:vertAlign w:val="subscript"/>
              </w:rPr>
              <w:t>2</w:t>
            </w:r>
          </w:p>
        </w:tc>
        <w:tc>
          <w:tcPr>
            <w:tcW w:w="2137" w:type="dxa"/>
            <w:gridSpan w:val="2"/>
            <w:vAlign w:val="center"/>
          </w:tcPr>
          <w:p>
            <w:pPr>
              <w:pStyle w:val="97"/>
            </w:pPr>
            <w:r>
              <w:t>NO</w:t>
            </w:r>
            <w:r>
              <w:rPr>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rPr>
                <w:rFonts w:hint="eastAsia"/>
              </w:rPr>
              <w:t>烟气</w:t>
            </w:r>
            <w:r>
              <w:t>量（Nm</w:t>
            </w:r>
            <w:r>
              <w:rPr>
                <w:vertAlign w:val="superscript"/>
              </w:rPr>
              <w:t>3</w:t>
            </w:r>
            <w:r>
              <w:t>/a）</w:t>
            </w:r>
          </w:p>
        </w:tc>
        <w:tc>
          <w:tcPr>
            <w:tcW w:w="6336" w:type="dxa"/>
            <w:gridSpan w:val="5"/>
            <w:vAlign w:val="center"/>
          </w:tcPr>
          <w:p>
            <w:pPr>
              <w:pStyle w:val="97"/>
            </w:pPr>
            <w:r>
              <w:t>17659188.43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t>产生量（</w:t>
            </w:r>
            <w:r>
              <w:rPr>
                <w:rFonts w:hint="eastAsia"/>
              </w:rPr>
              <w:t>kg</w:t>
            </w:r>
            <w:r>
              <w:t>/a）</w:t>
            </w:r>
          </w:p>
        </w:tc>
        <w:tc>
          <w:tcPr>
            <w:tcW w:w="1942" w:type="dxa"/>
            <w:vAlign w:val="center"/>
          </w:tcPr>
          <w:p>
            <w:pPr>
              <w:pStyle w:val="97"/>
            </w:pPr>
            <w:r>
              <w:t>155.52</w:t>
            </w:r>
          </w:p>
        </w:tc>
        <w:tc>
          <w:tcPr>
            <w:tcW w:w="2257" w:type="dxa"/>
            <w:gridSpan w:val="2"/>
            <w:vAlign w:val="center"/>
          </w:tcPr>
          <w:p>
            <w:pPr>
              <w:pStyle w:val="97"/>
            </w:pPr>
            <w:r>
              <w:t>129.60</w:t>
            </w:r>
          </w:p>
        </w:tc>
        <w:tc>
          <w:tcPr>
            <w:tcW w:w="2137" w:type="dxa"/>
            <w:gridSpan w:val="2"/>
            <w:vAlign w:val="center"/>
          </w:tcPr>
          <w:p>
            <w:pPr>
              <w:pStyle w:val="97"/>
            </w:pPr>
            <w:r>
              <w:t>2424.82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t>产生速率（kg/h）</w:t>
            </w:r>
          </w:p>
        </w:tc>
        <w:tc>
          <w:tcPr>
            <w:tcW w:w="1942" w:type="dxa"/>
            <w:vAlign w:val="center"/>
          </w:tcPr>
          <w:p>
            <w:pPr>
              <w:pStyle w:val="97"/>
            </w:pPr>
            <w:r>
              <w:rPr>
                <w:rFonts w:hint="eastAsia"/>
              </w:rPr>
              <w:t>0.036</w:t>
            </w:r>
          </w:p>
        </w:tc>
        <w:tc>
          <w:tcPr>
            <w:tcW w:w="2257" w:type="dxa"/>
            <w:gridSpan w:val="2"/>
            <w:vAlign w:val="center"/>
          </w:tcPr>
          <w:p>
            <w:pPr>
              <w:pStyle w:val="97"/>
            </w:pPr>
            <w:r>
              <w:rPr>
                <w:rFonts w:hint="eastAsia"/>
              </w:rPr>
              <w:t>0.03</w:t>
            </w:r>
          </w:p>
        </w:tc>
        <w:tc>
          <w:tcPr>
            <w:tcW w:w="2137" w:type="dxa"/>
            <w:gridSpan w:val="2"/>
            <w:vAlign w:val="center"/>
          </w:tcPr>
          <w:p>
            <w:pPr>
              <w:pStyle w:val="97"/>
            </w:pPr>
            <w:r>
              <w:rPr>
                <w:rFonts w:hint="eastAsia"/>
              </w:rPr>
              <w:t>0.561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t>产生浓度（mg/m</w:t>
            </w:r>
            <w:r>
              <w:rPr>
                <w:vertAlign w:val="superscript"/>
              </w:rPr>
              <w:t>3</w:t>
            </w:r>
            <w:r>
              <w:t>）</w:t>
            </w:r>
          </w:p>
        </w:tc>
        <w:tc>
          <w:tcPr>
            <w:tcW w:w="1942" w:type="dxa"/>
            <w:vAlign w:val="center"/>
          </w:tcPr>
          <w:p>
            <w:pPr>
              <w:pStyle w:val="97"/>
            </w:pPr>
            <w:r>
              <w:t>8.81</w:t>
            </w:r>
          </w:p>
        </w:tc>
        <w:tc>
          <w:tcPr>
            <w:tcW w:w="2257" w:type="dxa"/>
            <w:gridSpan w:val="2"/>
            <w:vAlign w:val="center"/>
          </w:tcPr>
          <w:p>
            <w:pPr>
              <w:pStyle w:val="97"/>
            </w:pPr>
            <w:r>
              <w:t>7.34</w:t>
            </w:r>
          </w:p>
        </w:tc>
        <w:tc>
          <w:tcPr>
            <w:tcW w:w="2137" w:type="dxa"/>
            <w:gridSpan w:val="2"/>
            <w:vAlign w:val="center"/>
          </w:tcPr>
          <w:p>
            <w:pPr>
              <w:pStyle w:val="97"/>
            </w:pPr>
            <w:r>
              <w:rPr>
                <w:rFonts w:hint="eastAsia"/>
              </w:rPr>
              <w:t>137.31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t>处理措施</w:t>
            </w:r>
          </w:p>
        </w:tc>
        <w:tc>
          <w:tcPr>
            <w:tcW w:w="6336" w:type="dxa"/>
            <w:gridSpan w:val="5"/>
            <w:vAlign w:val="center"/>
          </w:tcPr>
          <w:p>
            <w:pPr>
              <w:pStyle w:val="97"/>
              <w:rPr>
                <w:highlight w:val="yellow"/>
              </w:rPr>
            </w:pPr>
            <w:r>
              <w:rPr>
                <w:rFonts w:hint="eastAsia"/>
              </w:rPr>
              <w:t>低氮燃烧器</w:t>
            </w:r>
            <w:r>
              <w:t>+</w:t>
            </w:r>
            <w:r>
              <w:rPr>
                <w:rFonts w:hint="eastAsia"/>
              </w:rPr>
              <w:t>15m</w:t>
            </w:r>
            <w:r>
              <w:t>高排气筒高空排放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rPr>
                <w:rFonts w:hint="eastAsia"/>
              </w:rPr>
              <w:t>排放量</w:t>
            </w:r>
            <w:r>
              <w:t>（</w:t>
            </w:r>
            <w:r>
              <w:rPr>
                <w:rFonts w:hint="eastAsia"/>
              </w:rPr>
              <w:t>kg</w:t>
            </w:r>
            <w:r>
              <w:t>/a）</w:t>
            </w:r>
          </w:p>
        </w:tc>
        <w:tc>
          <w:tcPr>
            <w:tcW w:w="2111" w:type="dxa"/>
            <w:gridSpan w:val="2"/>
            <w:vAlign w:val="center"/>
          </w:tcPr>
          <w:p>
            <w:pPr>
              <w:pStyle w:val="97"/>
            </w:pPr>
            <w:r>
              <w:t>155.52</w:t>
            </w:r>
          </w:p>
        </w:tc>
        <w:tc>
          <w:tcPr>
            <w:tcW w:w="2111" w:type="dxa"/>
            <w:gridSpan w:val="2"/>
            <w:vAlign w:val="center"/>
          </w:tcPr>
          <w:p>
            <w:pPr>
              <w:pStyle w:val="97"/>
            </w:pPr>
            <w:r>
              <w:t>129.60</w:t>
            </w:r>
          </w:p>
        </w:tc>
        <w:tc>
          <w:tcPr>
            <w:tcW w:w="2114" w:type="dxa"/>
            <w:vAlign w:val="center"/>
          </w:tcPr>
          <w:p>
            <w:pPr>
              <w:pStyle w:val="97"/>
            </w:pPr>
            <w:r>
              <w:t>121.24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70" w:type="dxa"/>
            <w:vAlign w:val="center"/>
          </w:tcPr>
          <w:p>
            <w:pPr>
              <w:pStyle w:val="97"/>
            </w:pPr>
            <w:r>
              <w:rPr>
                <w:rFonts w:hint="eastAsia"/>
              </w:rPr>
              <w:t>排放</w:t>
            </w:r>
            <w:r>
              <w:t>速率（kg/h）</w:t>
            </w:r>
          </w:p>
        </w:tc>
        <w:tc>
          <w:tcPr>
            <w:tcW w:w="2111" w:type="dxa"/>
            <w:gridSpan w:val="2"/>
            <w:vAlign w:val="center"/>
          </w:tcPr>
          <w:p>
            <w:pPr>
              <w:pStyle w:val="97"/>
            </w:pPr>
            <w:r>
              <w:rPr>
                <w:rFonts w:hint="eastAsia"/>
              </w:rPr>
              <w:t>0.036</w:t>
            </w:r>
          </w:p>
        </w:tc>
        <w:tc>
          <w:tcPr>
            <w:tcW w:w="2111" w:type="dxa"/>
            <w:gridSpan w:val="2"/>
            <w:vAlign w:val="center"/>
          </w:tcPr>
          <w:p>
            <w:pPr>
              <w:pStyle w:val="97"/>
            </w:pPr>
            <w:r>
              <w:rPr>
                <w:rFonts w:hint="eastAsia"/>
              </w:rPr>
              <w:t>0.03</w:t>
            </w:r>
          </w:p>
        </w:tc>
        <w:tc>
          <w:tcPr>
            <w:tcW w:w="2114" w:type="dxa"/>
            <w:vAlign w:val="center"/>
          </w:tcPr>
          <w:p>
            <w:pPr>
              <w:pStyle w:val="97"/>
            </w:pPr>
            <w:r>
              <w:rPr>
                <w:rFonts w:hint="eastAsia"/>
              </w:rPr>
              <w:t>0.028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2570" w:type="dxa"/>
            <w:vAlign w:val="center"/>
          </w:tcPr>
          <w:p>
            <w:pPr>
              <w:pStyle w:val="97"/>
            </w:pPr>
            <w:r>
              <w:rPr>
                <w:rFonts w:hint="eastAsia"/>
              </w:rPr>
              <w:t>排放浓度</w:t>
            </w:r>
            <w:r>
              <w:t>（mg/m</w:t>
            </w:r>
            <w:r>
              <w:rPr>
                <w:vertAlign w:val="superscript"/>
              </w:rPr>
              <w:t>3</w:t>
            </w:r>
            <w:r>
              <w:t>）</w:t>
            </w:r>
          </w:p>
        </w:tc>
        <w:tc>
          <w:tcPr>
            <w:tcW w:w="2111" w:type="dxa"/>
            <w:gridSpan w:val="2"/>
            <w:vAlign w:val="center"/>
          </w:tcPr>
          <w:p>
            <w:pPr>
              <w:pStyle w:val="97"/>
            </w:pPr>
            <w:r>
              <w:t>8.81</w:t>
            </w:r>
          </w:p>
        </w:tc>
        <w:tc>
          <w:tcPr>
            <w:tcW w:w="2111" w:type="dxa"/>
            <w:gridSpan w:val="2"/>
            <w:vAlign w:val="center"/>
          </w:tcPr>
          <w:p>
            <w:pPr>
              <w:pStyle w:val="97"/>
            </w:pPr>
            <w:r>
              <w:t>7.34</w:t>
            </w:r>
          </w:p>
        </w:tc>
        <w:tc>
          <w:tcPr>
            <w:tcW w:w="2114" w:type="dxa"/>
            <w:vAlign w:val="center"/>
          </w:tcPr>
          <w:p>
            <w:pPr>
              <w:pStyle w:val="97"/>
            </w:pPr>
            <w:r>
              <w:rPr>
                <w:rFonts w:hint="eastAsia"/>
              </w:rPr>
              <w:t>6.87</w:t>
            </w:r>
          </w:p>
        </w:tc>
      </w:tr>
    </w:tbl>
    <w:p>
      <w:pPr>
        <w:pStyle w:val="87"/>
        <w:ind w:firstLine="480"/>
      </w:pPr>
      <w:r>
        <w:rPr>
          <w:rFonts w:hint="eastAsia"/>
        </w:rPr>
        <w:t>由上表</w:t>
      </w:r>
      <w:r>
        <w:t>可见，项目天然气锅炉排放的</w:t>
      </w:r>
      <w:r>
        <w:rPr>
          <w:rFonts w:hint="eastAsia"/>
        </w:rPr>
        <w:t>废气</w:t>
      </w:r>
      <w:r>
        <w:rPr>
          <w:bCs/>
        </w:rPr>
        <w:t>污染物排放浓度均可以达到《锅炉大气污染物排放标准》（DB61/1226-2018）的要求。</w:t>
      </w:r>
    </w:p>
    <w:p>
      <w:pPr>
        <w:pStyle w:val="87"/>
        <w:ind w:firstLine="480"/>
      </w:pPr>
      <w:r>
        <w:rPr>
          <w:rFonts w:hint="eastAsia"/>
        </w:rPr>
        <w:t>（4）储罐</w:t>
      </w:r>
      <w:r>
        <w:t>大小呼吸</w:t>
      </w:r>
      <w:r>
        <w:rPr>
          <w:rFonts w:hint="eastAsia"/>
        </w:rPr>
        <w:t>排放</w:t>
      </w:r>
      <w:r>
        <w:t>源</w:t>
      </w:r>
    </w:p>
    <w:p>
      <w:pPr>
        <w:pStyle w:val="87"/>
        <w:ind w:firstLine="480"/>
      </w:pPr>
      <w:r>
        <w:rPr>
          <w:rFonts w:hint="eastAsia"/>
        </w:rPr>
        <w:t>项目</w:t>
      </w:r>
      <w:r>
        <w:t>设置储罐区，</w:t>
      </w:r>
      <w:r>
        <w:rPr>
          <w:rFonts w:hint="eastAsia"/>
        </w:rPr>
        <w:t>设置60</w:t>
      </w:r>
      <w:r>
        <w:t>m</w:t>
      </w:r>
      <w:r>
        <w:rPr>
          <w:vertAlign w:val="superscript"/>
        </w:rPr>
        <w:t>3</w:t>
      </w:r>
      <w:r>
        <w:t>甲醇罐一</w:t>
      </w:r>
      <w:r>
        <w:rPr>
          <w:rFonts w:hint="eastAsia"/>
        </w:rPr>
        <w:t>台</w:t>
      </w:r>
      <w:r>
        <w:t>，</w:t>
      </w:r>
      <w:r>
        <w:rPr>
          <w:rFonts w:hint="eastAsia"/>
        </w:rPr>
        <w:t>60</w:t>
      </w:r>
      <w:r>
        <w:t>m</w:t>
      </w:r>
      <w:r>
        <w:rPr>
          <w:vertAlign w:val="superscript"/>
        </w:rPr>
        <w:t>3</w:t>
      </w:r>
      <w:r>
        <w:t>石油醚储罐一</w:t>
      </w:r>
      <w:r>
        <w:rPr>
          <w:rFonts w:hint="eastAsia"/>
        </w:rPr>
        <w:t>台，采用</w:t>
      </w:r>
      <w:r>
        <w:t>卧式罐。</w:t>
      </w:r>
    </w:p>
    <w:p>
      <w:pPr>
        <w:pStyle w:val="87"/>
        <w:ind w:firstLine="480"/>
        <w:rPr>
          <w:szCs w:val="21"/>
        </w:rPr>
      </w:pPr>
      <w:r>
        <w:rPr>
          <w:szCs w:val="21"/>
        </w:rPr>
        <w:t>储存在其中的溶剂过呼吸排放和工作排放两种方式产生损失。呼吸排放是由于温度和大气压力的变化引起蒸汽的膨胀和收缩而产生的蒸汽排出，它出现在罐内液面无任何变化的情况，是非人为干扰的自然排放方式，通常叫做“小呼吸”；大呼吸排放是由于人为的装料与卸料而产生的损失。因装料的结果，罐内压力超过释放压力时，蒸气从罐内压出；而卸料损失发生于液面的排出，空气被抽入罐体内，因空气变成有机蒸气饱和的气体而膨胀，因而超过蒸气空间容纳的能力。</w:t>
      </w:r>
    </w:p>
    <w:p>
      <w:pPr>
        <w:widowControl/>
        <w:adjustRightInd/>
        <w:ind w:firstLine="480"/>
        <w:rPr>
          <w:szCs w:val="24"/>
        </w:rPr>
      </w:pPr>
      <w:r>
        <w:rPr>
          <w:rFonts w:hint="eastAsia"/>
          <w:szCs w:val="24"/>
        </w:rPr>
        <w:t>①</w:t>
      </w:r>
      <w:r>
        <w:rPr>
          <w:szCs w:val="24"/>
        </w:rPr>
        <w:t>储罐“小呼吸”废气产排情况分析</w:t>
      </w:r>
    </w:p>
    <w:p>
      <w:pPr>
        <w:widowControl/>
        <w:adjustRightInd/>
        <w:ind w:firstLine="480"/>
        <w:jc w:val="left"/>
        <w:rPr>
          <w:szCs w:val="24"/>
        </w:rPr>
      </w:pPr>
      <w:r>
        <w:rPr>
          <w:szCs w:val="24"/>
        </w:rPr>
        <w:t>本次评价的计算公式采用储罐“小呼吸”经验计算公式，公式如下：</w:t>
      </w:r>
    </w:p>
    <w:p>
      <w:pPr>
        <w:widowControl/>
        <w:adjustRightInd/>
        <w:ind w:firstLine="480"/>
        <w:jc w:val="left"/>
        <w:rPr>
          <w:szCs w:val="24"/>
        </w:rPr>
      </w:pPr>
      <w:bookmarkStart w:id="75" w:name="_Toc180232043"/>
      <w:bookmarkStart w:id="76" w:name="_Toc178228036"/>
      <w:r>
        <w:rPr>
          <w:szCs w:val="24"/>
        </w:rPr>
        <w:object>
          <v:shape id="_x0000_i1029" o:spt="75" type="#_x0000_t75" style="height:25.05pt;width:359.85pt;" o:ole="t" filled="f" coordsize="21600,21600">
            <v:path/>
            <v:fill on="f" focussize="0,0"/>
            <v:stroke/>
            <v:imagedata r:id="rId84" o:title=""/>
            <o:lock v:ext="edit" aspectratio="t"/>
            <w10:wrap type="none"/>
            <w10:anchorlock/>
          </v:shape>
          <o:OLEObject Type="Embed" ProgID="Equation.3" ShapeID="_x0000_i1029" DrawAspect="Content" ObjectID="_1468075729" r:id="rId83">
            <o:LockedField>false</o:LockedField>
          </o:OLEObject>
        </w:object>
      </w:r>
      <w:bookmarkEnd w:id="75"/>
      <w:bookmarkEnd w:id="76"/>
    </w:p>
    <w:p>
      <w:pPr>
        <w:widowControl/>
        <w:adjustRightInd/>
        <w:ind w:firstLine="480"/>
        <w:jc w:val="left"/>
        <w:rPr>
          <w:szCs w:val="24"/>
        </w:rPr>
      </w:pPr>
      <w:r>
        <w:rPr>
          <w:szCs w:val="24"/>
        </w:rPr>
        <w:t>其中：Ly ──── 固定顶罐小呼吸排放量，kg/a；</w:t>
      </w:r>
    </w:p>
    <w:p>
      <w:pPr>
        <w:widowControl/>
        <w:adjustRightInd/>
        <w:ind w:firstLine="480"/>
        <w:jc w:val="left"/>
        <w:rPr>
          <w:szCs w:val="24"/>
        </w:rPr>
      </w:pPr>
      <w:r>
        <w:rPr>
          <w:szCs w:val="24"/>
        </w:rPr>
        <w:t xml:space="preserve">      M ──── 蒸气分子量；</w:t>
      </w:r>
    </w:p>
    <w:p>
      <w:pPr>
        <w:widowControl/>
        <w:adjustRightInd/>
        <w:ind w:firstLine="480"/>
        <w:jc w:val="left"/>
        <w:rPr>
          <w:szCs w:val="24"/>
        </w:rPr>
      </w:pPr>
      <w:r>
        <w:rPr>
          <w:szCs w:val="24"/>
        </w:rPr>
        <w:t xml:space="preserve">      P ──── 散装温度下液体的真实蒸气压，Pa；</w:t>
      </w:r>
    </w:p>
    <w:p>
      <w:pPr>
        <w:widowControl/>
        <w:adjustRightInd/>
        <w:ind w:firstLine="480"/>
        <w:jc w:val="left"/>
        <w:rPr>
          <w:szCs w:val="24"/>
        </w:rPr>
      </w:pPr>
      <w:r>
        <w:rPr>
          <w:szCs w:val="24"/>
        </w:rPr>
        <w:t xml:space="preserve">      D ──── 储罐直径，m；</w:t>
      </w:r>
    </w:p>
    <w:p>
      <w:pPr>
        <w:widowControl/>
        <w:adjustRightInd/>
        <w:ind w:firstLine="480"/>
        <w:jc w:val="left"/>
        <w:rPr>
          <w:szCs w:val="24"/>
        </w:rPr>
      </w:pPr>
      <w:r>
        <w:rPr>
          <w:szCs w:val="24"/>
        </w:rPr>
        <w:t xml:space="preserve">      H ──── 蒸气空间平均高度，m；</w:t>
      </w:r>
    </w:p>
    <w:p>
      <w:pPr>
        <w:widowControl/>
        <w:adjustRightInd/>
        <w:ind w:firstLine="960" w:firstLineChars="400"/>
        <w:jc w:val="left"/>
        <w:rPr>
          <w:szCs w:val="24"/>
        </w:rPr>
      </w:pPr>
      <w:r>
        <w:rPr>
          <w:szCs w:val="24"/>
        </w:rPr>
        <w:t xml:space="preserve">  T ──── 每日大气温度变化的年平均值，</w:t>
      </w:r>
      <w:r>
        <w:rPr>
          <w:rFonts w:hint="eastAsia" w:ascii="宋体" w:hAnsi="宋体" w:cs="宋体"/>
          <w:szCs w:val="24"/>
        </w:rPr>
        <w:t>℃</w:t>
      </w:r>
      <w:r>
        <w:rPr>
          <w:szCs w:val="24"/>
        </w:rPr>
        <w:t>；</w:t>
      </w:r>
    </w:p>
    <w:p>
      <w:pPr>
        <w:widowControl/>
        <w:adjustRightInd/>
        <w:ind w:firstLine="480"/>
        <w:jc w:val="left"/>
        <w:rPr>
          <w:szCs w:val="24"/>
        </w:rPr>
      </w:pPr>
      <w:r>
        <w:rPr>
          <w:szCs w:val="24"/>
        </w:rPr>
        <w:t xml:space="preserve">      Fp ──── 涂料系数（铝漆为1.39，白漆为1.02）；</w:t>
      </w:r>
    </w:p>
    <w:p>
      <w:pPr>
        <w:widowControl/>
        <w:adjustRightInd/>
        <w:ind w:left="2640" w:hanging="2640" w:hangingChars="1100"/>
        <w:jc w:val="left"/>
        <w:rPr>
          <w:szCs w:val="24"/>
        </w:rPr>
      </w:pPr>
      <w:bookmarkStart w:id="77" w:name="_Toc178228037"/>
      <w:bookmarkStart w:id="78" w:name="_Toc180232044"/>
      <w:r>
        <w:rPr>
          <w:szCs w:val="24"/>
        </w:rPr>
        <w:t xml:space="preserve">          C ──── 为小直径储罐的修正系数（C=1-0.0123(D-9)</w:t>
      </w:r>
      <w:r>
        <w:rPr>
          <w:szCs w:val="24"/>
          <w:vertAlign w:val="superscript"/>
        </w:rPr>
        <w:t>2</w:t>
      </w:r>
      <w:r>
        <w:rPr>
          <w:szCs w:val="24"/>
        </w:rPr>
        <w:t>,储罐直径超过9m时，取1）</w:t>
      </w:r>
      <w:bookmarkEnd w:id="77"/>
      <w:bookmarkEnd w:id="78"/>
      <w:r>
        <w:rPr>
          <w:szCs w:val="24"/>
        </w:rPr>
        <w:t>；</w:t>
      </w:r>
    </w:p>
    <w:p>
      <w:pPr>
        <w:widowControl/>
        <w:adjustRightInd/>
        <w:ind w:firstLine="480"/>
        <w:jc w:val="left"/>
        <w:rPr>
          <w:szCs w:val="24"/>
        </w:rPr>
      </w:pPr>
      <w:r>
        <w:rPr>
          <w:szCs w:val="24"/>
        </w:rPr>
        <w:t>K</w:t>
      </w:r>
      <w:r>
        <w:rPr>
          <w:szCs w:val="24"/>
          <w:vertAlign w:val="subscript"/>
        </w:rPr>
        <w:t>c</w:t>
      </w:r>
      <w:r>
        <w:rPr>
          <w:szCs w:val="24"/>
        </w:rPr>
        <w:t xml:space="preserve"> ──── 产品因子（有机溶剂取1.0）。</w:t>
      </w:r>
    </w:p>
    <w:p>
      <w:pPr>
        <w:widowControl/>
        <w:adjustRightInd/>
        <w:ind w:firstLine="480"/>
      </w:pPr>
      <w:r>
        <w:rPr>
          <w:rFonts w:hint="eastAsia"/>
        </w:rPr>
        <w:t>石油醚</w:t>
      </w:r>
      <w:r>
        <w:t>储罐容积为</w:t>
      </w:r>
      <w:r>
        <w:rPr>
          <w:rFonts w:hint="eastAsia"/>
        </w:rPr>
        <w:t>1</w:t>
      </w:r>
      <w:r>
        <w:t>个60m</w:t>
      </w:r>
      <w:r>
        <w:rPr>
          <w:vertAlign w:val="superscript"/>
        </w:rPr>
        <w:t>3</w:t>
      </w:r>
      <w:r>
        <w:t>储罐，可以容纳39t的</w:t>
      </w:r>
      <w:r>
        <w:rPr>
          <w:rFonts w:hint="eastAsia"/>
        </w:rPr>
        <w:t>石油醚</w:t>
      </w:r>
      <w:r>
        <w:t>，2</w:t>
      </w:r>
      <w:r>
        <w:rPr>
          <w:rFonts w:hint="eastAsia"/>
        </w:rPr>
        <w:t>0</w:t>
      </w:r>
      <w:r>
        <w:rPr>
          <w:rFonts w:hint="eastAsia" w:ascii="宋体" w:hAnsi="宋体" w:cs="宋体"/>
        </w:rPr>
        <w:t>℃</w:t>
      </w:r>
      <w:r>
        <w:t>时</w:t>
      </w:r>
      <w:r>
        <w:rPr>
          <w:rFonts w:hint="eastAsia"/>
        </w:rPr>
        <w:t>石油醚</w:t>
      </w:r>
      <w:r>
        <w:t>的</w:t>
      </w:r>
      <w:r>
        <w:rPr>
          <w:rFonts w:hint="eastAsia"/>
        </w:rPr>
        <w:t>饱和</w:t>
      </w:r>
      <w:r>
        <w:t>蒸气压为</w:t>
      </w:r>
      <w:r>
        <w:rPr>
          <w:rFonts w:hint="eastAsia"/>
        </w:rPr>
        <w:t>53.32</w:t>
      </w:r>
      <w:r>
        <w:t>kPa，储罐直径D为3.2m，储罐</w:t>
      </w:r>
      <w:r>
        <w:rPr>
          <w:rFonts w:hint="eastAsia"/>
        </w:rPr>
        <w:t>蒸气</w:t>
      </w:r>
      <w:r>
        <w:t>空间平均高度H取2.0m，T取15</w:t>
      </w:r>
      <w:r>
        <w:rPr>
          <w:rFonts w:hint="eastAsia" w:ascii="宋体" w:hAnsi="宋体" w:cs="宋体"/>
        </w:rPr>
        <w:t>℃</w:t>
      </w:r>
      <w:r>
        <w:t>，Fp取1.02；C取0.59，则经计算，</w:t>
      </w:r>
      <w:r>
        <w:rPr>
          <w:rFonts w:hint="eastAsia"/>
        </w:rPr>
        <w:t>石油醚小呼吸</w:t>
      </w:r>
      <w:r>
        <w:t>的损耗质量为2.10</w:t>
      </w:r>
      <w:r>
        <w:rPr>
          <w:rFonts w:hint="eastAsia"/>
        </w:rPr>
        <w:t>kg</w:t>
      </w:r>
      <w:r>
        <w:t>/a；</w:t>
      </w:r>
    </w:p>
    <w:p>
      <w:pPr>
        <w:widowControl/>
        <w:adjustRightInd/>
        <w:ind w:firstLine="480"/>
      </w:pPr>
      <w:r>
        <w:rPr>
          <w:rFonts w:hint="eastAsia"/>
        </w:rPr>
        <w:t>甲醇</w:t>
      </w:r>
      <w:r>
        <w:t>储罐容积为</w:t>
      </w:r>
      <w:r>
        <w:rPr>
          <w:rFonts w:hint="eastAsia"/>
        </w:rPr>
        <w:t>1</w:t>
      </w:r>
      <w:r>
        <w:t>个60m</w:t>
      </w:r>
      <w:r>
        <w:rPr>
          <w:vertAlign w:val="superscript"/>
        </w:rPr>
        <w:t>3</w:t>
      </w:r>
      <w:r>
        <w:t>储罐，可以容纳46.62t的</w:t>
      </w:r>
      <w:r>
        <w:rPr>
          <w:rFonts w:hint="eastAsia"/>
        </w:rPr>
        <w:t>甲醇</w:t>
      </w:r>
      <w:r>
        <w:t>，2</w:t>
      </w:r>
      <w:r>
        <w:rPr>
          <w:rFonts w:hint="eastAsia"/>
        </w:rPr>
        <w:t>0</w:t>
      </w:r>
      <w:r>
        <w:rPr>
          <w:rFonts w:hint="eastAsia" w:ascii="宋体" w:hAnsi="宋体" w:cs="宋体"/>
        </w:rPr>
        <w:t>℃</w:t>
      </w:r>
      <w:r>
        <w:t>时</w:t>
      </w:r>
      <w:r>
        <w:rPr>
          <w:rFonts w:hint="eastAsia"/>
        </w:rPr>
        <w:t>甲醇</w:t>
      </w:r>
      <w:r>
        <w:t>的</w:t>
      </w:r>
      <w:r>
        <w:rPr>
          <w:rFonts w:hint="eastAsia"/>
        </w:rPr>
        <w:t>饱和</w:t>
      </w:r>
      <w:r>
        <w:t>蒸气压为12.88kPa，储罐直径D为3.2m，储罐</w:t>
      </w:r>
      <w:r>
        <w:rPr>
          <w:rFonts w:hint="eastAsia"/>
        </w:rPr>
        <w:t>蒸气空间</w:t>
      </w:r>
      <w:r>
        <w:t>平均高度H取2.0m，T取15</w:t>
      </w:r>
      <w:r>
        <w:rPr>
          <w:rFonts w:hint="eastAsia" w:ascii="宋体" w:hAnsi="宋体" w:cs="宋体"/>
        </w:rPr>
        <w:t>℃</w:t>
      </w:r>
      <w:r>
        <w:t>，Fp取1.02；C取0.59，则经计算，</w:t>
      </w:r>
      <w:r>
        <w:rPr>
          <w:rFonts w:hint="eastAsia"/>
        </w:rPr>
        <w:t>甲醇小呼吸</w:t>
      </w:r>
      <w:r>
        <w:t>的损耗质量为0.30</w:t>
      </w:r>
      <w:r>
        <w:rPr>
          <w:rFonts w:hint="eastAsia"/>
        </w:rPr>
        <w:t>kg</w:t>
      </w:r>
      <w:r>
        <w:t>/a</w:t>
      </w:r>
      <w:r>
        <w:rPr>
          <w:rFonts w:hint="eastAsia"/>
        </w:rPr>
        <w:t>。</w:t>
      </w:r>
    </w:p>
    <w:p>
      <w:pPr>
        <w:widowControl/>
        <w:adjustRightInd/>
        <w:ind w:firstLine="480"/>
        <w:jc w:val="left"/>
        <w:rPr>
          <w:szCs w:val="24"/>
        </w:rPr>
      </w:pPr>
      <w:bookmarkStart w:id="79" w:name="_Toc178228038"/>
      <w:bookmarkStart w:id="80" w:name="_Toc180232045"/>
      <w:r>
        <w:rPr>
          <w:rFonts w:hint="eastAsia"/>
          <w:szCs w:val="24"/>
        </w:rPr>
        <w:t>②</w:t>
      </w:r>
      <w:r>
        <w:rPr>
          <w:szCs w:val="24"/>
        </w:rPr>
        <w:t>储罐“大呼吸”废气产排情况分析</w:t>
      </w:r>
      <w:bookmarkEnd w:id="79"/>
      <w:bookmarkEnd w:id="80"/>
    </w:p>
    <w:p>
      <w:pPr>
        <w:widowControl/>
        <w:adjustRightInd/>
        <w:ind w:left="1990" w:leftChars="229" w:hanging="1440" w:hangingChars="600"/>
        <w:jc w:val="left"/>
        <w:rPr>
          <w:szCs w:val="24"/>
        </w:rPr>
      </w:pPr>
      <w:r>
        <w:rPr>
          <w:szCs w:val="24"/>
        </w:rPr>
        <w:t>本次评价的计算公式采用</w:t>
      </w:r>
      <w:r>
        <w:rPr>
          <w:rFonts w:hint="eastAsia"/>
          <w:szCs w:val="24"/>
        </w:rPr>
        <w:t>中国石油化工系统经验公式法</w:t>
      </w:r>
      <w:r>
        <w:rPr>
          <w:szCs w:val="24"/>
        </w:rPr>
        <w:t>，公式如下：</w:t>
      </w:r>
    </w:p>
    <w:p>
      <w:pPr>
        <w:widowControl/>
        <w:adjustRightInd/>
        <w:ind w:left="1810" w:leftChars="229" w:hanging="1260" w:hangingChars="600"/>
        <w:jc w:val="center"/>
        <w:rPr>
          <w:spacing w:val="270"/>
          <w:szCs w:val="21"/>
        </w:rPr>
      </w:pPr>
      <w:bookmarkStart w:id="81" w:name="_Toc178228039"/>
      <w:bookmarkStart w:id="82" w:name="_Toc180232046"/>
      <w:r>
        <w:rPr>
          <w:rFonts w:hint="eastAsia"/>
          <w:sz w:val="21"/>
          <w:szCs w:val="24"/>
        </w:rPr>
        <w:t>L</w:t>
      </w:r>
      <w:r>
        <w:rPr>
          <w:rFonts w:hint="eastAsia"/>
          <w:sz w:val="21"/>
          <w:szCs w:val="24"/>
          <w:vertAlign w:val="subscript"/>
        </w:rPr>
        <w:t>w</w:t>
      </w:r>
      <w:r>
        <w:rPr>
          <w:rFonts w:hint="eastAsia"/>
          <w:sz w:val="21"/>
          <w:szCs w:val="24"/>
        </w:rPr>
        <w:t>=4QCV/D</w:t>
      </w:r>
      <w:bookmarkEnd w:id="81"/>
      <w:bookmarkEnd w:id="82"/>
    </w:p>
    <w:p>
      <w:pPr>
        <w:adjustRightInd/>
        <w:ind w:firstLine="480"/>
        <w:rPr>
          <w:szCs w:val="24"/>
        </w:rPr>
      </w:pPr>
      <w:r>
        <w:rPr>
          <w:szCs w:val="24"/>
        </w:rPr>
        <w:t>其中：</w:t>
      </w:r>
      <w:r>
        <w:rPr>
          <w:rFonts w:hint="eastAsia"/>
          <w:szCs w:val="24"/>
        </w:rPr>
        <w:t>L</w:t>
      </w:r>
      <w:r>
        <w:rPr>
          <w:rFonts w:hint="eastAsia"/>
          <w:szCs w:val="24"/>
          <w:vertAlign w:val="subscript"/>
        </w:rPr>
        <w:t>w</w:t>
      </w:r>
      <w:r>
        <w:rPr>
          <w:szCs w:val="24"/>
        </w:rPr>
        <w:t>──── 常压储罐大呼吸损耗量，kg</w:t>
      </w:r>
      <w:r>
        <w:rPr>
          <w:rFonts w:hint="eastAsia"/>
          <w:szCs w:val="24"/>
        </w:rPr>
        <w:t>/a</w:t>
      </w:r>
      <w:r>
        <w:rPr>
          <w:szCs w:val="24"/>
        </w:rPr>
        <w:t>；</w:t>
      </w:r>
    </w:p>
    <w:p>
      <w:pPr>
        <w:adjustRightInd/>
        <w:ind w:firstLine="1200" w:firstLineChars="500"/>
        <w:rPr>
          <w:szCs w:val="24"/>
        </w:rPr>
      </w:pPr>
      <w:r>
        <w:rPr>
          <w:rFonts w:hint="eastAsia"/>
          <w:szCs w:val="20"/>
        </w:rPr>
        <w:t>Q</w:t>
      </w:r>
      <w:r>
        <w:rPr>
          <w:szCs w:val="20"/>
        </w:rPr>
        <w:t xml:space="preserve"> ──── </w:t>
      </w:r>
      <w:r>
        <w:rPr>
          <w:rFonts w:hint="eastAsia"/>
          <w:szCs w:val="20"/>
        </w:rPr>
        <w:t>物料年泵送入罐量，m</w:t>
      </w:r>
      <w:r>
        <w:rPr>
          <w:rFonts w:hint="eastAsia"/>
          <w:szCs w:val="20"/>
          <w:vertAlign w:val="superscript"/>
        </w:rPr>
        <w:t>3</w:t>
      </w:r>
      <w:r>
        <w:rPr>
          <w:rFonts w:hint="eastAsia"/>
          <w:szCs w:val="20"/>
        </w:rPr>
        <w:t>/a；</w:t>
      </w:r>
    </w:p>
    <w:p>
      <w:pPr>
        <w:adjustRightInd/>
        <w:ind w:firstLine="1200" w:firstLineChars="500"/>
        <w:rPr>
          <w:szCs w:val="20"/>
        </w:rPr>
      </w:pPr>
      <w:r>
        <w:rPr>
          <w:szCs w:val="20"/>
        </w:rPr>
        <w:t>C ────罐壁粘附系数，取 0.2567（取保守值）；</w:t>
      </w:r>
    </w:p>
    <w:p>
      <w:pPr>
        <w:adjustRightInd/>
        <w:ind w:firstLine="1200" w:firstLineChars="500"/>
        <w:rPr>
          <w:szCs w:val="20"/>
        </w:rPr>
      </w:pPr>
      <w:r>
        <w:rPr>
          <w:szCs w:val="20"/>
        </w:rPr>
        <w:t>V ────物料平均</w:t>
      </w:r>
      <w:r>
        <w:rPr>
          <w:rFonts w:hint="eastAsia"/>
          <w:szCs w:val="20"/>
        </w:rPr>
        <w:t>密</w:t>
      </w:r>
      <w:r>
        <w:rPr>
          <w:szCs w:val="20"/>
        </w:rPr>
        <w:t>度0.65</w:t>
      </w:r>
      <w:r>
        <w:rPr>
          <w:rFonts w:hint="eastAsia"/>
          <w:szCs w:val="20"/>
        </w:rPr>
        <w:t>，</w:t>
      </w:r>
      <w:r>
        <w:rPr>
          <w:szCs w:val="20"/>
        </w:rPr>
        <w:t>t/m</w:t>
      </w:r>
      <w:r>
        <w:rPr>
          <w:szCs w:val="20"/>
          <w:vertAlign w:val="superscript"/>
        </w:rPr>
        <w:t>3</w:t>
      </w:r>
      <w:r>
        <w:rPr>
          <w:rFonts w:hint="eastAsia"/>
          <w:szCs w:val="20"/>
        </w:rPr>
        <w:t>；</w:t>
      </w:r>
    </w:p>
    <w:p>
      <w:pPr>
        <w:adjustRightInd/>
        <w:ind w:firstLine="1200" w:firstLineChars="500"/>
        <w:rPr>
          <w:szCs w:val="20"/>
        </w:rPr>
      </w:pPr>
      <w:r>
        <w:rPr>
          <w:szCs w:val="20"/>
        </w:rPr>
        <w:t>D ────储罐直径</w:t>
      </w:r>
      <w:r>
        <w:rPr>
          <w:rFonts w:hint="eastAsia"/>
          <w:szCs w:val="20"/>
        </w:rPr>
        <w:t>，</w:t>
      </w:r>
      <w:r>
        <w:rPr>
          <w:szCs w:val="20"/>
        </w:rPr>
        <w:t>m。</w:t>
      </w:r>
    </w:p>
    <w:p>
      <w:pPr>
        <w:pStyle w:val="87"/>
        <w:ind w:firstLine="480"/>
        <w:rPr>
          <w:szCs w:val="21"/>
        </w:rPr>
      </w:pPr>
      <w:r>
        <w:rPr>
          <w:rFonts w:hint="eastAsia"/>
          <w:szCs w:val="21"/>
        </w:rPr>
        <w:t>石油醚</w:t>
      </w:r>
      <w:r>
        <w:rPr>
          <w:szCs w:val="21"/>
        </w:rPr>
        <w:t>储罐容积60m</w:t>
      </w:r>
      <w:r>
        <w:rPr>
          <w:szCs w:val="21"/>
          <w:vertAlign w:val="superscript"/>
        </w:rPr>
        <w:t>3</w:t>
      </w:r>
      <w:r>
        <w:rPr>
          <w:szCs w:val="21"/>
        </w:rPr>
        <w:t>，年泵送入罐量为4.32t，</w:t>
      </w:r>
      <w:r>
        <w:rPr>
          <w:rFonts w:hint="eastAsia"/>
          <w:szCs w:val="21"/>
        </w:rPr>
        <w:t>石油醚</w:t>
      </w:r>
      <w:r>
        <w:rPr>
          <w:szCs w:val="21"/>
        </w:rPr>
        <w:t>密度为0.</w:t>
      </w:r>
      <w:r>
        <w:rPr>
          <w:rFonts w:hint="eastAsia"/>
          <w:szCs w:val="21"/>
        </w:rPr>
        <w:t>65</w:t>
      </w:r>
      <w:r>
        <w:rPr>
          <w:szCs w:val="21"/>
        </w:rPr>
        <w:t>，投入</w:t>
      </w:r>
      <w:r>
        <w:rPr>
          <w:rFonts w:hint="eastAsia"/>
          <w:szCs w:val="21"/>
        </w:rPr>
        <w:t>石油醚</w:t>
      </w:r>
      <w:r>
        <w:rPr>
          <w:szCs w:val="21"/>
        </w:rPr>
        <w:t>体积为6.65m</w:t>
      </w:r>
      <w:r>
        <w:rPr>
          <w:szCs w:val="21"/>
          <w:vertAlign w:val="superscript"/>
        </w:rPr>
        <w:t>3</w:t>
      </w:r>
      <w:r>
        <w:rPr>
          <w:rFonts w:hint="eastAsia"/>
          <w:szCs w:val="21"/>
        </w:rPr>
        <w:t>。</w:t>
      </w:r>
      <w:r>
        <w:rPr>
          <w:szCs w:val="21"/>
        </w:rPr>
        <w:t>经计算</w:t>
      </w:r>
      <w:r>
        <w:rPr>
          <w:rFonts w:hint="eastAsia"/>
          <w:szCs w:val="21"/>
        </w:rPr>
        <w:t>石油醚</w:t>
      </w:r>
      <w:r>
        <w:rPr>
          <w:szCs w:val="21"/>
        </w:rPr>
        <w:t>的</w:t>
      </w:r>
      <w:r>
        <w:rPr>
          <w:rFonts w:hint="eastAsia"/>
          <w:szCs w:val="21"/>
        </w:rPr>
        <w:t>大呼吸</w:t>
      </w:r>
      <w:r>
        <w:rPr>
          <w:szCs w:val="21"/>
        </w:rPr>
        <w:t>损耗质量为1.39</w:t>
      </w:r>
      <w:r>
        <w:rPr>
          <w:rFonts w:hint="eastAsia"/>
          <w:szCs w:val="21"/>
        </w:rPr>
        <w:t>kg</w:t>
      </w:r>
      <w:r>
        <w:rPr>
          <w:szCs w:val="21"/>
        </w:rPr>
        <w:t>/a；</w:t>
      </w:r>
    </w:p>
    <w:p>
      <w:pPr>
        <w:pStyle w:val="87"/>
        <w:ind w:firstLine="480"/>
        <w:rPr>
          <w:szCs w:val="21"/>
        </w:rPr>
      </w:pPr>
      <w:r>
        <w:rPr>
          <w:rFonts w:hint="eastAsia"/>
          <w:szCs w:val="21"/>
        </w:rPr>
        <w:t>甲醇</w:t>
      </w:r>
      <w:r>
        <w:rPr>
          <w:szCs w:val="21"/>
        </w:rPr>
        <w:t>储罐容积60m</w:t>
      </w:r>
      <w:r>
        <w:rPr>
          <w:szCs w:val="21"/>
          <w:vertAlign w:val="superscript"/>
        </w:rPr>
        <w:t>3</w:t>
      </w:r>
      <w:r>
        <w:rPr>
          <w:szCs w:val="21"/>
        </w:rPr>
        <w:t>，年泵送入罐量为5.4t，</w:t>
      </w:r>
      <w:r>
        <w:rPr>
          <w:rFonts w:hint="eastAsia"/>
          <w:szCs w:val="21"/>
        </w:rPr>
        <w:t>甲醇</w:t>
      </w:r>
      <w:r>
        <w:rPr>
          <w:szCs w:val="21"/>
        </w:rPr>
        <w:t>密度为0.</w:t>
      </w:r>
      <w:r>
        <w:rPr>
          <w:rFonts w:hint="eastAsia"/>
          <w:szCs w:val="21"/>
        </w:rPr>
        <w:t>777</w:t>
      </w:r>
      <w:r>
        <w:rPr>
          <w:szCs w:val="21"/>
        </w:rPr>
        <w:t>，投入</w:t>
      </w:r>
      <w:r>
        <w:rPr>
          <w:rFonts w:hint="eastAsia"/>
          <w:szCs w:val="21"/>
        </w:rPr>
        <w:t>甲醇</w:t>
      </w:r>
      <w:r>
        <w:rPr>
          <w:szCs w:val="21"/>
        </w:rPr>
        <w:t>体积为6.95m</w:t>
      </w:r>
      <w:r>
        <w:rPr>
          <w:szCs w:val="21"/>
          <w:vertAlign w:val="superscript"/>
        </w:rPr>
        <w:t>3</w:t>
      </w:r>
      <w:r>
        <w:rPr>
          <w:rFonts w:hint="eastAsia"/>
          <w:szCs w:val="21"/>
        </w:rPr>
        <w:t>。</w:t>
      </w:r>
      <w:r>
        <w:rPr>
          <w:szCs w:val="21"/>
        </w:rPr>
        <w:t>经计算</w:t>
      </w:r>
      <w:r>
        <w:rPr>
          <w:rFonts w:hint="eastAsia"/>
          <w:szCs w:val="21"/>
        </w:rPr>
        <w:t>甲醇</w:t>
      </w:r>
      <w:r>
        <w:rPr>
          <w:szCs w:val="21"/>
        </w:rPr>
        <w:t>的</w:t>
      </w:r>
      <w:r>
        <w:rPr>
          <w:rFonts w:hint="eastAsia"/>
          <w:szCs w:val="21"/>
        </w:rPr>
        <w:t>大呼吸</w:t>
      </w:r>
      <w:r>
        <w:rPr>
          <w:szCs w:val="21"/>
        </w:rPr>
        <w:t>损耗质量为1.73</w:t>
      </w:r>
      <w:r>
        <w:rPr>
          <w:rFonts w:hint="eastAsia"/>
          <w:szCs w:val="21"/>
        </w:rPr>
        <w:t>kg</w:t>
      </w:r>
      <w:r>
        <w:rPr>
          <w:szCs w:val="21"/>
        </w:rPr>
        <w:t>/a</w:t>
      </w:r>
      <w:r>
        <w:rPr>
          <w:rFonts w:hint="eastAsia"/>
          <w:szCs w:val="21"/>
        </w:rPr>
        <w:t>。</w:t>
      </w:r>
    </w:p>
    <w:p>
      <w:pPr>
        <w:pStyle w:val="93"/>
        <w:rPr>
          <w:bCs/>
          <w:spacing w:val="-2"/>
          <w:szCs w:val="21"/>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6</w:t>
      </w:r>
      <w:r>
        <w:fldChar w:fldCharType="end"/>
      </w:r>
      <w:r>
        <w:t xml:space="preserve"> </w:t>
      </w:r>
      <w:r>
        <w:rPr>
          <w:bCs/>
          <w:spacing w:val="-2"/>
          <w:szCs w:val="21"/>
        </w:rPr>
        <w:t xml:space="preserve">  项目储罐区废气产生量计算结果一览表</w:t>
      </w:r>
    </w:p>
    <w:tbl>
      <w:tblPr>
        <w:tblStyle w:val="35"/>
        <w:tblW w:w="903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608"/>
        <w:gridCol w:w="1384"/>
        <w:gridCol w:w="1648"/>
        <w:gridCol w:w="1709"/>
        <w:gridCol w:w="1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blHeader/>
        </w:trPr>
        <w:tc>
          <w:tcPr>
            <w:tcW w:w="1369" w:type="dxa"/>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物料</w:t>
            </w:r>
          </w:p>
        </w:tc>
        <w:tc>
          <w:tcPr>
            <w:tcW w:w="1608" w:type="dxa"/>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储罐规格（m</w:t>
            </w:r>
            <w:r>
              <w:rPr>
                <w:b/>
                <w:kern w:val="0"/>
                <w:sz w:val="21"/>
                <w:szCs w:val="21"/>
                <w:vertAlign w:val="superscript"/>
              </w:rPr>
              <w:t>3</w:t>
            </w:r>
            <w:r>
              <w:rPr>
                <w:b/>
                <w:kern w:val="0"/>
                <w:sz w:val="21"/>
                <w:szCs w:val="21"/>
              </w:rPr>
              <w:t>）</w:t>
            </w:r>
          </w:p>
        </w:tc>
        <w:tc>
          <w:tcPr>
            <w:tcW w:w="1384" w:type="dxa"/>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储罐数量</w:t>
            </w:r>
          </w:p>
        </w:tc>
        <w:tc>
          <w:tcPr>
            <w:tcW w:w="1648" w:type="dxa"/>
            <w:shd w:val="clear" w:color="auto" w:fill="auto"/>
            <w:vAlign w:val="center"/>
          </w:tcPr>
          <w:p>
            <w:pPr>
              <w:widowControl/>
              <w:snapToGrid/>
              <w:spacing w:line="240" w:lineRule="auto"/>
              <w:ind w:firstLine="0" w:firstLineChars="0"/>
              <w:jc w:val="center"/>
              <w:rPr>
                <w:b/>
                <w:kern w:val="0"/>
                <w:sz w:val="21"/>
                <w:szCs w:val="21"/>
              </w:rPr>
            </w:pPr>
            <w:r>
              <w:rPr>
                <w:rFonts w:hint="eastAsia"/>
                <w:b/>
                <w:kern w:val="0"/>
                <w:sz w:val="21"/>
                <w:szCs w:val="21"/>
              </w:rPr>
              <w:t>小呼吸</w:t>
            </w:r>
            <w:r>
              <w:rPr>
                <w:b/>
                <w:kern w:val="0"/>
                <w:sz w:val="21"/>
                <w:szCs w:val="21"/>
              </w:rPr>
              <w:t>损失（kg/a）</w:t>
            </w:r>
          </w:p>
        </w:tc>
        <w:tc>
          <w:tcPr>
            <w:tcW w:w="1709" w:type="dxa"/>
            <w:shd w:val="clear" w:color="auto" w:fill="auto"/>
            <w:vAlign w:val="center"/>
          </w:tcPr>
          <w:p>
            <w:pPr>
              <w:widowControl/>
              <w:snapToGrid/>
              <w:spacing w:line="240" w:lineRule="auto"/>
              <w:ind w:firstLine="0" w:firstLineChars="0"/>
              <w:jc w:val="center"/>
              <w:rPr>
                <w:b/>
                <w:kern w:val="0"/>
                <w:sz w:val="21"/>
                <w:szCs w:val="21"/>
              </w:rPr>
            </w:pPr>
            <w:r>
              <w:rPr>
                <w:rFonts w:hint="eastAsia"/>
                <w:b/>
                <w:kern w:val="0"/>
                <w:sz w:val="21"/>
                <w:szCs w:val="21"/>
              </w:rPr>
              <w:t>大呼吸</w:t>
            </w:r>
            <w:r>
              <w:rPr>
                <w:b/>
                <w:kern w:val="0"/>
                <w:sz w:val="21"/>
                <w:szCs w:val="21"/>
              </w:rPr>
              <w:t>损耗（kg/a）</w:t>
            </w:r>
          </w:p>
        </w:tc>
        <w:tc>
          <w:tcPr>
            <w:tcW w:w="1315" w:type="dxa"/>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总产生量（kg/a）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369" w:type="dxa"/>
            <w:vAlign w:val="center"/>
          </w:tcPr>
          <w:p>
            <w:pPr>
              <w:widowControl/>
              <w:snapToGrid/>
              <w:spacing w:line="240" w:lineRule="auto"/>
              <w:ind w:firstLine="0" w:firstLineChars="0"/>
              <w:jc w:val="center"/>
              <w:rPr>
                <w:kern w:val="0"/>
                <w:sz w:val="21"/>
                <w:szCs w:val="21"/>
              </w:rPr>
            </w:pPr>
            <w:r>
              <w:rPr>
                <w:rFonts w:hint="eastAsia"/>
                <w:kern w:val="0"/>
                <w:sz w:val="21"/>
                <w:szCs w:val="21"/>
              </w:rPr>
              <w:t>石油醚</w:t>
            </w:r>
          </w:p>
        </w:tc>
        <w:tc>
          <w:tcPr>
            <w:tcW w:w="1608" w:type="dxa"/>
          </w:tcPr>
          <w:p>
            <w:pPr>
              <w:widowControl/>
              <w:tabs>
                <w:tab w:val="left" w:pos="210"/>
                <w:tab w:val="left" w:pos="1050"/>
                <w:tab w:val="left" w:pos="1155"/>
                <w:tab w:val="left" w:pos="1365"/>
              </w:tabs>
              <w:snapToGrid/>
              <w:spacing w:line="240" w:lineRule="auto"/>
              <w:ind w:firstLine="0" w:firstLineChars="0"/>
              <w:jc w:val="center"/>
              <w:rPr>
                <w:kern w:val="0"/>
                <w:sz w:val="21"/>
                <w:szCs w:val="21"/>
              </w:rPr>
            </w:pPr>
            <w:r>
              <w:rPr>
                <w:sz w:val="21"/>
                <w:szCs w:val="21"/>
              </w:rPr>
              <w:t>60</w:t>
            </w:r>
          </w:p>
        </w:tc>
        <w:tc>
          <w:tcPr>
            <w:tcW w:w="1384" w:type="dxa"/>
            <w:vAlign w:val="center"/>
          </w:tcPr>
          <w:p>
            <w:pPr>
              <w:widowControl/>
              <w:snapToGrid/>
              <w:spacing w:line="240" w:lineRule="auto"/>
              <w:ind w:firstLine="0" w:firstLineChars="0"/>
              <w:jc w:val="center"/>
              <w:rPr>
                <w:kern w:val="0"/>
                <w:sz w:val="21"/>
                <w:szCs w:val="21"/>
              </w:rPr>
            </w:pPr>
            <w:r>
              <w:rPr>
                <w:rFonts w:hint="eastAsia"/>
                <w:kern w:val="0"/>
                <w:sz w:val="21"/>
                <w:szCs w:val="21"/>
              </w:rPr>
              <w:t>1</w:t>
            </w:r>
          </w:p>
        </w:tc>
        <w:tc>
          <w:tcPr>
            <w:tcW w:w="1648" w:type="dxa"/>
            <w:vAlign w:val="center"/>
          </w:tcPr>
          <w:p>
            <w:pPr>
              <w:widowControl/>
              <w:snapToGrid/>
              <w:spacing w:line="240" w:lineRule="auto"/>
              <w:ind w:firstLine="0" w:firstLineChars="0"/>
              <w:jc w:val="center"/>
              <w:rPr>
                <w:kern w:val="0"/>
                <w:sz w:val="21"/>
                <w:szCs w:val="21"/>
                <w:lang w:bidi="ar"/>
              </w:rPr>
            </w:pPr>
            <w:r>
              <w:rPr>
                <w:rFonts w:hint="eastAsia"/>
                <w:kern w:val="0"/>
                <w:sz w:val="21"/>
                <w:szCs w:val="21"/>
                <w:lang w:bidi="ar"/>
              </w:rPr>
              <w:t>2.10</w:t>
            </w:r>
          </w:p>
        </w:tc>
        <w:tc>
          <w:tcPr>
            <w:tcW w:w="1709" w:type="dxa"/>
            <w:vAlign w:val="center"/>
          </w:tcPr>
          <w:p>
            <w:pPr>
              <w:widowControl/>
              <w:snapToGrid/>
              <w:spacing w:line="240" w:lineRule="auto"/>
              <w:ind w:firstLine="0" w:firstLineChars="0"/>
              <w:jc w:val="center"/>
              <w:rPr>
                <w:sz w:val="21"/>
                <w:szCs w:val="21"/>
              </w:rPr>
            </w:pPr>
            <w:r>
              <w:rPr>
                <w:sz w:val="21"/>
                <w:szCs w:val="21"/>
              </w:rPr>
              <w:t>1.39</w:t>
            </w:r>
          </w:p>
        </w:tc>
        <w:tc>
          <w:tcPr>
            <w:tcW w:w="1315" w:type="dxa"/>
            <w:vAlign w:val="center"/>
          </w:tcPr>
          <w:p>
            <w:pPr>
              <w:widowControl/>
              <w:snapToGrid/>
              <w:spacing w:line="240" w:lineRule="auto"/>
              <w:ind w:firstLine="0" w:firstLineChars="0"/>
              <w:jc w:val="center"/>
              <w:rPr>
                <w:kern w:val="0"/>
                <w:sz w:val="21"/>
                <w:szCs w:val="21"/>
              </w:rPr>
            </w:pPr>
            <w:r>
              <w:rPr>
                <w:kern w:val="0"/>
                <w:sz w:val="21"/>
                <w:szCs w:val="21"/>
              </w:rPr>
              <w:t>3.49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69" w:type="dxa"/>
            <w:vAlign w:val="center"/>
          </w:tcPr>
          <w:p>
            <w:pPr>
              <w:widowControl/>
              <w:snapToGrid/>
              <w:spacing w:line="240" w:lineRule="auto"/>
              <w:ind w:firstLine="0" w:firstLineChars="0"/>
              <w:jc w:val="center"/>
              <w:rPr>
                <w:kern w:val="0"/>
                <w:sz w:val="21"/>
                <w:szCs w:val="21"/>
              </w:rPr>
            </w:pPr>
            <w:r>
              <w:rPr>
                <w:rFonts w:hint="eastAsia"/>
                <w:kern w:val="0"/>
                <w:sz w:val="21"/>
                <w:szCs w:val="21"/>
              </w:rPr>
              <w:t>甲醇</w:t>
            </w:r>
          </w:p>
        </w:tc>
        <w:tc>
          <w:tcPr>
            <w:tcW w:w="1608" w:type="dxa"/>
            <w:vAlign w:val="center"/>
          </w:tcPr>
          <w:p>
            <w:pPr>
              <w:widowControl/>
              <w:snapToGrid/>
              <w:spacing w:line="240" w:lineRule="auto"/>
              <w:ind w:firstLine="0" w:firstLineChars="0"/>
              <w:jc w:val="center"/>
              <w:rPr>
                <w:kern w:val="0"/>
                <w:sz w:val="21"/>
                <w:szCs w:val="21"/>
              </w:rPr>
            </w:pPr>
            <w:r>
              <w:rPr>
                <w:rFonts w:hint="eastAsia"/>
                <w:kern w:val="0"/>
                <w:sz w:val="21"/>
                <w:szCs w:val="21"/>
              </w:rPr>
              <w:t>60</w:t>
            </w:r>
          </w:p>
        </w:tc>
        <w:tc>
          <w:tcPr>
            <w:tcW w:w="1384" w:type="dxa"/>
            <w:vAlign w:val="center"/>
          </w:tcPr>
          <w:p>
            <w:pPr>
              <w:widowControl/>
              <w:snapToGrid/>
              <w:spacing w:line="240" w:lineRule="auto"/>
              <w:ind w:firstLine="0" w:firstLineChars="0"/>
              <w:jc w:val="center"/>
              <w:rPr>
                <w:kern w:val="0"/>
                <w:sz w:val="21"/>
                <w:szCs w:val="21"/>
              </w:rPr>
            </w:pPr>
            <w:r>
              <w:rPr>
                <w:rFonts w:hint="eastAsia"/>
                <w:kern w:val="0"/>
                <w:sz w:val="21"/>
                <w:szCs w:val="21"/>
              </w:rPr>
              <w:t>1</w:t>
            </w:r>
          </w:p>
        </w:tc>
        <w:tc>
          <w:tcPr>
            <w:tcW w:w="1648" w:type="dxa"/>
            <w:vAlign w:val="center"/>
          </w:tcPr>
          <w:p>
            <w:pPr>
              <w:widowControl/>
              <w:snapToGrid/>
              <w:spacing w:line="240" w:lineRule="auto"/>
              <w:ind w:firstLine="0" w:firstLineChars="0"/>
              <w:jc w:val="center"/>
              <w:rPr>
                <w:kern w:val="0"/>
                <w:sz w:val="21"/>
                <w:szCs w:val="21"/>
                <w:lang w:bidi="ar"/>
              </w:rPr>
            </w:pPr>
            <w:r>
              <w:rPr>
                <w:rFonts w:hint="eastAsia"/>
                <w:kern w:val="0"/>
                <w:sz w:val="21"/>
                <w:szCs w:val="21"/>
                <w:lang w:bidi="ar"/>
              </w:rPr>
              <w:t>0.30</w:t>
            </w:r>
          </w:p>
        </w:tc>
        <w:tc>
          <w:tcPr>
            <w:tcW w:w="1709" w:type="dxa"/>
            <w:vAlign w:val="center"/>
          </w:tcPr>
          <w:p>
            <w:pPr>
              <w:widowControl/>
              <w:snapToGrid/>
              <w:spacing w:line="240" w:lineRule="auto"/>
              <w:ind w:firstLine="0" w:firstLineChars="0"/>
              <w:jc w:val="center"/>
              <w:rPr>
                <w:sz w:val="21"/>
                <w:szCs w:val="21"/>
              </w:rPr>
            </w:pPr>
            <w:r>
              <w:rPr>
                <w:sz w:val="21"/>
                <w:szCs w:val="21"/>
              </w:rPr>
              <w:t>1.73</w:t>
            </w:r>
          </w:p>
        </w:tc>
        <w:tc>
          <w:tcPr>
            <w:tcW w:w="1315" w:type="dxa"/>
            <w:vAlign w:val="center"/>
          </w:tcPr>
          <w:p>
            <w:pPr>
              <w:widowControl/>
              <w:snapToGrid/>
              <w:spacing w:line="240" w:lineRule="auto"/>
              <w:ind w:firstLine="0" w:firstLineChars="0"/>
              <w:jc w:val="center"/>
              <w:rPr>
                <w:kern w:val="0"/>
                <w:sz w:val="21"/>
                <w:szCs w:val="21"/>
              </w:rPr>
            </w:pPr>
            <w:r>
              <w:rPr>
                <w:kern w:val="0"/>
                <w:sz w:val="21"/>
                <w:szCs w:val="21"/>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718" w:type="dxa"/>
            <w:gridSpan w:val="5"/>
            <w:vAlign w:val="center"/>
          </w:tcPr>
          <w:p>
            <w:pPr>
              <w:widowControl/>
              <w:snapToGrid/>
              <w:spacing w:line="240" w:lineRule="auto"/>
              <w:ind w:firstLine="0" w:firstLineChars="0"/>
              <w:jc w:val="center"/>
              <w:rPr>
                <w:sz w:val="21"/>
                <w:szCs w:val="21"/>
              </w:rPr>
            </w:pPr>
            <w:r>
              <w:rPr>
                <w:rFonts w:hint="eastAsia"/>
                <w:kern w:val="0"/>
                <w:sz w:val="21"/>
                <w:szCs w:val="21"/>
              </w:rPr>
              <w:t>非甲烷</w:t>
            </w:r>
            <w:r>
              <w:rPr>
                <w:kern w:val="0"/>
                <w:sz w:val="21"/>
                <w:szCs w:val="21"/>
              </w:rPr>
              <w:t>总烃合计</w:t>
            </w:r>
          </w:p>
        </w:tc>
        <w:tc>
          <w:tcPr>
            <w:tcW w:w="1315" w:type="dxa"/>
            <w:vAlign w:val="center"/>
          </w:tcPr>
          <w:p>
            <w:pPr>
              <w:widowControl/>
              <w:snapToGrid/>
              <w:spacing w:line="240" w:lineRule="auto"/>
              <w:ind w:firstLine="0" w:firstLineChars="0"/>
              <w:jc w:val="center"/>
              <w:rPr>
                <w:kern w:val="0"/>
                <w:sz w:val="21"/>
                <w:szCs w:val="21"/>
              </w:rPr>
            </w:pPr>
            <w:r>
              <w:rPr>
                <w:kern w:val="0"/>
                <w:sz w:val="21"/>
                <w:szCs w:val="21"/>
              </w:rPr>
              <w:t>5.52</w:t>
            </w:r>
          </w:p>
        </w:tc>
      </w:tr>
    </w:tbl>
    <w:p>
      <w:pPr>
        <w:ind w:firstLine="480"/>
        <w:rPr>
          <w:rFonts w:hAnsi="宋体"/>
          <w:highlight w:val="yellow"/>
        </w:rPr>
      </w:pPr>
    </w:p>
    <w:p>
      <w:pPr>
        <w:ind w:firstLine="480"/>
        <w:rPr>
          <w:rFonts w:hAnsi="宋体"/>
          <w:highlight w:val="yellow"/>
        </w:rPr>
      </w:pPr>
    </w:p>
    <w:p>
      <w:pPr>
        <w:ind w:firstLine="480"/>
        <w:rPr>
          <w:rFonts w:hAnsi="宋体"/>
          <w:highlight w:val="yellow"/>
        </w:rPr>
      </w:pPr>
    </w:p>
    <w:p>
      <w:pPr>
        <w:ind w:firstLine="480"/>
        <w:rPr>
          <w:rFonts w:hAnsi="宋体"/>
          <w:highlight w:val="yellow"/>
        </w:rPr>
        <w:sectPr>
          <w:headerReference r:id="rId23" w:type="even"/>
          <w:pgSz w:w="11906" w:h="16838"/>
          <w:pgMar w:top="1418" w:right="1418" w:bottom="1418" w:left="1418" w:header="992" w:footer="992" w:gutter="0"/>
          <w:pgNumType w:fmt="numberInDash"/>
          <w:cols w:space="425" w:num="1"/>
          <w:docGrid w:type="lines" w:linePitch="326" w:charSpace="0"/>
        </w:sectPr>
      </w:pPr>
    </w:p>
    <w:p>
      <w:pPr>
        <w:pStyle w:val="93"/>
        <w:rPr>
          <w:rFonts w:hAnsi="Times New Roman"/>
          <w:szCs w:val="20"/>
          <w:highlight w:val="yellow"/>
        </w:rPr>
      </w:pPr>
      <w:bookmarkStart w:id="83" w:name="_Ref26370847"/>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3.3</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7</w:t>
      </w:r>
      <w:r>
        <w:rPr>
          <w:rFonts w:hAnsi="Times New Roman"/>
        </w:rPr>
        <w:fldChar w:fldCharType="end"/>
      </w:r>
      <w:bookmarkEnd w:id="83"/>
      <w:r>
        <w:rPr>
          <w:rFonts w:hAnsi="Times New Roman"/>
        </w:rPr>
        <w:t xml:space="preserve">  </w:t>
      </w:r>
      <w:r>
        <w:rPr>
          <w:rFonts w:hAnsi="Times New Roman"/>
          <w:szCs w:val="21"/>
        </w:rPr>
        <w:t>项目废气污染源源强核算结果及相关参数一览表</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74"/>
        <w:gridCol w:w="877"/>
        <w:gridCol w:w="1095"/>
        <w:gridCol w:w="1079"/>
        <w:gridCol w:w="1148"/>
        <w:gridCol w:w="1140"/>
        <w:gridCol w:w="925"/>
        <w:gridCol w:w="1185"/>
        <w:gridCol w:w="699"/>
        <w:gridCol w:w="1126"/>
        <w:gridCol w:w="1221"/>
        <w:gridCol w:w="1140"/>
        <w:gridCol w:w="1040"/>
        <w:gridCol w:w="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tblHeader/>
          <w:jc w:val="center"/>
        </w:trPr>
        <w:tc>
          <w:tcPr>
            <w:tcW w:w="674" w:type="dxa"/>
            <w:vMerge w:val="restart"/>
            <w:vAlign w:val="center"/>
          </w:tcPr>
          <w:p>
            <w:pPr>
              <w:pStyle w:val="97"/>
            </w:pPr>
            <w:r>
              <w:t>工序</w:t>
            </w:r>
          </w:p>
        </w:tc>
        <w:tc>
          <w:tcPr>
            <w:tcW w:w="877" w:type="dxa"/>
            <w:vMerge w:val="restart"/>
            <w:vAlign w:val="center"/>
          </w:tcPr>
          <w:p>
            <w:pPr>
              <w:pStyle w:val="97"/>
            </w:pPr>
            <w:r>
              <w:t>污染源</w:t>
            </w:r>
          </w:p>
        </w:tc>
        <w:tc>
          <w:tcPr>
            <w:tcW w:w="1095" w:type="dxa"/>
            <w:vMerge w:val="restart"/>
            <w:vAlign w:val="center"/>
          </w:tcPr>
          <w:p>
            <w:pPr>
              <w:pStyle w:val="97"/>
            </w:pPr>
            <w:r>
              <w:t>污染物</w:t>
            </w:r>
          </w:p>
        </w:tc>
        <w:tc>
          <w:tcPr>
            <w:tcW w:w="4292" w:type="dxa"/>
            <w:gridSpan w:val="4"/>
            <w:vAlign w:val="center"/>
          </w:tcPr>
          <w:p>
            <w:pPr>
              <w:pStyle w:val="97"/>
            </w:pPr>
            <w:r>
              <w:t>污染物产生</w:t>
            </w:r>
          </w:p>
        </w:tc>
        <w:tc>
          <w:tcPr>
            <w:tcW w:w="1884" w:type="dxa"/>
            <w:gridSpan w:val="2"/>
            <w:vAlign w:val="center"/>
          </w:tcPr>
          <w:p>
            <w:pPr>
              <w:pStyle w:val="97"/>
            </w:pPr>
            <w:r>
              <w:t>治理措施</w:t>
            </w:r>
          </w:p>
        </w:tc>
        <w:tc>
          <w:tcPr>
            <w:tcW w:w="4527" w:type="dxa"/>
            <w:gridSpan w:val="4"/>
            <w:vAlign w:val="center"/>
          </w:tcPr>
          <w:p>
            <w:pPr>
              <w:pStyle w:val="97"/>
            </w:pPr>
            <w:r>
              <w:t>污染物排放</w:t>
            </w:r>
          </w:p>
        </w:tc>
        <w:tc>
          <w:tcPr>
            <w:tcW w:w="623" w:type="dxa"/>
            <w:vMerge w:val="restart"/>
            <w:vAlign w:val="center"/>
          </w:tcPr>
          <w:p>
            <w:pPr>
              <w:pStyle w:val="97"/>
            </w:pPr>
            <w:r>
              <w:t>排放</w:t>
            </w:r>
          </w:p>
          <w:p>
            <w:pPr>
              <w:pStyle w:val="97"/>
              <w:rPr>
                <w:highlight w:val="yellow"/>
              </w:rPr>
            </w:pPr>
            <w:r>
              <w:t>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tblHeader/>
          <w:jc w:val="center"/>
        </w:trPr>
        <w:tc>
          <w:tcPr>
            <w:tcW w:w="674" w:type="dxa"/>
            <w:vMerge w:val="continue"/>
            <w:vAlign w:val="center"/>
          </w:tcPr>
          <w:p>
            <w:pPr>
              <w:pStyle w:val="97"/>
            </w:pPr>
          </w:p>
        </w:tc>
        <w:tc>
          <w:tcPr>
            <w:tcW w:w="877" w:type="dxa"/>
            <w:vMerge w:val="continue"/>
            <w:vAlign w:val="center"/>
          </w:tcPr>
          <w:p>
            <w:pPr>
              <w:pStyle w:val="97"/>
            </w:pPr>
          </w:p>
        </w:tc>
        <w:tc>
          <w:tcPr>
            <w:tcW w:w="1095" w:type="dxa"/>
            <w:vMerge w:val="continue"/>
            <w:vAlign w:val="center"/>
          </w:tcPr>
          <w:p>
            <w:pPr>
              <w:pStyle w:val="97"/>
            </w:pPr>
          </w:p>
        </w:tc>
        <w:tc>
          <w:tcPr>
            <w:tcW w:w="1079" w:type="dxa"/>
            <w:vAlign w:val="center"/>
          </w:tcPr>
          <w:p>
            <w:pPr>
              <w:pStyle w:val="97"/>
            </w:pPr>
            <w:r>
              <w:t>核算方法</w:t>
            </w:r>
          </w:p>
        </w:tc>
        <w:tc>
          <w:tcPr>
            <w:tcW w:w="1148" w:type="dxa"/>
            <w:vAlign w:val="center"/>
          </w:tcPr>
          <w:p>
            <w:pPr>
              <w:pStyle w:val="97"/>
            </w:pPr>
            <w:r>
              <w:t>产生废气量（m</w:t>
            </w:r>
            <w:r>
              <w:rPr>
                <w:vertAlign w:val="superscript"/>
              </w:rPr>
              <w:t>3</w:t>
            </w:r>
            <w:r>
              <w:t>/h）</w:t>
            </w:r>
          </w:p>
        </w:tc>
        <w:tc>
          <w:tcPr>
            <w:tcW w:w="1140" w:type="dxa"/>
            <w:vAlign w:val="center"/>
          </w:tcPr>
          <w:p>
            <w:pPr>
              <w:pStyle w:val="97"/>
            </w:pPr>
            <w:r>
              <w:t>产生浓度</w:t>
            </w:r>
          </w:p>
          <w:p>
            <w:pPr>
              <w:pStyle w:val="97"/>
            </w:pPr>
            <w:r>
              <w:t>（mg/m</w:t>
            </w:r>
            <w:r>
              <w:rPr>
                <w:vertAlign w:val="superscript"/>
              </w:rPr>
              <w:t>3</w:t>
            </w:r>
            <w:r>
              <w:t>）</w:t>
            </w:r>
          </w:p>
        </w:tc>
        <w:tc>
          <w:tcPr>
            <w:tcW w:w="925" w:type="dxa"/>
            <w:vAlign w:val="center"/>
          </w:tcPr>
          <w:p>
            <w:pPr>
              <w:pStyle w:val="97"/>
            </w:pPr>
            <w:r>
              <w:t>产生量（kg/h）</w:t>
            </w:r>
          </w:p>
        </w:tc>
        <w:tc>
          <w:tcPr>
            <w:tcW w:w="1185" w:type="dxa"/>
            <w:vAlign w:val="center"/>
          </w:tcPr>
          <w:p>
            <w:pPr>
              <w:pStyle w:val="97"/>
            </w:pPr>
            <w:r>
              <w:t>工艺</w:t>
            </w:r>
          </w:p>
        </w:tc>
        <w:tc>
          <w:tcPr>
            <w:tcW w:w="699" w:type="dxa"/>
            <w:vAlign w:val="center"/>
          </w:tcPr>
          <w:p>
            <w:pPr>
              <w:pStyle w:val="97"/>
            </w:pPr>
            <w:r>
              <w:t>效率（%）</w:t>
            </w:r>
          </w:p>
        </w:tc>
        <w:tc>
          <w:tcPr>
            <w:tcW w:w="1126" w:type="dxa"/>
            <w:vAlign w:val="center"/>
          </w:tcPr>
          <w:p>
            <w:pPr>
              <w:pStyle w:val="97"/>
            </w:pPr>
            <w:r>
              <w:t>核算方法</w:t>
            </w:r>
          </w:p>
        </w:tc>
        <w:tc>
          <w:tcPr>
            <w:tcW w:w="1221" w:type="dxa"/>
            <w:vAlign w:val="center"/>
          </w:tcPr>
          <w:p>
            <w:pPr>
              <w:pStyle w:val="97"/>
            </w:pPr>
            <w:r>
              <w:t>排放废气量（m</w:t>
            </w:r>
            <w:r>
              <w:rPr>
                <w:vertAlign w:val="superscript"/>
              </w:rPr>
              <w:t>3</w:t>
            </w:r>
            <w:r>
              <w:t>/h）</w:t>
            </w:r>
          </w:p>
        </w:tc>
        <w:tc>
          <w:tcPr>
            <w:tcW w:w="1140" w:type="dxa"/>
            <w:vAlign w:val="center"/>
          </w:tcPr>
          <w:p>
            <w:pPr>
              <w:pStyle w:val="97"/>
            </w:pPr>
            <w:r>
              <w:t>排放浓度</w:t>
            </w:r>
          </w:p>
          <w:p>
            <w:pPr>
              <w:pStyle w:val="97"/>
            </w:pPr>
            <w:r>
              <w:t>（mg/m</w:t>
            </w:r>
            <w:r>
              <w:rPr>
                <w:vertAlign w:val="superscript"/>
              </w:rPr>
              <w:t>3</w:t>
            </w:r>
            <w:r>
              <w:t>）</w:t>
            </w:r>
          </w:p>
        </w:tc>
        <w:tc>
          <w:tcPr>
            <w:tcW w:w="1040" w:type="dxa"/>
            <w:vAlign w:val="center"/>
          </w:tcPr>
          <w:p>
            <w:pPr>
              <w:pStyle w:val="97"/>
            </w:pPr>
            <w:r>
              <w:t>排放量</w:t>
            </w:r>
          </w:p>
          <w:p>
            <w:pPr>
              <w:pStyle w:val="97"/>
            </w:pPr>
            <w:r>
              <w:t>（kg/h）</w:t>
            </w:r>
          </w:p>
        </w:tc>
        <w:tc>
          <w:tcPr>
            <w:tcW w:w="623" w:type="dxa"/>
            <w:vMerge w:val="continue"/>
            <w:vAlign w:val="center"/>
          </w:tcPr>
          <w:p>
            <w:pPr>
              <w:pStyle w:val="9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Align w:val="center"/>
          </w:tcPr>
          <w:p>
            <w:pPr>
              <w:pStyle w:val="97"/>
            </w:pPr>
            <w:r>
              <w:rPr>
                <w:rFonts w:hint="eastAsia"/>
              </w:rPr>
              <w:t>初清</w:t>
            </w:r>
          </w:p>
        </w:tc>
        <w:tc>
          <w:tcPr>
            <w:tcW w:w="877" w:type="dxa"/>
            <w:vAlign w:val="center"/>
          </w:tcPr>
          <w:p>
            <w:pPr>
              <w:pStyle w:val="97"/>
            </w:pPr>
            <w:r>
              <w:rPr>
                <w:rFonts w:hint="eastAsia"/>
              </w:rPr>
              <w:t>排气筒</w:t>
            </w:r>
            <w:r>
              <w:t>P1</w:t>
            </w:r>
          </w:p>
        </w:tc>
        <w:tc>
          <w:tcPr>
            <w:tcW w:w="1095" w:type="dxa"/>
            <w:vAlign w:val="center"/>
          </w:tcPr>
          <w:p>
            <w:pPr>
              <w:pStyle w:val="97"/>
            </w:pPr>
            <w:r>
              <w:rPr>
                <w:rFonts w:hint="eastAsia"/>
              </w:rPr>
              <w:t>粉尘</w:t>
            </w:r>
          </w:p>
        </w:tc>
        <w:tc>
          <w:tcPr>
            <w:tcW w:w="1079" w:type="dxa"/>
            <w:vAlign w:val="center"/>
          </w:tcPr>
          <w:p>
            <w:pPr>
              <w:pStyle w:val="97"/>
            </w:pPr>
            <w:r>
              <w:rPr>
                <w:rFonts w:hint="eastAsia"/>
              </w:rPr>
              <w:t>产污</w:t>
            </w:r>
            <w:r>
              <w:t>系数法</w:t>
            </w:r>
          </w:p>
        </w:tc>
        <w:tc>
          <w:tcPr>
            <w:tcW w:w="1148" w:type="dxa"/>
            <w:vAlign w:val="center"/>
          </w:tcPr>
          <w:p>
            <w:pPr>
              <w:pStyle w:val="97"/>
            </w:pPr>
            <w:r>
              <w:rPr>
                <w:rFonts w:hint="eastAsia"/>
              </w:rPr>
              <w:t>2062</w:t>
            </w:r>
          </w:p>
        </w:tc>
        <w:tc>
          <w:tcPr>
            <w:tcW w:w="1140" w:type="dxa"/>
            <w:vAlign w:val="center"/>
          </w:tcPr>
          <w:p>
            <w:pPr>
              <w:pStyle w:val="97"/>
            </w:pPr>
            <w:r>
              <w:t>60.62</w:t>
            </w:r>
          </w:p>
        </w:tc>
        <w:tc>
          <w:tcPr>
            <w:tcW w:w="925" w:type="dxa"/>
            <w:vAlign w:val="center"/>
          </w:tcPr>
          <w:p>
            <w:pPr>
              <w:pStyle w:val="97"/>
            </w:pPr>
            <w:r>
              <w:rPr>
                <w:rFonts w:hint="eastAsia"/>
              </w:rPr>
              <w:t>0.</w:t>
            </w:r>
            <w:r>
              <w:t>125</w:t>
            </w:r>
          </w:p>
        </w:tc>
        <w:tc>
          <w:tcPr>
            <w:tcW w:w="1185" w:type="dxa"/>
            <w:vAlign w:val="center"/>
          </w:tcPr>
          <w:p>
            <w:pPr>
              <w:pStyle w:val="97"/>
            </w:pPr>
            <w:r>
              <w:rPr>
                <w:rFonts w:hint="eastAsia"/>
              </w:rPr>
              <w:t>旋风</w:t>
            </w:r>
            <w:r>
              <w:t>收尘</w:t>
            </w:r>
            <w:r>
              <w:rPr>
                <w:rFonts w:hint="eastAsia"/>
              </w:rPr>
              <w:t>+布袋</w:t>
            </w:r>
            <w:r>
              <w:t>除尘</w:t>
            </w:r>
            <w:r>
              <w:rPr>
                <w:rFonts w:hint="eastAsia"/>
              </w:rPr>
              <w:t>+15</w:t>
            </w:r>
            <w:r>
              <w:t>m排气筒</w:t>
            </w:r>
          </w:p>
        </w:tc>
        <w:tc>
          <w:tcPr>
            <w:tcW w:w="699" w:type="dxa"/>
            <w:vAlign w:val="center"/>
          </w:tcPr>
          <w:p>
            <w:pPr>
              <w:pStyle w:val="97"/>
            </w:pPr>
            <w:r>
              <w:rPr>
                <w:rFonts w:hint="eastAsia"/>
              </w:rPr>
              <w:t>99</w:t>
            </w:r>
            <w:r>
              <w:t>%</w:t>
            </w:r>
          </w:p>
        </w:tc>
        <w:tc>
          <w:tcPr>
            <w:tcW w:w="1126" w:type="dxa"/>
            <w:vAlign w:val="center"/>
          </w:tcPr>
          <w:p>
            <w:pPr>
              <w:pStyle w:val="97"/>
            </w:pPr>
            <w:r>
              <w:rPr>
                <w:rFonts w:hint="eastAsia"/>
              </w:rPr>
              <w:t>物料</w:t>
            </w:r>
            <w:r>
              <w:t>衡算法</w:t>
            </w:r>
          </w:p>
        </w:tc>
        <w:tc>
          <w:tcPr>
            <w:tcW w:w="1221" w:type="dxa"/>
            <w:vAlign w:val="center"/>
          </w:tcPr>
          <w:p>
            <w:pPr>
              <w:pStyle w:val="97"/>
            </w:pPr>
            <w:r>
              <w:rPr>
                <w:rFonts w:hint="eastAsia"/>
              </w:rPr>
              <w:t>2062</w:t>
            </w:r>
          </w:p>
        </w:tc>
        <w:tc>
          <w:tcPr>
            <w:tcW w:w="1140" w:type="dxa"/>
            <w:vAlign w:val="center"/>
          </w:tcPr>
          <w:p>
            <w:pPr>
              <w:pStyle w:val="97"/>
            </w:pPr>
            <w:r>
              <w:t>0.48</w:t>
            </w:r>
          </w:p>
        </w:tc>
        <w:tc>
          <w:tcPr>
            <w:tcW w:w="1040" w:type="dxa"/>
            <w:vAlign w:val="center"/>
          </w:tcPr>
          <w:p>
            <w:pPr>
              <w:pStyle w:val="97"/>
            </w:pPr>
            <w:r>
              <w:rPr>
                <w:rFonts w:hint="eastAsia"/>
              </w:rPr>
              <w:t>0.0</w:t>
            </w:r>
            <w:r>
              <w:t>01</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Align w:val="center"/>
          </w:tcPr>
          <w:p>
            <w:pPr>
              <w:pStyle w:val="97"/>
            </w:pPr>
            <w:r>
              <w:rPr>
                <w:rFonts w:hint="eastAsia"/>
              </w:rPr>
              <w:t>粗粉</w:t>
            </w:r>
          </w:p>
        </w:tc>
        <w:tc>
          <w:tcPr>
            <w:tcW w:w="877" w:type="dxa"/>
            <w:vAlign w:val="center"/>
          </w:tcPr>
          <w:p>
            <w:pPr>
              <w:pStyle w:val="97"/>
            </w:pPr>
            <w:r>
              <w:rPr>
                <w:rFonts w:hint="eastAsia"/>
              </w:rPr>
              <w:t>排气筒</w:t>
            </w:r>
            <w:r>
              <w:t>P2</w:t>
            </w:r>
          </w:p>
        </w:tc>
        <w:tc>
          <w:tcPr>
            <w:tcW w:w="1095" w:type="dxa"/>
            <w:vAlign w:val="center"/>
          </w:tcPr>
          <w:p>
            <w:pPr>
              <w:pStyle w:val="97"/>
            </w:pPr>
            <w:r>
              <w:rPr>
                <w:rFonts w:hint="eastAsia"/>
              </w:rPr>
              <w:t>粉尘</w:t>
            </w:r>
          </w:p>
        </w:tc>
        <w:tc>
          <w:tcPr>
            <w:tcW w:w="1079" w:type="dxa"/>
            <w:vAlign w:val="center"/>
          </w:tcPr>
          <w:p>
            <w:pPr>
              <w:pStyle w:val="97"/>
            </w:pPr>
            <w:r>
              <w:rPr>
                <w:rFonts w:hint="eastAsia"/>
              </w:rPr>
              <w:t>产污</w:t>
            </w:r>
            <w:r>
              <w:t>系数法</w:t>
            </w:r>
          </w:p>
        </w:tc>
        <w:tc>
          <w:tcPr>
            <w:tcW w:w="1148" w:type="dxa"/>
            <w:vAlign w:val="center"/>
          </w:tcPr>
          <w:p>
            <w:pPr>
              <w:pStyle w:val="97"/>
            </w:pPr>
            <w:r>
              <w:rPr>
                <w:rFonts w:hint="eastAsia"/>
              </w:rPr>
              <w:t>2062</w:t>
            </w:r>
          </w:p>
        </w:tc>
        <w:tc>
          <w:tcPr>
            <w:tcW w:w="1140" w:type="dxa"/>
            <w:vAlign w:val="center"/>
          </w:tcPr>
          <w:p>
            <w:pPr>
              <w:pStyle w:val="97"/>
            </w:pPr>
            <w:r>
              <w:rPr>
                <w:rFonts w:hint="eastAsia"/>
              </w:rPr>
              <w:t>60.62</w:t>
            </w:r>
          </w:p>
        </w:tc>
        <w:tc>
          <w:tcPr>
            <w:tcW w:w="925" w:type="dxa"/>
            <w:vAlign w:val="center"/>
          </w:tcPr>
          <w:p>
            <w:pPr>
              <w:pStyle w:val="97"/>
            </w:pPr>
            <w:r>
              <w:t>0.125</w:t>
            </w:r>
          </w:p>
        </w:tc>
        <w:tc>
          <w:tcPr>
            <w:tcW w:w="1185" w:type="dxa"/>
            <w:vAlign w:val="center"/>
          </w:tcPr>
          <w:p>
            <w:pPr>
              <w:pStyle w:val="97"/>
            </w:pPr>
            <w:r>
              <w:rPr>
                <w:rFonts w:hint="eastAsia"/>
              </w:rPr>
              <w:t>旋风</w:t>
            </w:r>
            <w:r>
              <w:t>收尘</w:t>
            </w:r>
            <w:r>
              <w:rPr>
                <w:rFonts w:hint="eastAsia"/>
              </w:rPr>
              <w:t>+布袋</w:t>
            </w:r>
            <w:r>
              <w:t>除尘</w:t>
            </w:r>
            <w:r>
              <w:rPr>
                <w:rFonts w:hint="eastAsia"/>
              </w:rPr>
              <w:t>+15</w:t>
            </w:r>
            <w:r>
              <w:t>m排气筒</w:t>
            </w:r>
          </w:p>
        </w:tc>
        <w:tc>
          <w:tcPr>
            <w:tcW w:w="699" w:type="dxa"/>
            <w:vAlign w:val="center"/>
          </w:tcPr>
          <w:p>
            <w:pPr>
              <w:pStyle w:val="97"/>
            </w:pPr>
            <w:r>
              <w:rPr>
                <w:rFonts w:hint="eastAsia"/>
              </w:rPr>
              <w:t>99</w:t>
            </w:r>
            <w:r>
              <w:t>%</w:t>
            </w:r>
          </w:p>
        </w:tc>
        <w:tc>
          <w:tcPr>
            <w:tcW w:w="1126" w:type="dxa"/>
            <w:vAlign w:val="center"/>
          </w:tcPr>
          <w:p>
            <w:pPr>
              <w:pStyle w:val="97"/>
            </w:pPr>
            <w:r>
              <w:rPr>
                <w:rFonts w:hint="eastAsia"/>
              </w:rPr>
              <w:t>物料</w:t>
            </w:r>
            <w:r>
              <w:t>衡算法</w:t>
            </w:r>
          </w:p>
        </w:tc>
        <w:tc>
          <w:tcPr>
            <w:tcW w:w="1221" w:type="dxa"/>
            <w:vAlign w:val="center"/>
          </w:tcPr>
          <w:p>
            <w:pPr>
              <w:pStyle w:val="97"/>
            </w:pPr>
            <w:r>
              <w:rPr>
                <w:rFonts w:hint="eastAsia"/>
              </w:rPr>
              <w:t>2062</w:t>
            </w:r>
          </w:p>
        </w:tc>
        <w:tc>
          <w:tcPr>
            <w:tcW w:w="1140" w:type="dxa"/>
            <w:vAlign w:val="center"/>
          </w:tcPr>
          <w:p>
            <w:pPr>
              <w:pStyle w:val="97"/>
            </w:pPr>
            <w:r>
              <w:t>0.48</w:t>
            </w:r>
          </w:p>
        </w:tc>
        <w:tc>
          <w:tcPr>
            <w:tcW w:w="1040" w:type="dxa"/>
            <w:vAlign w:val="center"/>
          </w:tcPr>
          <w:p>
            <w:pPr>
              <w:pStyle w:val="97"/>
            </w:pPr>
            <w:r>
              <w:rPr>
                <w:rFonts w:hint="eastAsia"/>
              </w:rPr>
              <w:t>0.0</w:t>
            </w:r>
            <w:r>
              <w:t>01</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restart"/>
            <w:vAlign w:val="center"/>
          </w:tcPr>
          <w:p>
            <w:pPr>
              <w:pStyle w:val="97"/>
            </w:pPr>
            <w:r>
              <w:rPr>
                <w:rFonts w:hint="eastAsia"/>
              </w:rPr>
              <w:t>微粉</w:t>
            </w:r>
          </w:p>
        </w:tc>
        <w:tc>
          <w:tcPr>
            <w:tcW w:w="877" w:type="dxa"/>
            <w:vAlign w:val="center"/>
          </w:tcPr>
          <w:p>
            <w:pPr>
              <w:pStyle w:val="97"/>
            </w:pPr>
            <w:r>
              <w:rPr>
                <w:rFonts w:hint="eastAsia"/>
              </w:rPr>
              <w:t>排气筒</w:t>
            </w:r>
            <w:r>
              <w:t>P3</w:t>
            </w:r>
          </w:p>
        </w:tc>
        <w:tc>
          <w:tcPr>
            <w:tcW w:w="1095" w:type="dxa"/>
            <w:vAlign w:val="center"/>
          </w:tcPr>
          <w:p>
            <w:pPr>
              <w:pStyle w:val="97"/>
            </w:pPr>
            <w:r>
              <w:rPr>
                <w:rFonts w:hint="eastAsia"/>
              </w:rPr>
              <w:t>粉尘</w:t>
            </w:r>
          </w:p>
        </w:tc>
        <w:tc>
          <w:tcPr>
            <w:tcW w:w="1079" w:type="dxa"/>
            <w:vAlign w:val="center"/>
          </w:tcPr>
          <w:p>
            <w:pPr>
              <w:pStyle w:val="97"/>
            </w:pPr>
            <w:r>
              <w:rPr>
                <w:rFonts w:hint="eastAsia"/>
              </w:rPr>
              <w:t>产污</w:t>
            </w:r>
            <w:r>
              <w:t>系数法</w:t>
            </w:r>
          </w:p>
        </w:tc>
        <w:tc>
          <w:tcPr>
            <w:tcW w:w="1148" w:type="dxa"/>
            <w:vAlign w:val="center"/>
          </w:tcPr>
          <w:p>
            <w:pPr>
              <w:pStyle w:val="97"/>
            </w:pPr>
            <w:r>
              <w:rPr>
                <w:rFonts w:hint="eastAsia"/>
              </w:rPr>
              <w:t>2062</w:t>
            </w:r>
          </w:p>
        </w:tc>
        <w:tc>
          <w:tcPr>
            <w:tcW w:w="1140" w:type="dxa"/>
            <w:vAlign w:val="center"/>
          </w:tcPr>
          <w:p>
            <w:pPr>
              <w:pStyle w:val="97"/>
            </w:pPr>
            <w:r>
              <w:rPr>
                <w:rFonts w:hint="eastAsia"/>
              </w:rPr>
              <w:t>29.58</w:t>
            </w:r>
          </w:p>
        </w:tc>
        <w:tc>
          <w:tcPr>
            <w:tcW w:w="925" w:type="dxa"/>
            <w:vAlign w:val="center"/>
          </w:tcPr>
          <w:p>
            <w:pPr>
              <w:pStyle w:val="97"/>
            </w:pPr>
            <w:r>
              <w:rPr>
                <w:rFonts w:hint="eastAsia"/>
              </w:rPr>
              <w:t>0.061</w:t>
            </w:r>
          </w:p>
        </w:tc>
        <w:tc>
          <w:tcPr>
            <w:tcW w:w="1185" w:type="dxa"/>
            <w:vAlign w:val="center"/>
          </w:tcPr>
          <w:p>
            <w:pPr>
              <w:pStyle w:val="97"/>
            </w:pPr>
            <w:r>
              <w:rPr>
                <w:rFonts w:hint="eastAsia"/>
              </w:rPr>
              <w:t>旋风</w:t>
            </w:r>
            <w:r>
              <w:t>收尘</w:t>
            </w:r>
            <w:r>
              <w:rPr>
                <w:rFonts w:hint="eastAsia"/>
              </w:rPr>
              <w:t>+布袋</w:t>
            </w:r>
            <w:r>
              <w:t>除尘</w:t>
            </w:r>
            <w:r>
              <w:rPr>
                <w:rFonts w:hint="eastAsia"/>
              </w:rPr>
              <w:t>+15</w:t>
            </w:r>
            <w:r>
              <w:t>m排气筒</w:t>
            </w:r>
          </w:p>
        </w:tc>
        <w:tc>
          <w:tcPr>
            <w:tcW w:w="699" w:type="dxa"/>
            <w:vAlign w:val="center"/>
          </w:tcPr>
          <w:p>
            <w:pPr>
              <w:pStyle w:val="97"/>
            </w:pPr>
            <w:r>
              <w:rPr>
                <w:rFonts w:hint="eastAsia"/>
              </w:rPr>
              <w:t>99</w:t>
            </w:r>
            <w:r>
              <w:t>%</w:t>
            </w:r>
          </w:p>
        </w:tc>
        <w:tc>
          <w:tcPr>
            <w:tcW w:w="1126" w:type="dxa"/>
            <w:vAlign w:val="center"/>
          </w:tcPr>
          <w:p>
            <w:pPr>
              <w:pStyle w:val="97"/>
            </w:pPr>
            <w:r>
              <w:rPr>
                <w:rFonts w:hint="eastAsia"/>
              </w:rPr>
              <w:t>物料</w:t>
            </w:r>
            <w:r>
              <w:t>衡算法</w:t>
            </w:r>
          </w:p>
        </w:tc>
        <w:tc>
          <w:tcPr>
            <w:tcW w:w="1221" w:type="dxa"/>
            <w:vAlign w:val="center"/>
          </w:tcPr>
          <w:p>
            <w:pPr>
              <w:pStyle w:val="97"/>
            </w:pPr>
            <w:r>
              <w:rPr>
                <w:rFonts w:hint="eastAsia"/>
              </w:rPr>
              <w:t>2062</w:t>
            </w:r>
          </w:p>
        </w:tc>
        <w:tc>
          <w:tcPr>
            <w:tcW w:w="1140" w:type="dxa"/>
            <w:vAlign w:val="center"/>
          </w:tcPr>
          <w:p>
            <w:pPr>
              <w:pStyle w:val="97"/>
            </w:pPr>
            <w:r>
              <w:rPr>
                <w:rFonts w:hint="eastAsia"/>
              </w:rPr>
              <w:t>0.24</w:t>
            </w:r>
          </w:p>
        </w:tc>
        <w:tc>
          <w:tcPr>
            <w:tcW w:w="1040" w:type="dxa"/>
            <w:vAlign w:val="center"/>
          </w:tcPr>
          <w:p>
            <w:pPr>
              <w:pStyle w:val="97"/>
            </w:pPr>
            <w:r>
              <w:rPr>
                <w:rFonts w:hint="eastAsia"/>
              </w:rPr>
              <w:t>0.0005</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continue"/>
            <w:vAlign w:val="center"/>
          </w:tcPr>
          <w:p>
            <w:pPr>
              <w:pStyle w:val="97"/>
              <w:rPr>
                <w:highlight w:val="yellow"/>
              </w:rPr>
            </w:pPr>
          </w:p>
        </w:tc>
        <w:tc>
          <w:tcPr>
            <w:tcW w:w="877" w:type="dxa"/>
            <w:vAlign w:val="center"/>
          </w:tcPr>
          <w:p>
            <w:pPr>
              <w:pStyle w:val="97"/>
            </w:pPr>
            <w:r>
              <w:rPr>
                <w:rFonts w:hint="eastAsia"/>
              </w:rPr>
              <w:t>排气筒</w:t>
            </w:r>
            <w:r>
              <w:t>P4</w:t>
            </w:r>
          </w:p>
        </w:tc>
        <w:tc>
          <w:tcPr>
            <w:tcW w:w="1095" w:type="dxa"/>
            <w:vAlign w:val="center"/>
          </w:tcPr>
          <w:p>
            <w:pPr>
              <w:pStyle w:val="97"/>
            </w:pPr>
            <w:r>
              <w:rPr>
                <w:rFonts w:hint="eastAsia"/>
              </w:rPr>
              <w:t>粉尘</w:t>
            </w:r>
          </w:p>
        </w:tc>
        <w:tc>
          <w:tcPr>
            <w:tcW w:w="1079" w:type="dxa"/>
            <w:vAlign w:val="center"/>
          </w:tcPr>
          <w:p>
            <w:pPr>
              <w:pStyle w:val="97"/>
            </w:pPr>
            <w:r>
              <w:rPr>
                <w:rFonts w:hint="eastAsia"/>
              </w:rPr>
              <w:t>产污</w:t>
            </w:r>
            <w:r>
              <w:t>系数法</w:t>
            </w:r>
          </w:p>
        </w:tc>
        <w:tc>
          <w:tcPr>
            <w:tcW w:w="1148" w:type="dxa"/>
            <w:vAlign w:val="center"/>
          </w:tcPr>
          <w:p>
            <w:pPr>
              <w:pStyle w:val="97"/>
            </w:pPr>
            <w:r>
              <w:rPr>
                <w:rFonts w:hint="eastAsia"/>
              </w:rPr>
              <w:t>2062</w:t>
            </w:r>
          </w:p>
        </w:tc>
        <w:tc>
          <w:tcPr>
            <w:tcW w:w="1140" w:type="dxa"/>
            <w:vAlign w:val="center"/>
          </w:tcPr>
          <w:p>
            <w:pPr>
              <w:pStyle w:val="97"/>
            </w:pPr>
            <w:r>
              <w:rPr>
                <w:rFonts w:hint="eastAsia"/>
              </w:rPr>
              <w:t>29.58</w:t>
            </w:r>
          </w:p>
        </w:tc>
        <w:tc>
          <w:tcPr>
            <w:tcW w:w="925" w:type="dxa"/>
            <w:vAlign w:val="center"/>
          </w:tcPr>
          <w:p>
            <w:pPr>
              <w:pStyle w:val="97"/>
            </w:pPr>
            <w:r>
              <w:rPr>
                <w:rFonts w:hint="eastAsia"/>
              </w:rPr>
              <w:t>0.061</w:t>
            </w:r>
          </w:p>
        </w:tc>
        <w:tc>
          <w:tcPr>
            <w:tcW w:w="1185" w:type="dxa"/>
            <w:vAlign w:val="center"/>
          </w:tcPr>
          <w:p>
            <w:pPr>
              <w:pStyle w:val="97"/>
            </w:pPr>
            <w:r>
              <w:rPr>
                <w:rFonts w:hint="eastAsia"/>
              </w:rPr>
              <w:t>旋风</w:t>
            </w:r>
            <w:r>
              <w:t>收尘</w:t>
            </w:r>
            <w:r>
              <w:rPr>
                <w:rFonts w:hint="eastAsia"/>
              </w:rPr>
              <w:t>+布袋</w:t>
            </w:r>
            <w:r>
              <w:t>除尘</w:t>
            </w:r>
            <w:r>
              <w:rPr>
                <w:rFonts w:hint="eastAsia"/>
              </w:rPr>
              <w:t>+15</w:t>
            </w:r>
            <w:r>
              <w:t>m排气筒</w:t>
            </w:r>
          </w:p>
        </w:tc>
        <w:tc>
          <w:tcPr>
            <w:tcW w:w="699" w:type="dxa"/>
            <w:vAlign w:val="center"/>
          </w:tcPr>
          <w:p>
            <w:pPr>
              <w:pStyle w:val="97"/>
            </w:pPr>
            <w:r>
              <w:rPr>
                <w:rFonts w:hint="eastAsia"/>
              </w:rPr>
              <w:t>95</w:t>
            </w:r>
            <w:r>
              <w:t>%</w:t>
            </w:r>
          </w:p>
        </w:tc>
        <w:tc>
          <w:tcPr>
            <w:tcW w:w="1126" w:type="dxa"/>
            <w:vAlign w:val="center"/>
          </w:tcPr>
          <w:p>
            <w:pPr>
              <w:pStyle w:val="97"/>
            </w:pPr>
            <w:r>
              <w:rPr>
                <w:rFonts w:hint="eastAsia"/>
              </w:rPr>
              <w:t>物料</w:t>
            </w:r>
            <w:r>
              <w:t>衡算法</w:t>
            </w:r>
          </w:p>
        </w:tc>
        <w:tc>
          <w:tcPr>
            <w:tcW w:w="1221" w:type="dxa"/>
            <w:vAlign w:val="center"/>
          </w:tcPr>
          <w:p>
            <w:pPr>
              <w:pStyle w:val="97"/>
            </w:pPr>
            <w:r>
              <w:rPr>
                <w:rFonts w:hint="eastAsia"/>
              </w:rPr>
              <w:t>2062</w:t>
            </w:r>
          </w:p>
        </w:tc>
        <w:tc>
          <w:tcPr>
            <w:tcW w:w="1140" w:type="dxa"/>
            <w:vAlign w:val="center"/>
          </w:tcPr>
          <w:p>
            <w:pPr>
              <w:pStyle w:val="97"/>
            </w:pPr>
            <w:r>
              <w:rPr>
                <w:rFonts w:hint="eastAsia"/>
              </w:rPr>
              <w:t>0.24</w:t>
            </w:r>
          </w:p>
        </w:tc>
        <w:tc>
          <w:tcPr>
            <w:tcW w:w="1040" w:type="dxa"/>
            <w:vAlign w:val="center"/>
          </w:tcPr>
          <w:p>
            <w:pPr>
              <w:pStyle w:val="97"/>
            </w:pPr>
            <w:r>
              <w:rPr>
                <w:rFonts w:hint="eastAsia"/>
              </w:rPr>
              <w:t>0.0005</w:t>
            </w:r>
          </w:p>
        </w:tc>
        <w:tc>
          <w:tcPr>
            <w:tcW w:w="623" w:type="dxa"/>
            <w:vAlign w:val="center"/>
          </w:tcPr>
          <w:p>
            <w:pPr>
              <w:pStyle w:val="97"/>
              <w:rPr>
                <w:highlight w:val="yellow"/>
              </w:rPr>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Align w:val="center"/>
          </w:tcPr>
          <w:p>
            <w:pPr>
              <w:pStyle w:val="97"/>
            </w:pPr>
            <w:r>
              <w:rPr>
                <w:rFonts w:hint="eastAsia"/>
              </w:rPr>
              <w:t>甲醇回收</w:t>
            </w:r>
          </w:p>
        </w:tc>
        <w:tc>
          <w:tcPr>
            <w:tcW w:w="877" w:type="dxa"/>
            <w:vAlign w:val="center"/>
          </w:tcPr>
          <w:p>
            <w:pPr>
              <w:pStyle w:val="97"/>
            </w:pPr>
            <w:r>
              <w:rPr>
                <w:rFonts w:hint="eastAsia"/>
              </w:rPr>
              <w:t>排气筒</w:t>
            </w:r>
            <w:r>
              <w:t>P5</w:t>
            </w:r>
          </w:p>
        </w:tc>
        <w:tc>
          <w:tcPr>
            <w:tcW w:w="1095" w:type="dxa"/>
            <w:vAlign w:val="center"/>
          </w:tcPr>
          <w:p>
            <w:pPr>
              <w:pStyle w:val="97"/>
            </w:pPr>
            <w:r>
              <w:rPr>
                <w:rFonts w:hint="eastAsia"/>
              </w:rPr>
              <w:t>甲醇</w:t>
            </w:r>
          </w:p>
        </w:tc>
        <w:tc>
          <w:tcPr>
            <w:tcW w:w="1079" w:type="dxa"/>
            <w:vAlign w:val="center"/>
          </w:tcPr>
          <w:p>
            <w:pPr>
              <w:pStyle w:val="97"/>
            </w:pPr>
            <w:r>
              <w:rPr>
                <w:rFonts w:hint="eastAsia"/>
              </w:rPr>
              <w:t>产污</w:t>
            </w:r>
            <w:r>
              <w:t>系数法</w:t>
            </w:r>
          </w:p>
        </w:tc>
        <w:tc>
          <w:tcPr>
            <w:tcW w:w="1148" w:type="dxa"/>
            <w:vAlign w:val="center"/>
          </w:tcPr>
          <w:p>
            <w:pPr>
              <w:pStyle w:val="97"/>
            </w:pPr>
            <w:r>
              <w:rPr>
                <w:rFonts w:hint="eastAsia"/>
              </w:rPr>
              <w:t>2062</w:t>
            </w:r>
          </w:p>
        </w:tc>
        <w:tc>
          <w:tcPr>
            <w:tcW w:w="1140" w:type="dxa"/>
            <w:vAlign w:val="center"/>
          </w:tcPr>
          <w:p>
            <w:pPr>
              <w:pStyle w:val="97"/>
            </w:pPr>
            <w:r>
              <w:rPr>
                <w:rFonts w:hint="eastAsia"/>
              </w:rPr>
              <w:t>30.55</w:t>
            </w:r>
          </w:p>
        </w:tc>
        <w:tc>
          <w:tcPr>
            <w:tcW w:w="925" w:type="dxa"/>
            <w:vAlign w:val="center"/>
          </w:tcPr>
          <w:p>
            <w:pPr>
              <w:pStyle w:val="97"/>
            </w:pPr>
            <w:r>
              <w:rPr>
                <w:rFonts w:hint="eastAsia"/>
              </w:rPr>
              <w:t>0.063</w:t>
            </w:r>
          </w:p>
        </w:tc>
        <w:tc>
          <w:tcPr>
            <w:tcW w:w="1185" w:type="dxa"/>
            <w:vAlign w:val="center"/>
          </w:tcPr>
          <w:p>
            <w:pPr>
              <w:pStyle w:val="97"/>
            </w:pPr>
            <w:r>
              <w:rPr>
                <w:rFonts w:hint="eastAsia"/>
              </w:rPr>
              <w:t>冷冻</w:t>
            </w:r>
            <w:r>
              <w:t>回收</w:t>
            </w:r>
            <w:r>
              <w:rPr>
                <w:rFonts w:hint="eastAsia"/>
              </w:rPr>
              <w:t>+15</w:t>
            </w:r>
            <w:r>
              <w:t>m排气筒</w:t>
            </w:r>
          </w:p>
        </w:tc>
        <w:tc>
          <w:tcPr>
            <w:tcW w:w="699" w:type="dxa"/>
            <w:vAlign w:val="center"/>
          </w:tcPr>
          <w:p>
            <w:pPr>
              <w:pStyle w:val="97"/>
            </w:pPr>
            <w:r>
              <w:rPr>
                <w:rFonts w:hint="eastAsia"/>
              </w:rPr>
              <w:t>75</w:t>
            </w:r>
            <w:r>
              <w:t>%</w:t>
            </w:r>
          </w:p>
        </w:tc>
        <w:tc>
          <w:tcPr>
            <w:tcW w:w="1126" w:type="dxa"/>
            <w:vAlign w:val="center"/>
          </w:tcPr>
          <w:p>
            <w:pPr>
              <w:pStyle w:val="97"/>
            </w:pPr>
            <w:r>
              <w:rPr>
                <w:rFonts w:hint="eastAsia"/>
              </w:rPr>
              <w:t>物料</w:t>
            </w:r>
            <w:r>
              <w:t>衡算</w:t>
            </w:r>
            <w:r>
              <w:rPr>
                <w:rFonts w:hint="eastAsia"/>
              </w:rPr>
              <w:t>法</w:t>
            </w:r>
          </w:p>
        </w:tc>
        <w:tc>
          <w:tcPr>
            <w:tcW w:w="1221" w:type="dxa"/>
            <w:vAlign w:val="center"/>
          </w:tcPr>
          <w:p>
            <w:pPr>
              <w:pStyle w:val="97"/>
            </w:pPr>
            <w:r>
              <w:rPr>
                <w:rFonts w:hint="eastAsia"/>
              </w:rPr>
              <w:t>2062</w:t>
            </w:r>
          </w:p>
        </w:tc>
        <w:tc>
          <w:tcPr>
            <w:tcW w:w="1140" w:type="dxa"/>
            <w:vAlign w:val="center"/>
          </w:tcPr>
          <w:p>
            <w:pPr>
              <w:pStyle w:val="97"/>
            </w:pPr>
            <w:r>
              <w:rPr>
                <w:rFonts w:hint="eastAsia"/>
              </w:rPr>
              <w:t>7.64</w:t>
            </w:r>
          </w:p>
        </w:tc>
        <w:tc>
          <w:tcPr>
            <w:tcW w:w="1040" w:type="dxa"/>
            <w:vAlign w:val="center"/>
          </w:tcPr>
          <w:p>
            <w:pPr>
              <w:pStyle w:val="97"/>
            </w:pPr>
            <w:r>
              <w:rPr>
                <w:rFonts w:hint="eastAsia"/>
              </w:rPr>
              <w:t>0.016</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restart"/>
            <w:vAlign w:val="center"/>
          </w:tcPr>
          <w:p>
            <w:pPr>
              <w:pStyle w:val="97"/>
            </w:pPr>
            <w:r>
              <w:rPr>
                <w:rFonts w:hint="eastAsia"/>
              </w:rPr>
              <w:t>天然气供热</w:t>
            </w:r>
          </w:p>
        </w:tc>
        <w:tc>
          <w:tcPr>
            <w:tcW w:w="877" w:type="dxa"/>
            <w:vMerge w:val="restart"/>
            <w:vAlign w:val="center"/>
          </w:tcPr>
          <w:p>
            <w:pPr>
              <w:pStyle w:val="97"/>
            </w:pPr>
            <w:r>
              <w:rPr>
                <w:rFonts w:hint="eastAsia"/>
              </w:rPr>
              <w:t>排气筒</w:t>
            </w:r>
            <w:r>
              <w:t>P6</w:t>
            </w:r>
          </w:p>
        </w:tc>
        <w:tc>
          <w:tcPr>
            <w:tcW w:w="1095" w:type="dxa"/>
            <w:vAlign w:val="center"/>
          </w:tcPr>
          <w:p>
            <w:pPr>
              <w:pStyle w:val="97"/>
            </w:pPr>
            <w:r>
              <w:rPr>
                <w:rFonts w:hint="eastAsia"/>
              </w:rPr>
              <w:t>烟尘</w:t>
            </w:r>
          </w:p>
        </w:tc>
        <w:tc>
          <w:tcPr>
            <w:tcW w:w="1079" w:type="dxa"/>
            <w:vMerge w:val="restart"/>
            <w:vAlign w:val="center"/>
          </w:tcPr>
          <w:p>
            <w:pPr>
              <w:pStyle w:val="97"/>
            </w:pPr>
            <w:r>
              <w:rPr>
                <w:rFonts w:hint="eastAsia"/>
              </w:rPr>
              <w:t>产污</w:t>
            </w:r>
            <w:r>
              <w:t>系数法</w:t>
            </w:r>
          </w:p>
        </w:tc>
        <w:tc>
          <w:tcPr>
            <w:tcW w:w="1148" w:type="dxa"/>
            <w:vAlign w:val="center"/>
          </w:tcPr>
          <w:p>
            <w:pPr>
              <w:pStyle w:val="97"/>
            </w:pPr>
            <w:r>
              <w:rPr>
                <w:rFonts w:hint="eastAsia"/>
              </w:rPr>
              <w:t>4087.78</w:t>
            </w:r>
          </w:p>
        </w:tc>
        <w:tc>
          <w:tcPr>
            <w:tcW w:w="1140" w:type="dxa"/>
            <w:vAlign w:val="center"/>
          </w:tcPr>
          <w:p>
            <w:pPr>
              <w:pStyle w:val="97"/>
            </w:pPr>
            <w:r>
              <w:rPr>
                <w:rFonts w:hint="eastAsia"/>
              </w:rPr>
              <w:t>8.81</w:t>
            </w:r>
          </w:p>
        </w:tc>
        <w:tc>
          <w:tcPr>
            <w:tcW w:w="925" w:type="dxa"/>
            <w:vAlign w:val="center"/>
          </w:tcPr>
          <w:p>
            <w:pPr>
              <w:pStyle w:val="97"/>
            </w:pPr>
            <w:r>
              <w:rPr>
                <w:rFonts w:hint="eastAsia"/>
              </w:rPr>
              <w:t>0.036</w:t>
            </w:r>
          </w:p>
        </w:tc>
        <w:tc>
          <w:tcPr>
            <w:tcW w:w="1185" w:type="dxa"/>
            <w:vMerge w:val="restart"/>
            <w:vAlign w:val="center"/>
          </w:tcPr>
          <w:p>
            <w:pPr>
              <w:pStyle w:val="97"/>
            </w:pPr>
            <w:r>
              <w:rPr>
                <w:rFonts w:hint="eastAsia"/>
              </w:rPr>
              <w:t>低氮</w:t>
            </w:r>
            <w:r>
              <w:t>燃烧</w:t>
            </w:r>
            <w:r>
              <w:rPr>
                <w:rFonts w:hint="eastAsia"/>
              </w:rPr>
              <w:t>+</w:t>
            </w:r>
            <w:r>
              <w:t>15m</w:t>
            </w:r>
            <w:r>
              <w:rPr>
                <w:rFonts w:hint="eastAsia"/>
              </w:rPr>
              <w:t>高</w:t>
            </w:r>
            <w:r>
              <w:t>排气筒</w:t>
            </w:r>
          </w:p>
        </w:tc>
        <w:tc>
          <w:tcPr>
            <w:tcW w:w="699" w:type="dxa"/>
            <w:vAlign w:val="center"/>
          </w:tcPr>
          <w:p>
            <w:pPr>
              <w:pStyle w:val="97"/>
            </w:pPr>
            <w:r>
              <w:rPr>
                <w:rFonts w:hint="eastAsia"/>
              </w:rPr>
              <w:t>0</w:t>
            </w:r>
          </w:p>
        </w:tc>
        <w:tc>
          <w:tcPr>
            <w:tcW w:w="1126" w:type="dxa"/>
            <w:vMerge w:val="restart"/>
            <w:vAlign w:val="center"/>
          </w:tcPr>
          <w:p>
            <w:pPr>
              <w:pStyle w:val="97"/>
            </w:pPr>
            <w:r>
              <w:rPr>
                <w:rFonts w:hint="eastAsia"/>
              </w:rPr>
              <w:t>物料</w:t>
            </w:r>
            <w:r>
              <w:t>衡算法</w:t>
            </w:r>
          </w:p>
        </w:tc>
        <w:tc>
          <w:tcPr>
            <w:tcW w:w="1221" w:type="dxa"/>
            <w:vAlign w:val="center"/>
          </w:tcPr>
          <w:p>
            <w:pPr>
              <w:pStyle w:val="97"/>
            </w:pPr>
            <w:r>
              <w:rPr>
                <w:rFonts w:hint="eastAsia"/>
              </w:rPr>
              <w:t>4087.78</w:t>
            </w:r>
          </w:p>
        </w:tc>
        <w:tc>
          <w:tcPr>
            <w:tcW w:w="1140" w:type="dxa"/>
            <w:vAlign w:val="center"/>
          </w:tcPr>
          <w:p>
            <w:pPr>
              <w:pStyle w:val="97"/>
            </w:pPr>
            <w:r>
              <w:rPr>
                <w:rFonts w:hint="eastAsia"/>
              </w:rPr>
              <w:t>8.81</w:t>
            </w:r>
          </w:p>
        </w:tc>
        <w:tc>
          <w:tcPr>
            <w:tcW w:w="1040" w:type="dxa"/>
            <w:vAlign w:val="center"/>
          </w:tcPr>
          <w:p>
            <w:pPr>
              <w:pStyle w:val="97"/>
            </w:pPr>
            <w:r>
              <w:rPr>
                <w:rFonts w:hint="eastAsia"/>
              </w:rPr>
              <w:t>0.036</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continue"/>
            <w:vAlign w:val="center"/>
          </w:tcPr>
          <w:p>
            <w:pPr>
              <w:pStyle w:val="97"/>
            </w:pPr>
          </w:p>
        </w:tc>
        <w:tc>
          <w:tcPr>
            <w:tcW w:w="877" w:type="dxa"/>
            <w:vMerge w:val="continue"/>
            <w:vAlign w:val="center"/>
          </w:tcPr>
          <w:p>
            <w:pPr>
              <w:pStyle w:val="97"/>
            </w:pPr>
          </w:p>
        </w:tc>
        <w:tc>
          <w:tcPr>
            <w:tcW w:w="1095" w:type="dxa"/>
            <w:vAlign w:val="center"/>
          </w:tcPr>
          <w:p>
            <w:pPr>
              <w:pStyle w:val="97"/>
            </w:pPr>
            <w:r>
              <w:rPr>
                <w:rFonts w:hint="eastAsia"/>
              </w:rPr>
              <w:t>SO</w:t>
            </w:r>
            <w:r>
              <w:rPr>
                <w:rFonts w:hint="eastAsia"/>
                <w:vertAlign w:val="subscript"/>
              </w:rPr>
              <w:t>2</w:t>
            </w:r>
          </w:p>
        </w:tc>
        <w:tc>
          <w:tcPr>
            <w:tcW w:w="1079" w:type="dxa"/>
            <w:vMerge w:val="continue"/>
            <w:vAlign w:val="center"/>
          </w:tcPr>
          <w:p>
            <w:pPr>
              <w:pStyle w:val="97"/>
            </w:pPr>
          </w:p>
        </w:tc>
        <w:tc>
          <w:tcPr>
            <w:tcW w:w="1148" w:type="dxa"/>
            <w:vAlign w:val="center"/>
          </w:tcPr>
          <w:p>
            <w:pPr>
              <w:pStyle w:val="97"/>
            </w:pPr>
            <w:r>
              <w:rPr>
                <w:rFonts w:hint="eastAsia"/>
              </w:rPr>
              <w:t>4087.78</w:t>
            </w:r>
          </w:p>
        </w:tc>
        <w:tc>
          <w:tcPr>
            <w:tcW w:w="1140" w:type="dxa"/>
            <w:vAlign w:val="center"/>
          </w:tcPr>
          <w:p>
            <w:pPr>
              <w:pStyle w:val="97"/>
            </w:pPr>
            <w:r>
              <w:rPr>
                <w:rFonts w:hint="eastAsia"/>
              </w:rPr>
              <w:t>7.34</w:t>
            </w:r>
          </w:p>
        </w:tc>
        <w:tc>
          <w:tcPr>
            <w:tcW w:w="925" w:type="dxa"/>
            <w:vAlign w:val="center"/>
          </w:tcPr>
          <w:p>
            <w:pPr>
              <w:pStyle w:val="97"/>
            </w:pPr>
            <w:r>
              <w:rPr>
                <w:rFonts w:hint="eastAsia"/>
              </w:rPr>
              <w:t>0.03</w:t>
            </w:r>
          </w:p>
        </w:tc>
        <w:tc>
          <w:tcPr>
            <w:tcW w:w="1185" w:type="dxa"/>
            <w:vMerge w:val="continue"/>
            <w:vAlign w:val="center"/>
          </w:tcPr>
          <w:p>
            <w:pPr>
              <w:pStyle w:val="97"/>
            </w:pPr>
          </w:p>
        </w:tc>
        <w:tc>
          <w:tcPr>
            <w:tcW w:w="699" w:type="dxa"/>
            <w:vAlign w:val="center"/>
          </w:tcPr>
          <w:p>
            <w:pPr>
              <w:pStyle w:val="97"/>
            </w:pPr>
            <w:r>
              <w:rPr>
                <w:rFonts w:hint="eastAsia"/>
              </w:rPr>
              <w:t>0</w:t>
            </w:r>
          </w:p>
        </w:tc>
        <w:tc>
          <w:tcPr>
            <w:tcW w:w="1126" w:type="dxa"/>
            <w:vMerge w:val="continue"/>
            <w:vAlign w:val="center"/>
          </w:tcPr>
          <w:p>
            <w:pPr>
              <w:pStyle w:val="97"/>
            </w:pPr>
          </w:p>
        </w:tc>
        <w:tc>
          <w:tcPr>
            <w:tcW w:w="1221" w:type="dxa"/>
            <w:vAlign w:val="center"/>
          </w:tcPr>
          <w:p>
            <w:pPr>
              <w:pStyle w:val="97"/>
            </w:pPr>
            <w:r>
              <w:rPr>
                <w:rFonts w:hint="eastAsia"/>
              </w:rPr>
              <w:t>4087.78</w:t>
            </w:r>
          </w:p>
        </w:tc>
        <w:tc>
          <w:tcPr>
            <w:tcW w:w="1140" w:type="dxa"/>
            <w:vAlign w:val="center"/>
          </w:tcPr>
          <w:p>
            <w:pPr>
              <w:pStyle w:val="97"/>
            </w:pPr>
            <w:r>
              <w:rPr>
                <w:rFonts w:hint="eastAsia"/>
              </w:rPr>
              <w:t>7.34</w:t>
            </w:r>
          </w:p>
        </w:tc>
        <w:tc>
          <w:tcPr>
            <w:tcW w:w="1040" w:type="dxa"/>
            <w:vAlign w:val="center"/>
          </w:tcPr>
          <w:p>
            <w:pPr>
              <w:pStyle w:val="97"/>
            </w:pPr>
            <w:r>
              <w:rPr>
                <w:rFonts w:hint="eastAsia"/>
              </w:rPr>
              <w:t>0.03</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continue"/>
            <w:vAlign w:val="center"/>
          </w:tcPr>
          <w:p>
            <w:pPr>
              <w:pStyle w:val="97"/>
            </w:pPr>
          </w:p>
        </w:tc>
        <w:tc>
          <w:tcPr>
            <w:tcW w:w="877" w:type="dxa"/>
            <w:vMerge w:val="continue"/>
            <w:vAlign w:val="center"/>
          </w:tcPr>
          <w:p>
            <w:pPr>
              <w:pStyle w:val="97"/>
            </w:pPr>
          </w:p>
        </w:tc>
        <w:tc>
          <w:tcPr>
            <w:tcW w:w="1095" w:type="dxa"/>
            <w:vAlign w:val="center"/>
          </w:tcPr>
          <w:p>
            <w:pPr>
              <w:pStyle w:val="97"/>
            </w:pPr>
            <w:r>
              <w:rPr>
                <w:rFonts w:hint="eastAsia"/>
              </w:rPr>
              <w:t>NO</w:t>
            </w:r>
            <w:r>
              <w:rPr>
                <w:rFonts w:hint="eastAsia"/>
                <w:vertAlign w:val="subscript"/>
              </w:rPr>
              <w:t>X</w:t>
            </w:r>
          </w:p>
        </w:tc>
        <w:tc>
          <w:tcPr>
            <w:tcW w:w="1079" w:type="dxa"/>
            <w:vMerge w:val="continue"/>
            <w:vAlign w:val="center"/>
          </w:tcPr>
          <w:p>
            <w:pPr>
              <w:pStyle w:val="97"/>
            </w:pPr>
          </w:p>
        </w:tc>
        <w:tc>
          <w:tcPr>
            <w:tcW w:w="1148" w:type="dxa"/>
            <w:vAlign w:val="center"/>
          </w:tcPr>
          <w:p>
            <w:pPr>
              <w:pStyle w:val="97"/>
            </w:pPr>
            <w:r>
              <w:rPr>
                <w:rFonts w:hint="eastAsia"/>
              </w:rPr>
              <w:t>4087.78</w:t>
            </w:r>
          </w:p>
        </w:tc>
        <w:tc>
          <w:tcPr>
            <w:tcW w:w="1140" w:type="dxa"/>
            <w:vAlign w:val="center"/>
          </w:tcPr>
          <w:p>
            <w:pPr>
              <w:pStyle w:val="97"/>
            </w:pPr>
            <w:r>
              <w:rPr>
                <w:rFonts w:hint="eastAsia"/>
              </w:rPr>
              <w:t>137.31</w:t>
            </w:r>
          </w:p>
        </w:tc>
        <w:tc>
          <w:tcPr>
            <w:tcW w:w="925" w:type="dxa"/>
            <w:vAlign w:val="center"/>
          </w:tcPr>
          <w:p>
            <w:pPr>
              <w:pStyle w:val="97"/>
            </w:pPr>
            <w:r>
              <w:rPr>
                <w:rFonts w:hint="eastAsia"/>
              </w:rPr>
              <w:t>0.561</w:t>
            </w:r>
          </w:p>
        </w:tc>
        <w:tc>
          <w:tcPr>
            <w:tcW w:w="1185" w:type="dxa"/>
            <w:vMerge w:val="continue"/>
            <w:vAlign w:val="center"/>
          </w:tcPr>
          <w:p>
            <w:pPr>
              <w:pStyle w:val="97"/>
            </w:pPr>
          </w:p>
        </w:tc>
        <w:tc>
          <w:tcPr>
            <w:tcW w:w="699" w:type="dxa"/>
            <w:vAlign w:val="center"/>
          </w:tcPr>
          <w:p>
            <w:pPr>
              <w:pStyle w:val="97"/>
            </w:pPr>
            <w:r>
              <w:rPr>
                <w:rFonts w:hint="eastAsia"/>
              </w:rPr>
              <w:t>95</w:t>
            </w:r>
          </w:p>
        </w:tc>
        <w:tc>
          <w:tcPr>
            <w:tcW w:w="1126" w:type="dxa"/>
            <w:vMerge w:val="continue"/>
            <w:vAlign w:val="center"/>
          </w:tcPr>
          <w:p>
            <w:pPr>
              <w:pStyle w:val="97"/>
            </w:pPr>
          </w:p>
        </w:tc>
        <w:tc>
          <w:tcPr>
            <w:tcW w:w="1221" w:type="dxa"/>
            <w:vAlign w:val="center"/>
          </w:tcPr>
          <w:p>
            <w:pPr>
              <w:pStyle w:val="97"/>
            </w:pPr>
            <w:r>
              <w:rPr>
                <w:rFonts w:hint="eastAsia"/>
              </w:rPr>
              <w:t>4087.78</w:t>
            </w:r>
          </w:p>
        </w:tc>
        <w:tc>
          <w:tcPr>
            <w:tcW w:w="1140" w:type="dxa"/>
            <w:vAlign w:val="center"/>
          </w:tcPr>
          <w:p>
            <w:pPr>
              <w:pStyle w:val="97"/>
            </w:pPr>
            <w:r>
              <w:rPr>
                <w:rFonts w:hint="eastAsia"/>
              </w:rPr>
              <w:t>6.87</w:t>
            </w:r>
          </w:p>
        </w:tc>
        <w:tc>
          <w:tcPr>
            <w:tcW w:w="1040" w:type="dxa"/>
            <w:vAlign w:val="center"/>
          </w:tcPr>
          <w:p>
            <w:pPr>
              <w:pStyle w:val="97"/>
            </w:pPr>
            <w:r>
              <w:rPr>
                <w:rFonts w:hint="eastAsia"/>
              </w:rPr>
              <w:t>0.</w:t>
            </w:r>
            <w:r>
              <w:t>0</w:t>
            </w:r>
            <w:r>
              <w:rPr>
                <w:rFonts w:hint="eastAsia"/>
              </w:rPr>
              <w:t>28</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restart"/>
            <w:vAlign w:val="center"/>
          </w:tcPr>
          <w:p>
            <w:pPr>
              <w:pStyle w:val="97"/>
            </w:pPr>
            <w:r>
              <w:rPr>
                <w:rFonts w:hint="eastAsia"/>
              </w:rPr>
              <w:t>储罐区大小</w:t>
            </w:r>
            <w:r>
              <w:t>呼吸</w:t>
            </w:r>
          </w:p>
        </w:tc>
        <w:tc>
          <w:tcPr>
            <w:tcW w:w="877" w:type="dxa"/>
            <w:vMerge w:val="restart"/>
            <w:vAlign w:val="center"/>
          </w:tcPr>
          <w:p>
            <w:pPr>
              <w:pStyle w:val="97"/>
            </w:pPr>
            <w:r>
              <w:rPr>
                <w:rFonts w:hint="eastAsia"/>
              </w:rPr>
              <w:t>无组织</w:t>
            </w:r>
          </w:p>
        </w:tc>
        <w:tc>
          <w:tcPr>
            <w:tcW w:w="1095" w:type="dxa"/>
            <w:vAlign w:val="center"/>
          </w:tcPr>
          <w:p>
            <w:pPr>
              <w:pStyle w:val="97"/>
            </w:pPr>
            <w:r>
              <w:rPr>
                <w:rFonts w:hint="eastAsia"/>
              </w:rPr>
              <w:t>非甲烷总烃</w:t>
            </w:r>
          </w:p>
        </w:tc>
        <w:tc>
          <w:tcPr>
            <w:tcW w:w="1079" w:type="dxa"/>
            <w:vMerge w:val="restart"/>
            <w:vAlign w:val="center"/>
          </w:tcPr>
          <w:p>
            <w:pPr>
              <w:pStyle w:val="97"/>
            </w:pPr>
            <w:r>
              <w:rPr>
                <w:rFonts w:hint="eastAsia"/>
              </w:rPr>
              <w:t>经验</w:t>
            </w:r>
            <w:r>
              <w:t>公式法</w:t>
            </w:r>
          </w:p>
        </w:tc>
        <w:tc>
          <w:tcPr>
            <w:tcW w:w="1148" w:type="dxa"/>
            <w:vAlign w:val="center"/>
          </w:tcPr>
          <w:p>
            <w:pPr>
              <w:pStyle w:val="97"/>
            </w:pPr>
            <w:r>
              <w:rPr>
                <w:rFonts w:hint="eastAsia"/>
              </w:rPr>
              <w:t>/</w:t>
            </w:r>
          </w:p>
        </w:tc>
        <w:tc>
          <w:tcPr>
            <w:tcW w:w="1140" w:type="dxa"/>
            <w:vAlign w:val="center"/>
          </w:tcPr>
          <w:p>
            <w:pPr>
              <w:pStyle w:val="97"/>
            </w:pPr>
            <w:r>
              <w:rPr>
                <w:rFonts w:hint="eastAsia"/>
              </w:rPr>
              <w:t>/</w:t>
            </w:r>
          </w:p>
        </w:tc>
        <w:tc>
          <w:tcPr>
            <w:tcW w:w="925" w:type="dxa"/>
            <w:vAlign w:val="center"/>
          </w:tcPr>
          <w:p>
            <w:pPr>
              <w:pStyle w:val="97"/>
            </w:pPr>
            <w:r>
              <w:rPr>
                <w:rFonts w:hint="eastAsia"/>
              </w:rPr>
              <w:t>0.00</w:t>
            </w:r>
            <w:r>
              <w:t>1</w:t>
            </w:r>
          </w:p>
        </w:tc>
        <w:tc>
          <w:tcPr>
            <w:tcW w:w="1185" w:type="dxa"/>
            <w:vMerge w:val="restart"/>
            <w:vAlign w:val="center"/>
          </w:tcPr>
          <w:p>
            <w:pPr>
              <w:pStyle w:val="97"/>
            </w:pPr>
            <w:r>
              <w:rPr>
                <w:rFonts w:hint="eastAsia"/>
              </w:rPr>
              <w:t>地埋式</w:t>
            </w:r>
            <w:r>
              <w:t>储罐</w:t>
            </w:r>
          </w:p>
        </w:tc>
        <w:tc>
          <w:tcPr>
            <w:tcW w:w="699" w:type="dxa"/>
            <w:vAlign w:val="center"/>
          </w:tcPr>
          <w:p>
            <w:pPr>
              <w:pStyle w:val="97"/>
            </w:pPr>
            <w:r>
              <w:rPr>
                <w:rFonts w:hint="eastAsia"/>
              </w:rPr>
              <w:t>0</w:t>
            </w:r>
          </w:p>
        </w:tc>
        <w:tc>
          <w:tcPr>
            <w:tcW w:w="1126" w:type="dxa"/>
            <w:vMerge w:val="restart"/>
            <w:vAlign w:val="center"/>
          </w:tcPr>
          <w:p>
            <w:pPr>
              <w:pStyle w:val="97"/>
            </w:pPr>
            <w:r>
              <w:rPr>
                <w:rFonts w:hint="eastAsia"/>
              </w:rPr>
              <w:t>物料</w:t>
            </w:r>
            <w:r>
              <w:t>衡算法</w:t>
            </w:r>
          </w:p>
        </w:tc>
        <w:tc>
          <w:tcPr>
            <w:tcW w:w="1221" w:type="dxa"/>
            <w:vAlign w:val="center"/>
          </w:tcPr>
          <w:p>
            <w:pPr>
              <w:pStyle w:val="97"/>
            </w:pPr>
            <w:r>
              <w:rPr>
                <w:rFonts w:hint="eastAsia"/>
              </w:rPr>
              <w:t>/</w:t>
            </w:r>
          </w:p>
        </w:tc>
        <w:tc>
          <w:tcPr>
            <w:tcW w:w="1140" w:type="dxa"/>
            <w:vAlign w:val="center"/>
          </w:tcPr>
          <w:p>
            <w:pPr>
              <w:pStyle w:val="97"/>
            </w:pPr>
            <w:r>
              <w:rPr>
                <w:rFonts w:hint="eastAsia"/>
              </w:rPr>
              <w:t>/</w:t>
            </w:r>
          </w:p>
        </w:tc>
        <w:tc>
          <w:tcPr>
            <w:tcW w:w="1040" w:type="dxa"/>
            <w:vAlign w:val="center"/>
          </w:tcPr>
          <w:p>
            <w:pPr>
              <w:pStyle w:val="97"/>
            </w:pPr>
            <w:r>
              <w:rPr>
                <w:rFonts w:hint="eastAsia"/>
              </w:rPr>
              <w:t>0.00</w:t>
            </w:r>
            <w:r>
              <w:t>1</w:t>
            </w:r>
          </w:p>
        </w:tc>
        <w:tc>
          <w:tcPr>
            <w:tcW w:w="623" w:type="dxa"/>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0" w:hRule="atLeast"/>
          <w:jc w:val="center"/>
        </w:trPr>
        <w:tc>
          <w:tcPr>
            <w:tcW w:w="674" w:type="dxa"/>
            <w:vMerge w:val="continue"/>
            <w:vAlign w:val="center"/>
          </w:tcPr>
          <w:p>
            <w:pPr>
              <w:pStyle w:val="97"/>
            </w:pPr>
          </w:p>
        </w:tc>
        <w:tc>
          <w:tcPr>
            <w:tcW w:w="877" w:type="dxa"/>
            <w:vMerge w:val="continue"/>
            <w:vAlign w:val="center"/>
          </w:tcPr>
          <w:p>
            <w:pPr>
              <w:pStyle w:val="97"/>
            </w:pPr>
          </w:p>
        </w:tc>
        <w:tc>
          <w:tcPr>
            <w:tcW w:w="1095" w:type="dxa"/>
            <w:vAlign w:val="center"/>
          </w:tcPr>
          <w:p>
            <w:pPr>
              <w:pStyle w:val="97"/>
            </w:pPr>
            <w:r>
              <w:rPr>
                <w:rFonts w:hint="eastAsia"/>
              </w:rPr>
              <w:t>甲醇</w:t>
            </w:r>
          </w:p>
        </w:tc>
        <w:tc>
          <w:tcPr>
            <w:tcW w:w="1079" w:type="dxa"/>
            <w:vMerge w:val="continue"/>
            <w:vAlign w:val="center"/>
          </w:tcPr>
          <w:p>
            <w:pPr>
              <w:pStyle w:val="97"/>
            </w:pPr>
          </w:p>
        </w:tc>
        <w:tc>
          <w:tcPr>
            <w:tcW w:w="1148" w:type="dxa"/>
            <w:vAlign w:val="center"/>
          </w:tcPr>
          <w:p>
            <w:pPr>
              <w:pStyle w:val="97"/>
            </w:pPr>
            <w:r>
              <w:rPr>
                <w:rFonts w:hint="eastAsia"/>
              </w:rPr>
              <w:t>/</w:t>
            </w:r>
          </w:p>
        </w:tc>
        <w:tc>
          <w:tcPr>
            <w:tcW w:w="1140" w:type="dxa"/>
            <w:vAlign w:val="center"/>
          </w:tcPr>
          <w:p>
            <w:pPr>
              <w:pStyle w:val="97"/>
            </w:pPr>
            <w:r>
              <w:rPr>
                <w:rFonts w:hint="eastAsia"/>
              </w:rPr>
              <w:t>/</w:t>
            </w:r>
          </w:p>
        </w:tc>
        <w:tc>
          <w:tcPr>
            <w:tcW w:w="925" w:type="dxa"/>
            <w:vAlign w:val="center"/>
          </w:tcPr>
          <w:p>
            <w:pPr>
              <w:pStyle w:val="97"/>
            </w:pPr>
            <w:r>
              <w:rPr>
                <w:rFonts w:hint="eastAsia"/>
              </w:rPr>
              <w:t>0.000</w:t>
            </w:r>
            <w:r>
              <w:t>5</w:t>
            </w:r>
          </w:p>
        </w:tc>
        <w:tc>
          <w:tcPr>
            <w:tcW w:w="1185" w:type="dxa"/>
            <w:vMerge w:val="continue"/>
            <w:vAlign w:val="center"/>
          </w:tcPr>
          <w:p>
            <w:pPr>
              <w:pStyle w:val="97"/>
            </w:pPr>
          </w:p>
        </w:tc>
        <w:tc>
          <w:tcPr>
            <w:tcW w:w="699" w:type="dxa"/>
            <w:vAlign w:val="center"/>
          </w:tcPr>
          <w:p>
            <w:pPr>
              <w:pStyle w:val="97"/>
            </w:pPr>
            <w:r>
              <w:rPr>
                <w:rFonts w:hint="eastAsia"/>
              </w:rPr>
              <w:t>0</w:t>
            </w:r>
          </w:p>
        </w:tc>
        <w:tc>
          <w:tcPr>
            <w:tcW w:w="1126" w:type="dxa"/>
            <w:vMerge w:val="continue"/>
            <w:vAlign w:val="center"/>
          </w:tcPr>
          <w:p>
            <w:pPr>
              <w:pStyle w:val="97"/>
            </w:pPr>
          </w:p>
        </w:tc>
        <w:tc>
          <w:tcPr>
            <w:tcW w:w="1221" w:type="dxa"/>
            <w:vAlign w:val="center"/>
          </w:tcPr>
          <w:p>
            <w:pPr>
              <w:pStyle w:val="97"/>
            </w:pPr>
            <w:r>
              <w:rPr>
                <w:rFonts w:hint="eastAsia"/>
              </w:rPr>
              <w:t>/</w:t>
            </w:r>
          </w:p>
        </w:tc>
        <w:tc>
          <w:tcPr>
            <w:tcW w:w="1140" w:type="dxa"/>
            <w:vAlign w:val="center"/>
          </w:tcPr>
          <w:p>
            <w:pPr>
              <w:pStyle w:val="97"/>
            </w:pPr>
            <w:r>
              <w:rPr>
                <w:rFonts w:hint="eastAsia"/>
              </w:rPr>
              <w:t>/</w:t>
            </w:r>
          </w:p>
        </w:tc>
        <w:tc>
          <w:tcPr>
            <w:tcW w:w="1040" w:type="dxa"/>
            <w:vAlign w:val="center"/>
          </w:tcPr>
          <w:p>
            <w:pPr>
              <w:pStyle w:val="97"/>
            </w:pPr>
            <w:r>
              <w:rPr>
                <w:rFonts w:hint="eastAsia"/>
              </w:rPr>
              <w:t>0.000</w:t>
            </w:r>
            <w:r>
              <w:t>5</w:t>
            </w:r>
          </w:p>
        </w:tc>
        <w:tc>
          <w:tcPr>
            <w:tcW w:w="623" w:type="dxa"/>
            <w:vAlign w:val="center"/>
          </w:tcPr>
          <w:p>
            <w:pPr>
              <w:pStyle w:val="97"/>
            </w:pPr>
            <w:r>
              <w:rPr>
                <w:rFonts w:hint="eastAsia"/>
              </w:rPr>
              <w:t>4320</w:t>
            </w:r>
          </w:p>
        </w:tc>
      </w:tr>
    </w:tbl>
    <w:p>
      <w:pPr>
        <w:ind w:firstLine="480"/>
        <w:rPr>
          <w:rFonts w:hAnsi="宋体"/>
          <w:highlight w:val="yellow"/>
        </w:rPr>
      </w:pPr>
    </w:p>
    <w:p>
      <w:pPr>
        <w:ind w:firstLine="480"/>
        <w:rPr>
          <w:rFonts w:hAnsi="宋体"/>
          <w:highlight w:val="yellow"/>
        </w:rPr>
        <w:sectPr>
          <w:headerReference r:id="rId24" w:type="default"/>
          <w:headerReference r:id="rId25" w:type="even"/>
          <w:pgSz w:w="16838" w:h="11906" w:orient="landscape"/>
          <w:pgMar w:top="1418" w:right="1418" w:bottom="1418" w:left="1418" w:header="992" w:footer="992" w:gutter="0"/>
          <w:pgNumType w:fmt="numberInDash"/>
          <w:cols w:space="425" w:num="1"/>
          <w:docGrid w:type="lines" w:linePitch="326" w:charSpace="0"/>
        </w:sectPr>
      </w:pPr>
    </w:p>
    <w:p>
      <w:pPr>
        <w:pStyle w:val="5"/>
      </w:pPr>
      <w:r>
        <w:rPr>
          <w:rFonts w:hint="eastAsia"/>
        </w:rPr>
        <w:t>废水</w:t>
      </w:r>
    </w:p>
    <w:p>
      <w:pPr>
        <w:ind w:firstLine="480"/>
      </w:pPr>
      <w:r>
        <w:rPr>
          <w:rFonts w:hint="eastAsia"/>
        </w:rPr>
        <w:t>根据</w:t>
      </w:r>
      <w:r>
        <w:t>水平衡分析，项目</w:t>
      </w:r>
      <w:r>
        <w:rPr>
          <w:rFonts w:hint="eastAsia"/>
        </w:rPr>
        <w:t>营运期的废水主要为生活</w:t>
      </w:r>
      <w:r>
        <w:t>污水</w:t>
      </w:r>
      <w:r>
        <w:rPr>
          <w:rFonts w:hint="eastAsia"/>
        </w:rPr>
        <w:t>、</w:t>
      </w:r>
      <w:r>
        <w:t>锅炉排污水和软水制备系统</w:t>
      </w:r>
      <w:r>
        <w:rPr>
          <w:rFonts w:hint="eastAsia"/>
        </w:rPr>
        <w:t>的</w:t>
      </w:r>
      <w:r>
        <w:t>浓水</w:t>
      </w:r>
      <w:r>
        <w:rPr>
          <w:rFonts w:hint="eastAsia"/>
        </w:rPr>
        <w:t>。排水</w:t>
      </w:r>
      <w:r>
        <w:t>总量为</w:t>
      </w:r>
      <w:r>
        <w:rPr>
          <w:rFonts w:hint="eastAsia"/>
        </w:rPr>
        <w:t>6.97</w:t>
      </w:r>
      <w:r>
        <w:t>m</w:t>
      </w:r>
      <w:r>
        <w:rPr>
          <w:vertAlign w:val="superscript"/>
        </w:rPr>
        <w:t>3</w:t>
      </w:r>
      <w:r>
        <w:t>/d，1254.6 m</w:t>
      </w:r>
      <w:r>
        <w:rPr>
          <w:vertAlign w:val="superscript"/>
        </w:rPr>
        <w:t>3</w:t>
      </w:r>
      <w:r>
        <w:t>/a，其中</w:t>
      </w:r>
      <w:r>
        <w:rPr>
          <w:rFonts w:hint="eastAsia"/>
        </w:rPr>
        <w:t>生活</w:t>
      </w:r>
      <w:r>
        <w:t>污水</w:t>
      </w:r>
      <w:r>
        <w:rPr>
          <w:rFonts w:hint="eastAsia"/>
        </w:rPr>
        <w:t>0.89</w:t>
      </w:r>
      <w:r>
        <w:t>m</w:t>
      </w:r>
      <w:r>
        <w:rPr>
          <w:vertAlign w:val="superscript"/>
        </w:rPr>
        <w:t>3</w:t>
      </w:r>
      <w:r>
        <w:t>/d，160.2m</w:t>
      </w:r>
      <w:r>
        <w:rPr>
          <w:vertAlign w:val="superscript"/>
        </w:rPr>
        <w:t>3</w:t>
      </w:r>
      <w:r>
        <w:t>/a，经化粪池处理后排入吕河镇污水处理厂处理</w:t>
      </w:r>
      <w:r>
        <w:rPr>
          <w:rFonts w:hint="eastAsia"/>
        </w:rPr>
        <w:t>。</w:t>
      </w:r>
      <w:r>
        <w:t>锅炉</w:t>
      </w:r>
      <w:r>
        <w:rPr>
          <w:rFonts w:hint="eastAsia"/>
        </w:rPr>
        <w:t>排污水</w:t>
      </w:r>
      <w:r>
        <w:t>和软水制备系统浓水排放为</w:t>
      </w:r>
      <w:r>
        <w:rPr>
          <w:rFonts w:hint="eastAsia"/>
        </w:rPr>
        <w:t>6.08</w:t>
      </w:r>
      <w:r>
        <w:t>m</w:t>
      </w:r>
      <w:r>
        <w:rPr>
          <w:vertAlign w:val="superscript"/>
        </w:rPr>
        <w:t>3</w:t>
      </w:r>
      <w:r>
        <w:t>/d，</w:t>
      </w:r>
      <w:r>
        <w:rPr>
          <w:rFonts w:hint="eastAsia"/>
        </w:rPr>
        <w:t>1</w:t>
      </w:r>
      <w:r>
        <w:t>094.4m</w:t>
      </w:r>
      <w:r>
        <w:rPr>
          <w:vertAlign w:val="superscript"/>
        </w:rPr>
        <w:t>3</w:t>
      </w:r>
      <w:r>
        <w:t>/a，</w:t>
      </w:r>
      <w:r>
        <w:rPr>
          <w:rFonts w:hint="eastAsia"/>
        </w:rPr>
        <w:t>排入</w:t>
      </w:r>
      <w:r>
        <w:t>雨水管网。</w:t>
      </w:r>
    </w:p>
    <w:p>
      <w:pPr>
        <w:ind w:firstLine="480"/>
      </w:pPr>
      <w:r>
        <w:rPr>
          <w:rFonts w:hint="eastAsia"/>
        </w:rPr>
        <w:t>项目</w:t>
      </w:r>
      <w:r>
        <w:t>废水污染源源强核算表见</w:t>
      </w:r>
      <w:r>
        <w:rPr>
          <w:rFonts w:hint="eastAsia"/>
        </w:rPr>
        <w:t>表3.3-8。由</w:t>
      </w:r>
      <w:r>
        <w:t>表</w:t>
      </w:r>
      <w:r>
        <w:rPr>
          <w:rFonts w:hint="eastAsia"/>
        </w:rPr>
        <w:t>可见</w:t>
      </w:r>
      <w:r>
        <w:t>，项目排放的废水满足</w:t>
      </w:r>
      <w:r>
        <w:rPr>
          <w:rFonts w:hint="eastAsia"/>
        </w:rPr>
        <w:t>《污水综合排放标准》（GB8978-1996）表4中三级标准及《污水排入城镇下水道水质标准》（GB/T 31962-2015）表1中B级标准。</w:t>
      </w:r>
    </w:p>
    <w:p>
      <w:pPr>
        <w:ind w:firstLine="480"/>
        <w:rPr>
          <w:highlight w:val="yellow"/>
        </w:rPr>
      </w:pPr>
    </w:p>
    <w:p>
      <w:pPr>
        <w:ind w:firstLine="480"/>
        <w:rPr>
          <w:highlight w:val="yellow"/>
        </w:rPr>
      </w:pPr>
    </w:p>
    <w:p>
      <w:pPr>
        <w:ind w:firstLine="480"/>
        <w:rPr>
          <w:highlight w:val="yellow"/>
        </w:rPr>
        <w:sectPr>
          <w:headerReference r:id="rId26" w:type="default"/>
          <w:headerReference r:id="rId27" w:type="even"/>
          <w:pgSz w:w="11906" w:h="16838"/>
          <w:pgMar w:top="1440" w:right="1418" w:bottom="1440" w:left="1418" w:header="992" w:footer="992" w:gutter="0"/>
          <w:pgNumType w:fmt="numberInDash"/>
          <w:cols w:space="425" w:num="1"/>
          <w:docGrid w:type="lines" w:linePitch="326" w:charSpace="0"/>
        </w:sectPr>
      </w:pPr>
    </w:p>
    <w:p>
      <w:pPr>
        <w:pStyle w:val="93"/>
        <w:ind w:firstLine="360"/>
        <w:rPr>
          <w:rFonts w:hAnsi="Times New Roman"/>
          <w:sz w:val="20"/>
          <w:szCs w:val="20"/>
        </w:rPr>
      </w:pPr>
      <w:bookmarkStart w:id="84" w:name="_Ref26284752"/>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3.3</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8</w:t>
      </w:r>
      <w:r>
        <w:rPr>
          <w:rFonts w:hAnsi="Times New Roman"/>
        </w:rPr>
        <w:fldChar w:fldCharType="end"/>
      </w:r>
      <w:bookmarkEnd w:id="84"/>
      <w:r>
        <w:rPr>
          <w:rFonts w:hAnsi="Times New Roman"/>
          <w:szCs w:val="21"/>
        </w:rPr>
        <w:t xml:space="preserve">  废水污染源源强核算结果及相关参数一览表</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8"/>
        <w:gridCol w:w="883"/>
        <w:gridCol w:w="693"/>
        <w:gridCol w:w="796"/>
        <w:gridCol w:w="665"/>
        <w:gridCol w:w="1006"/>
        <w:gridCol w:w="1020"/>
        <w:gridCol w:w="830"/>
        <w:gridCol w:w="1990"/>
        <w:gridCol w:w="978"/>
        <w:gridCol w:w="768"/>
        <w:gridCol w:w="1112"/>
        <w:gridCol w:w="1053"/>
        <w:gridCol w:w="897"/>
        <w:gridCol w:w="6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3" w:hRule="atLeast"/>
          <w:jc w:val="center"/>
        </w:trPr>
        <w:tc>
          <w:tcPr>
            <w:tcW w:w="638" w:type="dxa"/>
            <w:vMerge w:val="restart"/>
            <w:shd w:val="clear" w:color="auto" w:fill="auto"/>
            <w:vAlign w:val="center"/>
          </w:tcPr>
          <w:p>
            <w:pPr>
              <w:pStyle w:val="97"/>
            </w:pPr>
            <w:r>
              <w:t>工序</w:t>
            </w:r>
          </w:p>
        </w:tc>
        <w:tc>
          <w:tcPr>
            <w:tcW w:w="883" w:type="dxa"/>
            <w:vMerge w:val="restart"/>
            <w:shd w:val="clear" w:color="auto" w:fill="auto"/>
            <w:vAlign w:val="center"/>
          </w:tcPr>
          <w:p>
            <w:pPr>
              <w:pStyle w:val="97"/>
            </w:pPr>
            <w:r>
              <w:t>装置</w:t>
            </w:r>
          </w:p>
        </w:tc>
        <w:tc>
          <w:tcPr>
            <w:tcW w:w="693" w:type="dxa"/>
            <w:vMerge w:val="restart"/>
            <w:shd w:val="clear" w:color="auto" w:fill="auto"/>
            <w:vAlign w:val="center"/>
          </w:tcPr>
          <w:p>
            <w:pPr>
              <w:pStyle w:val="97"/>
            </w:pPr>
            <w:r>
              <w:t>污染源</w:t>
            </w:r>
          </w:p>
        </w:tc>
        <w:tc>
          <w:tcPr>
            <w:tcW w:w="796" w:type="dxa"/>
            <w:vMerge w:val="restart"/>
            <w:shd w:val="clear" w:color="auto" w:fill="auto"/>
            <w:vAlign w:val="center"/>
          </w:tcPr>
          <w:p>
            <w:pPr>
              <w:pStyle w:val="97"/>
            </w:pPr>
            <w:r>
              <w:t>污染物</w:t>
            </w:r>
          </w:p>
        </w:tc>
        <w:tc>
          <w:tcPr>
            <w:tcW w:w="3521" w:type="dxa"/>
            <w:gridSpan w:val="4"/>
            <w:shd w:val="clear" w:color="auto" w:fill="auto"/>
            <w:vAlign w:val="center"/>
          </w:tcPr>
          <w:p>
            <w:pPr>
              <w:pStyle w:val="97"/>
            </w:pPr>
            <w:r>
              <w:t>污染物产生</w:t>
            </w:r>
          </w:p>
        </w:tc>
        <w:tc>
          <w:tcPr>
            <w:tcW w:w="2968" w:type="dxa"/>
            <w:gridSpan w:val="2"/>
            <w:shd w:val="clear" w:color="auto" w:fill="auto"/>
            <w:vAlign w:val="center"/>
          </w:tcPr>
          <w:p>
            <w:pPr>
              <w:pStyle w:val="97"/>
            </w:pPr>
            <w:r>
              <w:t>治理措施</w:t>
            </w:r>
          </w:p>
        </w:tc>
        <w:tc>
          <w:tcPr>
            <w:tcW w:w="3830" w:type="dxa"/>
            <w:gridSpan w:val="4"/>
            <w:shd w:val="clear" w:color="auto" w:fill="auto"/>
            <w:vAlign w:val="center"/>
          </w:tcPr>
          <w:p>
            <w:pPr>
              <w:pStyle w:val="97"/>
            </w:pPr>
            <w:r>
              <w:t>污染物排放</w:t>
            </w:r>
          </w:p>
        </w:tc>
        <w:tc>
          <w:tcPr>
            <w:tcW w:w="643" w:type="dxa"/>
            <w:vMerge w:val="restart"/>
            <w:shd w:val="clear" w:color="auto" w:fill="auto"/>
            <w:vAlign w:val="center"/>
          </w:tcPr>
          <w:p>
            <w:pPr>
              <w:pStyle w:val="97"/>
            </w:pPr>
            <w:r>
              <w:t>排放</w:t>
            </w:r>
          </w:p>
          <w:p>
            <w:pPr>
              <w:pStyle w:val="97"/>
            </w:pPr>
            <w:r>
              <w:t>时间(h)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638" w:type="dxa"/>
            <w:vMerge w:val="continue"/>
            <w:shd w:val="clear" w:color="auto" w:fill="auto"/>
            <w:vAlign w:val="center"/>
          </w:tcPr>
          <w:p>
            <w:pPr>
              <w:pStyle w:val="97"/>
            </w:pPr>
          </w:p>
        </w:tc>
        <w:tc>
          <w:tcPr>
            <w:tcW w:w="883" w:type="dxa"/>
            <w:vMerge w:val="continue"/>
            <w:shd w:val="clear" w:color="auto" w:fill="auto"/>
            <w:vAlign w:val="center"/>
          </w:tcPr>
          <w:p>
            <w:pPr>
              <w:pStyle w:val="97"/>
            </w:pPr>
          </w:p>
        </w:tc>
        <w:tc>
          <w:tcPr>
            <w:tcW w:w="693" w:type="dxa"/>
            <w:vMerge w:val="continue"/>
            <w:shd w:val="clear" w:color="auto" w:fill="auto"/>
            <w:vAlign w:val="center"/>
          </w:tcPr>
          <w:p>
            <w:pPr>
              <w:pStyle w:val="97"/>
            </w:pPr>
          </w:p>
        </w:tc>
        <w:tc>
          <w:tcPr>
            <w:tcW w:w="796" w:type="dxa"/>
            <w:vMerge w:val="continue"/>
            <w:shd w:val="clear" w:color="auto" w:fill="auto"/>
            <w:vAlign w:val="center"/>
          </w:tcPr>
          <w:p>
            <w:pPr>
              <w:pStyle w:val="97"/>
            </w:pPr>
          </w:p>
        </w:tc>
        <w:tc>
          <w:tcPr>
            <w:tcW w:w="665" w:type="dxa"/>
            <w:tcBorders>
              <w:right w:val="single" w:color="auto" w:sz="4" w:space="0"/>
            </w:tcBorders>
            <w:shd w:val="clear" w:color="auto" w:fill="auto"/>
            <w:vAlign w:val="center"/>
          </w:tcPr>
          <w:p>
            <w:pPr>
              <w:pStyle w:val="97"/>
            </w:pPr>
            <w:r>
              <w:t>核算方法</w:t>
            </w:r>
          </w:p>
        </w:tc>
        <w:tc>
          <w:tcPr>
            <w:tcW w:w="1006" w:type="dxa"/>
            <w:tcBorders>
              <w:left w:val="single" w:color="auto" w:sz="4" w:space="0"/>
            </w:tcBorders>
            <w:shd w:val="clear" w:color="auto" w:fill="auto"/>
            <w:vAlign w:val="center"/>
          </w:tcPr>
          <w:p>
            <w:pPr>
              <w:pStyle w:val="97"/>
            </w:pPr>
            <w:r>
              <w:t>产生废水量(m</w:t>
            </w:r>
            <w:r>
              <w:rPr>
                <w:vertAlign w:val="superscript"/>
              </w:rPr>
              <w:t>3</w:t>
            </w:r>
            <w:r>
              <w:t>/a)</w:t>
            </w:r>
          </w:p>
        </w:tc>
        <w:tc>
          <w:tcPr>
            <w:tcW w:w="1020" w:type="dxa"/>
            <w:shd w:val="clear" w:color="auto" w:fill="auto"/>
            <w:vAlign w:val="center"/>
          </w:tcPr>
          <w:p>
            <w:pPr>
              <w:pStyle w:val="97"/>
            </w:pPr>
            <w:r>
              <w:t>产生浓度(mg/L)</w:t>
            </w:r>
          </w:p>
        </w:tc>
        <w:tc>
          <w:tcPr>
            <w:tcW w:w="830" w:type="dxa"/>
            <w:shd w:val="clear" w:color="auto" w:fill="auto"/>
            <w:vAlign w:val="center"/>
          </w:tcPr>
          <w:p>
            <w:pPr>
              <w:pStyle w:val="97"/>
            </w:pPr>
            <w:r>
              <w:t>产生量(t/a)</w:t>
            </w:r>
          </w:p>
        </w:tc>
        <w:tc>
          <w:tcPr>
            <w:tcW w:w="1990" w:type="dxa"/>
            <w:shd w:val="clear" w:color="auto" w:fill="auto"/>
            <w:vAlign w:val="center"/>
          </w:tcPr>
          <w:p>
            <w:pPr>
              <w:pStyle w:val="97"/>
            </w:pPr>
            <w:r>
              <w:t>工艺</w:t>
            </w:r>
          </w:p>
        </w:tc>
        <w:tc>
          <w:tcPr>
            <w:tcW w:w="978" w:type="dxa"/>
            <w:shd w:val="clear" w:color="auto" w:fill="auto"/>
            <w:vAlign w:val="center"/>
          </w:tcPr>
          <w:p>
            <w:pPr>
              <w:pStyle w:val="97"/>
            </w:pPr>
            <w:r>
              <w:t>综合处理效率(%)</w:t>
            </w:r>
          </w:p>
        </w:tc>
        <w:tc>
          <w:tcPr>
            <w:tcW w:w="768" w:type="dxa"/>
            <w:shd w:val="clear" w:color="auto" w:fill="auto"/>
            <w:vAlign w:val="center"/>
          </w:tcPr>
          <w:p>
            <w:pPr>
              <w:pStyle w:val="97"/>
            </w:pPr>
            <w:r>
              <w:t>核算方法</w:t>
            </w:r>
          </w:p>
        </w:tc>
        <w:tc>
          <w:tcPr>
            <w:tcW w:w="1112" w:type="dxa"/>
            <w:shd w:val="clear" w:color="auto" w:fill="auto"/>
            <w:vAlign w:val="center"/>
          </w:tcPr>
          <w:p>
            <w:pPr>
              <w:pStyle w:val="97"/>
            </w:pPr>
            <w:r>
              <w:t>排放废水量（m</w:t>
            </w:r>
            <w:r>
              <w:rPr>
                <w:vertAlign w:val="superscript"/>
              </w:rPr>
              <w:t>3</w:t>
            </w:r>
            <w:r>
              <w:t>/a）</w:t>
            </w:r>
          </w:p>
        </w:tc>
        <w:tc>
          <w:tcPr>
            <w:tcW w:w="1053" w:type="dxa"/>
            <w:shd w:val="clear" w:color="auto" w:fill="auto"/>
            <w:vAlign w:val="center"/>
          </w:tcPr>
          <w:p>
            <w:pPr>
              <w:pStyle w:val="97"/>
            </w:pPr>
            <w:r>
              <w:t>排放浓度(mg/L)</w:t>
            </w:r>
          </w:p>
        </w:tc>
        <w:tc>
          <w:tcPr>
            <w:tcW w:w="897" w:type="dxa"/>
            <w:shd w:val="clear" w:color="auto" w:fill="auto"/>
            <w:vAlign w:val="center"/>
          </w:tcPr>
          <w:p>
            <w:pPr>
              <w:pStyle w:val="97"/>
            </w:pPr>
            <w:r>
              <w:t>排放量(t/a）</w:t>
            </w:r>
          </w:p>
        </w:tc>
        <w:tc>
          <w:tcPr>
            <w:tcW w:w="643" w:type="dxa"/>
            <w:vMerge w:val="continue"/>
            <w:shd w:val="clear" w:color="auto" w:fill="auto"/>
            <w:vAlign w:val="center"/>
          </w:tcPr>
          <w:p>
            <w:pPr>
              <w:pStyle w:val="9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638" w:type="dxa"/>
            <w:vMerge w:val="restart"/>
            <w:shd w:val="clear" w:color="auto" w:fill="auto"/>
            <w:vAlign w:val="center"/>
          </w:tcPr>
          <w:p>
            <w:pPr>
              <w:pStyle w:val="97"/>
            </w:pPr>
            <w:r>
              <w:rPr>
                <w:rFonts w:hint="eastAsia"/>
              </w:rPr>
              <w:t>员工</w:t>
            </w:r>
            <w:r>
              <w:t>生活</w:t>
            </w:r>
          </w:p>
        </w:tc>
        <w:tc>
          <w:tcPr>
            <w:tcW w:w="883" w:type="dxa"/>
            <w:vMerge w:val="restart"/>
            <w:shd w:val="clear" w:color="auto" w:fill="auto"/>
            <w:vAlign w:val="center"/>
          </w:tcPr>
          <w:p>
            <w:pPr>
              <w:pStyle w:val="97"/>
            </w:pPr>
            <w:r>
              <w:rPr>
                <w:rFonts w:hint="eastAsia"/>
              </w:rPr>
              <w:t>员工 生活</w:t>
            </w:r>
          </w:p>
        </w:tc>
        <w:tc>
          <w:tcPr>
            <w:tcW w:w="693" w:type="dxa"/>
            <w:vMerge w:val="restart"/>
            <w:shd w:val="clear" w:color="auto" w:fill="auto"/>
            <w:vAlign w:val="center"/>
          </w:tcPr>
          <w:p>
            <w:pPr>
              <w:pStyle w:val="97"/>
            </w:pPr>
            <w:r>
              <w:rPr>
                <w:rFonts w:hint="eastAsia"/>
              </w:rPr>
              <w:t>生活</w:t>
            </w:r>
            <w:r>
              <w:t>污水</w:t>
            </w:r>
          </w:p>
        </w:tc>
        <w:tc>
          <w:tcPr>
            <w:tcW w:w="796" w:type="dxa"/>
            <w:shd w:val="clear" w:color="auto" w:fill="auto"/>
            <w:vAlign w:val="center"/>
          </w:tcPr>
          <w:p>
            <w:pPr>
              <w:pStyle w:val="97"/>
            </w:pPr>
            <w:r>
              <w:t>COD</w:t>
            </w:r>
          </w:p>
        </w:tc>
        <w:tc>
          <w:tcPr>
            <w:tcW w:w="665" w:type="dxa"/>
            <w:vMerge w:val="restart"/>
            <w:tcBorders>
              <w:right w:val="single" w:color="auto" w:sz="4" w:space="0"/>
            </w:tcBorders>
            <w:shd w:val="clear" w:color="auto" w:fill="auto"/>
            <w:vAlign w:val="center"/>
          </w:tcPr>
          <w:p>
            <w:pPr>
              <w:pStyle w:val="97"/>
            </w:pPr>
            <w:r>
              <w:t>类比法</w:t>
            </w:r>
          </w:p>
        </w:tc>
        <w:tc>
          <w:tcPr>
            <w:tcW w:w="1006" w:type="dxa"/>
            <w:vMerge w:val="restart"/>
            <w:tcBorders>
              <w:left w:val="single" w:color="auto" w:sz="4" w:space="0"/>
            </w:tcBorders>
            <w:shd w:val="clear" w:color="auto" w:fill="auto"/>
            <w:vAlign w:val="center"/>
          </w:tcPr>
          <w:p>
            <w:pPr>
              <w:pStyle w:val="97"/>
            </w:pPr>
            <w:r>
              <w:t>160.2</w:t>
            </w:r>
          </w:p>
        </w:tc>
        <w:tc>
          <w:tcPr>
            <w:tcW w:w="1020" w:type="dxa"/>
            <w:shd w:val="clear" w:color="auto" w:fill="auto"/>
            <w:vAlign w:val="center"/>
          </w:tcPr>
          <w:p>
            <w:pPr>
              <w:pStyle w:val="97"/>
            </w:pPr>
            <w:r>
              <w:rPr>
                <w:rFonts w:hint="eastAsia"/>
              </w:rPr>
              <w:t>350</w:t>
            </w:r>
          </w:p>
        </w:tc>
        <w:tc>
          <w:tcPr>
            <w:tcW w:w="830" w:type="dxa"/>
            <w:shd w:val="clear" w:color="auto" w:fill="auto"/>
            <w:vAlign w:val="center"/>
          </w:tcPr>
          <w:p>
            <w:pPr>
              <w:pStyle w:val="97"/>
              <w:rPr>
                <w:sz w:val="22"/>
              </w:rPr>
            </w:pPr>
            <w:r>
              <w:rPr>
                <w:rFonts w:hint="eastAsia"/>
                <w:sz w:val="22"/>
              </w:rPr>
              <w:t>0.0</w:t>
            </w:r>
            <w:r>
              <w:rPr>
                <w:sz w:val="22"/>
              </w:rPr>
              <w:t>56</w:t>
            </w:r>
          </w:p>
        </w:tc>
        <w:tc>
          <w:tcPr>
            <w:tcW w:w="1990" w:type="dxa"/>
            <w:vMerge w:val="restart"/>
            <w:shd w:val="clear" w:color="auto" w:fill="auto"/>
            <w:vAlign w:val="center"/>
          </w:tcPr>
          <w:p>
            <w:pPr>
              <w:pStyle w:val="97"/>
            </w:pPr>
            <w:r>
              <w:t>经化粪池预处理后排入</w:t>
            </w:r>
            <w:r>
              <w:rPr>
                <w:rFonts w:hint="eastAsia"/>
              </w:rPr>
              <w:t>吕河镇污水</w:t>
            </w:r>
            <w:r>
              <w:t>处理厂处理</w:t>
            </w:r>
          </w:p>
        </w:tc>
        <w:tc>
          <w:tcPr>
            <w:tcW w:w="978" w:type="dxa"/>
            <w:shd w:val="clear" w:color="auto" w:fill="auto"/>
            <w:vAlign w:val="center"/>
          </w:tcPr>
          <w:p>
            <w:pPr>
              <w:pStyle w:val="97"/>
            </w:pPr>
            <w:r>
              <w:t>15</w:t>
            </w:r>
          </w:p>
        </w:tc>
        <w:tc>
          <w:tcPr>
            <w:tcW w:w="768" w:type="dxa"/>
            <w:vMerge w:val="restart"/>
            <w:shd w:val="clear" w:color="auto" w:fill="auto"/>
            <w:vAlign w:val="center"/>
          </w:tcPr>
          <w:p>
            <w:pPr>
              <w:pStyle w:val="97"/>
            </w:pPr>
            <w:r>
              <w:rPr>
                <w:rFonts w:hint="eastAsia"/>
              </w:rPr>
              <w:t>物料</w:t>
            </w:r>
            <w:r>
              <w:t>衡算法</w:t>
            </w:r>
          </w:p>
        </w:tc>
        <w:tc>
          <w:tcPr>
            <w:tcW w:w="1112" w:type="dxa"/>
            <w:vMerge w:val="restart"/>
            <w:shd w:val="clear" w:color="auto" w:fill="auto"/>
            <w:vAlign w:val="center"/>
          </w:tcPr>
          <w:p>
            <w:pPr>
              <w:pStyle w:val="97"/>
            </w:pPr>
            <w:r>
              <w:t>160.2</w:t>
            </w:r>
          </w:p>
        </w:tc>
        <w:tc>
          <w:tcPr>
            <w:tcW w:w="1053" w:type="dxa"/>
            <w:shd w:val="clear" w:color="auto" w:fill="auto"/>
            <w:vAlign w:val="center"/>
          </w:tcPr>
          <w:p>
            <w:pPr>
              <w:pStyle w:val="97"/>
            </w:pPr>
            <w:r>
              <w:rPr>
                <w:rFonts w:hint="eastAsia"/>
              </w:rPr>
              <w:t>297.5</w:t>
            </w:r>
          </w:p>
        </w:tc>
        <w:tc>
          <w:tcPr>
            <w:tcW w:w="897" w:type="dxa"/>
            <w:shd w:val="clear" w:color="auto" w:fill="auto"/>
            <w:vAlign w:val="center"/>
          </w:tcPr>
          <w:p>
            <w:pPr>
              <w:pStyle w:val="97"/>
            </w:pPr>
            <w:r>
              <w:rPr>
                <w:rFonts w:hint="eastAsia"/>
              </w:rPr>
              <w:t>0.0</w:t>
            </w:r>
            <w:r>
              <w:t>48</w:t>
            </w:r>
          </w:p>
        </w:tc>
        <w:tc>
          <w:tcPr>
            <w:tcW w:w="643" w:type="dxa"/>
            <w:vMerge w:val="restart"/>
            <w:shd w:val="clear" w:color="auto" w:fill="auto"/>
            <w:vAlign w:val="center"/>
          </w:tcPr>
          <w:p>
            <w:pPr>
              <w:pStyle w:val="97"/>
            </w:pPr>
            <w:r>
              <w:t>4320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638" w:type="dxa"/>
            <w:vMerge w:val="continue"/>
            <w:shd w:val="clear" w:color="auto" w:fill="auto"/>
            <w:vAlign w:val="center"/>
          </w:tcPr>
          <w:p>
            <w:pPr>
              <w:pStyle w:val="97"/>
            </w:pPr>
          </w:p>
        </w:tc>
        <w:tc>
          <w:tcPr>
            <w:tcW w:w="883" w:type="dxa"/>
            <w:vMerge w:val="continue"/>
            <w:shd w:val="clear" w:color="auto" w:fill="auto"/>
            <w:vAlign w:val="center"/>
          </w:tcPr>
          <w:p>
            <w:pPr>
              <w:pStyle w:val="97"/>
            </w:pPr>
          </w:p>
        </w:tc>
        <w:tc>
          <w:tcPr>
            <w:tcW w:w="693" w:type="dxa"/>
            <w:vMerge w:val="continue"/>
            <w:shd w:val="clear" w:color="auto" w:fill="auto"/>
            <w:vAlign w:val="center"/>
          </w:tcPr>
          <w:p>
            <w:pPr>
              <w:pStyle w:val="97"/>
            </w:pPr>
          </w:p>
        </w:tc>
        <w:tc>
          <w:tcPr>
            <w:tcW w:w="796" w:type="dxa"/>
            <w:shd w:val="clear" w:color="auto" w:fill="auto"/>
            <w:vAlign w:val="center"/>
          </w:tcPr>
          <w:p>
            <w:pPr>
              <w:pStyle w:val="97"/>
            </w:pPr>
            <w:r>
              <w:t>BOD</w:t>
            </w:r>
            <w:r>
              <w:rPr>
                <w:vertAlign w:val="subscript"/>
              </w:rPr>
              <w:t>5</w:t>
            </w:r>
          </w:p>
        </w:tc>
        <w:tc>
          <w:tcPr>
            <w:tcW w:w="665" w:type="dxa"/>
            <w:vMerge w:val="continue"/>
            <w:tcBorders>
              <w:right w:val="single" w:color="auto" w:sz="4" w:space="0"/>
            </w:tcBorders>
            <w:shd w:val="clear" w:color="auto" w:fill="auto"/>
            <w:vAlign w:val="center"/>
          </w:tcPr>
          <w:p>
            <w:pPr>
              <w:pStyle w:val="97"/>
            </w:pPr>
          </w:p>
        </w:tc>
        <w:tc>
          <w:tcPr>
            <w:tcW w:w="1006" w:type="dxa"/>
            <w:vMerge w:val="continue"/>
            <w:tcBorders>
              <w:left w:val="single" w:color="auto" w:sz="4" w:space="0"/>
            </w:tcBorders>
            <w:shd w:val="clear" w:color="auto" w:fill="auto"/>
            <w:vAlign w:val="center"/>
          </w:tcPr>
          <w:p>
            <w:pPr>
              <w:pStyle w:val="97"/>
            </w:pPr>
          </w:p>
        </w:tc>
        <w:tc>
          <w:tcPr>
            <w:tcW w:w="1020" w:type="dxa"/>
            <w:shd w:val="clear" w:color="auto" w:fill="auto"/>
            <w:vAlign w:val="center"/>
          </w:tcPr>
          <w:p>
            <w:pPr>
              <w:pStyle w:val="97"/>
            </w:pPr>
            <w:r>
              <w:rPr>
                <w:rFonts w:hint="eastAsia"/>
              </w:rPr>
              <w:t>150</w:t>
            </w:r>
          </w:p>
        </w:tc>
        <w:tc>
          <w:tcPr>
            <w:tcW w:w="830" w:type="dxa"/>
            <w:shd w:val="clear" w:color="auto" w:fill="auto"/>
            <w:vAlign w:val="center"/>
          </w:tcPr>
          <w:p>
            <w:pPr>
              <w:pStyle w:val="97"/>
              <w:rPr>
                <w:sz w:val="22"/>
              </w:rPr>
            </w:pPr>
            <w:r>
              <w:rPr>
                <w:rFonts w:hint="eastAsia"/>
                <w:sz w:val="22"/>
              </w:rPr>
              <w:t>0.0</w:t>
            </w:r>
            <w:r>
              <w:rPr>
                <w:sz w:val="22"/>
              </w:rPr>
              <w:t>24</w:t>
            </w:r>
          </w:p>
        </w:tc>
        <w:tc>
          <w:tcPr>
            <w:tcW w:w="1990" w:type="dxa"/>
            <w:vMerge w:val="continue"/>
            <w:shd w:val="clear" w:color="auto" w:fill="auto"/>
            <w:vAlign w:val="center"/>
          </w:tcPr>
          <w:p>
            <w:pPr>
              <w:pStyle w:val="97"/>
            </w:pPr>
          </w:p>
        </w:tc>
        <w:tc>
          <w:tcPr>
            <w:tcW w:w="978" w:type="dxa"/>
            <w:shd w:val="clear" w:color="auto" w:fill="auto"/>
            <w:vAlign w:val="center"/>
          </w:tcPr>
          <w:p>
            <w:pPr>
              <w:pStyle w:val="97"/>
            </w:pPr>
            <w:r>
              <w:rPr>
                <w:rFonts w:hint="eastAsia"/>
              </w:rPr>
              <w:t>9</w:t>
            </w:r>
          </w:p>
        </w:tc>
        <w:tc>
          <w:tcPr>
            <w:tcW w:w="768" w:type="dxa"/>
            <w:vMerge w:val="continue"/>
            <w:shd w:val="clear" w:color="auto" w:fill="auto"/>
            <w:vAlign w:val="center"/>
          </w:tcPr>
          <w:p>
            <w:pPr>
              <w:pStyle w:val="97"/>
            </w:pPr>
          </w:p>
        </w:tc>
        <w:tc>
          <w:tcPr>
            <w:tcW w:w="1112" w:type="dxa"/>
            <w:vMerge w:val="continue"/>
            <w:shd w:val="clear" w:color="auto" w:fill="auto"/>
            <w:vAlign w:val="center"/>
          </w:tcPr>
          <w:p>
            <w:pPr>
              <w:pStyle w:val="97"/>
            </w:pPr>
          </w:p>
        </w:tc>
        <w:tc>
          <w:tcPr>
            <w:tcW w:w="1053" w:type="dxa"/>
            <w:shd w:val="clear" w:color="auto" w:fill="auto"/>
            <w:vAlign w:val="center"/>
          </w:tcPr>
          <w:p>
            <w:pPr>
              <w:pStyle w:val="97"/>
            </w:pPr>
            <w:r>
              <w:rPr>
                <w:rFonts w:hint="eastAsia"/>
              </w:rPr>
              <w:t>136.5</w:t>
            </w:r>
          </w:p>
        </w:tc>
        <w:tc>
          <w:tcPr>
            <w:tcW w:w="897" w:type="dxa"/>
            <w:shd w:val="clear" w:color="auto" w:fill="auto"/>
            <w:vAlign w:val="center"/>
          </w:tcPr>
          <w:p>
            <w:pPr>
              <w:pStyle w:val="97"/>
            </w:pPr>
            <w:r>
              <w:rPr>
                <w:rFonts w:hint="eastAsia"/>
              </w:rPr>
              <w:t>0.0</w:t>
            </w:r>
            <w:r>
              <w:t>22</w:t>
            </w:r>
          </w:p>
        </w:tc>
        <w:tc>
          <w:tcPr>
            <w:tcW w:w="643" w:type="dxa"/>
            <w:vMerge w:val="continue"/>
            <w:shd w:val="clear" w:color="auto" w:fill="auto"/>
            <w:vAlign w:val="center"/>
          </w:tcPr>
          <w:p>
            <w:pPr>
              <w:pStyle w:val="9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638" w:type="dxa"/>
            <w:vMerge w:val="continue"/>
            <w:shd w:val="clear" w:color="auto" w:fill="auto"/>
            <w:vAlign w:val="center"/>
          </w:tcPr>
          <w:p>
            <w:pPr>
              <w:pStyle w:val="97"/>
            </w:pPr>
          </w:p>
        </w:tc>
        <w:tc>
          <w:tcPr>
            <w:tcW w:w="883" w:type="dxa"/>
            <w:vMerge w:val="continue"/>
            <w:shd w:val="clear" w:color="auto" w:fill="auto"/>
            <w:vAlign w:val="center"/>
          </w:tcPr>
          <w:p>
            <w:pPr>
              <w:pStyle w:val="97"/>
            </w:pPr>
          </w:p>
        </w:tc>
        <w:tc>
          <w:tcPr>
            <w:tcW w:w="693" w:type="dxa"/>
            <w:vMerge w:val="continue"/>
            <w:shd w:val="clear" w:color="auto" w:fill="auto"/>
            <w:vAlign w:val="center"/>
          </w:tcPr>
          <w:p>
            <w:pPr>
              <w:pStyle w:val="97"/>
            </w:pPr>
          </w:p>
        </w:tc>
        <w:tc>
          <w:tcPr>
            <w:tcW w:w="796" w:type="dxa"/>
            <w:shd w:val="clear" w:color="auto" w:fill="auto"/>
            <w:vAlign w:val="center"/>
          </w:tcPr>
          <w:p>
            <w:pPr>
              <w:pStyle w:val="97"/>
            </w:pPr>
            <w:r>
              <w:t>SS</w:t>
            </w:r>
          </w:p>
        </w:tc>
        <w:tc>
          <w:tcPr>
            <w:tcW w:w="665" w:type="dxa"/>
            <w:vMerge w:val="continue"/>
            <w:tcBorders>
              <w:right w:val="single" w:color="auto" w:sz="4" w:space="0"/>
            </w:tcBorders>
            <w:shd w:val="clear" w:color="auto" w:fill="auto"/>
            <w:vAlign w:val="center"/>
          </w:tcPr>
          <w:p>
            <w:pPr>
              <w:pStyle w:val="97"/>
            </w:pPr>
          </w:p>
        </w:tc>
        <w:tc>
          <w:tcPr>
            <w:tcW w:w="1006" w:type="dxa"/>
            <w:vMerge w:val="continue"/>
            <w:tcBorders>
              <w:left w:val="single" w:color="auto" w:sz="4" w:space="0"/>
            </w:tcBorders>
            <w:shd w:val="clear" w:color="auto" w:fill="auto"/>
            <w:vAlign w:val="center"/>
          </w:tcPr>
          <w:p>
            <w:pPr>
              <w:pStyle w:val="97"/>
            </w:pPr>
          </w:p>
        </w:tc>
        <w:tc>
          <w:tcPr>
            <w:tcW w:w="1020" w:type="dxa"/>
            <w:shd w:val="clear" w:color="auto" w:fill="auto"/>
            <w:vAlign w:val="center"/>
          </w:tcPr>
          <w:p>
            <w:pPr>
              <w:pStyle w:val="97"/>
            </w:pPr>
            <w:r>
              <w:rPr>
                <w:rFonts w:hint="eastAsia"/>
              </w:rPr>
              <w:t>300</w:t>
            </w:r>
          </w:p>
        </w:tc>
        <w:tc>
          <w:tcPr>
            <w:tcW w:w="830" w:type="dxa"/>
            <w:shd w:val="clear" w:color="auto" w:fill="auto"/>
            <w:vAlign w:val="center"/>
          </w:tcPr>
          <w:p>
            <w:pPr>
              <w:pStyle w:val="97"/>
              <w:rPr>
                <w:sz w:val="22"/>
                <w:highlight w:val="yellow"/>
              </w:rPr>
            </w:pPr>
            <w:r>
              <w:rPr>
                <w:rFonts w:hint="eastAsia"/>
                <w:sz w:val="22"/>
              </w:rPr>
              <w:t>0.0</w:t>
            </w:r>
            <w:r>
              <w:rPr>
                <w:sz w:val="22"/>
              </w:rPr>
              <w:t>48</w:t>
            </w:r>
          </w:p>
        </w:tc>
        <w:tc>
          <w:tcPr>
            <w:tcW w:w="1990" w:type="dxa"/>
            <w:vMerge w:val="continue"/>
            <w:shd w:val="clear" w:color="auto" w:fill="auto"/>
            <w:vAlign w:val="center"/>
          </w:tcPr>
          <w:p>
            <w:pPr>
              <w:pStyle w:val="97"/>
            </w:pPr>
          </w:p>
        </w:tc>
        <w:tc>
          <w:tcPr>
            <w:tcW w:w="978" w:type="dxa"/>
            <w:shd w:val="clear" w:color="auto" w:fill="auto"/>
            <w:vAlign w:val="center"/>
          </w:tcPr>
          <w:p>
            <w:pPr>
              <w:pStyle w:val="97"/>
            </w:pPr>
            <w:r>
              <w:rPr>
                <w:rFonts w:hint="eastAsia"/>
              </w:rPr>
              <w:t>30</w:t>
            </w:r>
          </w:p>
        </w:tc>
        <w:tc>
          <w:tcPr>
            <w:tcW w:w="768" w:type="dxa"/>
            <w:vMerge w:val="continue"/>
            <w:shd w:val="clear" w:color="auto" w:fill="auto"/>
            <w:vAlign w:val="center"/>
          </w:tcPr>
          <w:p>
            <w:pPr>
              <w:pStyle w:val="97"/>
            </w:pPr>
          </w:p>
        </w:tc>
        <w:tc>
          <w:tcPr>
            <w:tcW w:w="1112" w:type="dxa"/>
            <w:vMerge w:val="continue"/>
            <w:shd w:val="clear" w:color="auto" w:fill="auto"/>
            <w:vAlign w:val="center"/>
          </w:tcPr>
          <w:p>
            <w:pPr>
              <w:pStyle w:val="97"/>
            </w:pPr>
          </w:p>
        </w:tc>
        <w:tc>
          <w:tcPr>
            <w:tcW w:w="1053" w:type="dxa"/>
            <w:shd w:val="clear" w:color="auto" w:fill="auto"/>
            <w:vAlign w:val="center"/>
          </w:tcPr>
          <w:p>
            <w:pPr>
              <w:pStyle w:val="97"/>
            </w:pPr>
            <w:r>
              <w:rPr>
                <w:rFonts w:hint="eastAsia"/>
              </w:rPr>
              <w:t>210</w:t>
            </w:r>
          </w:p>
        </w:tc>
        <w:tc>
          <w:tcPr>
            <w:tcW w:w="897" w:type="dxa"/>
            <w:shd w:val="clear" w:color="auto" w:fill="auto"/>
            <w:vAlign w:val="center"/>
          </w:tcPr>
          <w:p>
            <w:pPr>
              <w:pStyle w:val="97"/>
              <w:rPr>
                <w:highlight w:val="yellow"/>
              </w:rPr>
            </w:pPr>
            <w:r>
              <w:rPr>
                <w:rFonts w:hint="eastAsia"/>
              </w:rPr>
              <w:t>0.0</w:t>
            </w:r>
            <w:r>
              <w:t>34</w:t>
            </w:r>
          </w:p>
        </w:tc>
        <w:tc>
          <w:tcPr>
            <w:tcW w:w="643" w:type="dxa"/>
            <w:vMerge w:val="continue"/>
            <w:shd w:val="clear" w:color="auto" w:fill="auto"/>
            <w:vAlign w:val="center"/>
          </w:tcPr>
          <w:p>
            <w:pPr>
              <w:pStyle w:val="9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638" w:type="dxa"/>
            <w:vMerge w:val="continue"/>
            <w:shd w:val="clear" w:color="auto" w:fill="auto"/>
            <w:vAlign w:val="center"/>
          </w:tcPr>
          <w:p>
            <w:pPr>
              <w:pStyle w:val="97"/>
            </w:pPr>
          </w:p>
        </w:tc>
        <w:tc>
          <w:tcPr>
            <w:tcW w:w="883" w:type="dxa"/>
            <w:vMerge w:val="continue"/>
            <w:shd w:val="clear" w:color="auto" w:fill="auto"/>
            <w:vAlign w:val="center"/>
          </w:tcPr>
          <w:p>
            <w:pPr>
              <w:pStyle w:val="97"/>
            </w:pPr>
          </w:p>
        </w:tc>
        <w:tc>
          <w:tcPr>
            <w:tcW w:w="693" w:type="dxa"/>
            <w:vMerge w:val="continue"/>
            <w:shd w:val="clear" w:color="auto" w:fill="auto"/>
            <w:vAlign w:val="center"/>
          </w:tcPr>
          <w:p>
            <w:pPr>
              <w:pStyle w:val="97"/>
            </w:pPr>
          </w:p>
        </w:tc>
        <w:tc>
          <w:tcPr>
            <w:tcW w:w="796" w:type="dxa"/>
            <w:shd w:val="clear" w:color="auto" w:fill="auto"/>
            <w:vAlign w:val="center"/>
          </w:tcPr>
          <w:p>
            <w:pPr>
              <w:pStyle w:val="97"/>
            </w:pPr>
            <w:r>
              <w:t>NH</w:t>
            </w:r>
            <w:r>
              <w:rPr>
                <w:vertAlign w:val="subscript"/>
              </w:rPr>
              <w:t>3</w:t>
            </w:r>
            <w:r>
              <w:t>-N</w:t>
            </w:r>
          </w:p>
        </w:tc>
        <w:tc>
          <w:tcPr>
            <w:tcW w:w="665" w:type="dxa"/>
            <w:vMerge w:val="continue"/>
            <w:tcBorders>
              <w:right w:val="single" w:color="auto" w:sz="4" w:space="0"/>
            </w:tcBorders>
            <w:shd w:val="clear" w:color="auto" w:fill="auto"/>
            <w:vAlign w:val="center"/>
          </w:tcPr>
          <w:p>
            <w:pPr>
              <w:pStyle w:val="97"/>
            </w:pPr>
          </w:p>
        </w:tc>
        <w:tc>
          <w:tcPr>
            <w:tcW w:w="1006" w:type="dxa"/>
            <w:vMerge w:val="continue"/>
            <w:tcBorders>
              <w:left w:val="single" w:color="auto" w:sz="4" w:space="0"/>
            </w:tcBorders>
            <w:shd w:val="clear" w:color="auto" w:fill="auto"/>
            <w:vAlign w:val="center"/>
          </w:tcPr>
          <w:p>
            <w:pPr>
              <w:pStyle w:val="97"/>
            </w:pPr>
          </w:p>
        </w:tc>
        <w:tc>
          <w:tcPr>
            <w:tcW w:w="1020" w:type="dxa"/>
            <w:shd w:val="clear" w:color="auto" w:fill="auto"/>
            <w:vAlign w:val="center"/>
          </w:tcPr>
          <w:p>
            <w:pPr>
              <w:pStyle w:val="97"/>
            </w:pPr>
            <w:r>
              <w:rPr>
                <w:rFonts w:hint="eastAsia"/>
              </w:rPr>
              <w:t>25</w:t>
            </w:r>
          </w:p>
        </w:tc>
        <w:tc>
          <w:tcPr>
            <w:tcW w:w="830" w:type="dxa"/>
            <w:shd w:val="clear" w:color="auto" w:fill="auto"/>
            <w:vAlign w:val="center"/>
          </w:tcPr>
          <w:p>
            <w:pPr>
              <w:pStyle w:val="97"/>
              <w:rPr>
                <w:sz w:val="22"/>
                <w:highlight w:val="yellow"/>
              </w:rPr>
            </w:pPr>
            <w:r>
              <w:rPr>
                <w:rFonts w:hint="eastAsia"/>
                <w:sz w:val="22"/>
              </w:rPr>
              <w:t>0.0</w:t>
            </w:r>
            <w:r>
              <w:rPr>
                <w:sz w:val="22"/>
              </w:rPr>
              <w:t>04</w:t>
            </w:r>
          </w:p>
        </w:tc>
        <w:tc>
          <w:tcPr>
            <w:tcW w:w="1990" w:type="dxa"/>
            <w:vMerge w:val="continue"/>
            <w:shd w:val="clear" w:color="auto" w:fill="auto"/>
            <w:vAlign w:val="center"/>
          </w:tcPr>
          <w:p>
            <w:pPr>
              <w:pStyle w:val="97"/>
            </w:pPr>
          </w:p>
        </w:tc>
        <w:tc>
          <w:tcPr>
            <w:tcW w:w="978" w:type="dxa"/>
            <w:shd w:val="clear" w:color="auto" w:fill="auto"/>
            <w:vAlign w:val="center"/>
          </w:tcPr>
          <w:p>
            <w:pPr>
              <w:pStyle w:val="97"/>
            </w:pPr>
            <w:r>
              <w:rPr>
                <w:rFonts w:hint="eastAsia"/>
              </w:rPr>
              <w:t>0</w:t>
            </w:r>
          </w:p>
        </w:tc>
        <w:tc>
          <w:tcPr>
            <w:tcW w:w="768" w:type="dxa"/>
            <w:vMerge w:val="continue"/>
            <w:shd w:val="clear" w:color="auto" w:fill="auto"/>
            <w:vAlign w:val="center"/>
          </w:tcPr>
          <w:p>
            <w:pPr>
              <w:pStyle w:val="97"/>
            </w:pPr>
          </w:p>
        </w:tc>
        <w:tc>
          <w:tcPr>
            <w:tcW w:w="1112" w:type="dxa"/>
            <w:vMerge w:val="continue"/>
            <w:shd w:val="clear" w:color="auto" w:fill="auto"/>
            <w:vAlign w:val="center"/>
          </w:tcPr>
          <w:p>
            <w:pPr>
              <w:pStyle w:val="97"/>
            </w:pPr>
          </w:p>
        </w:tc>
        <w:tc>
          <w:tcPr>
            <w:tcW w:w="1053" w:type="dxa"/>
            <w:shd w:val="clear" w:color="auto" w:fill="auto"/>
            <w:vAlign w:val="center"/>
          </w:tcPr>
          <w:p>
            <w:pPr>
              <w:pStyle w:val="97"/>
            </w:pPr>
            <w:r>
              <w:rPr>
                <w:rFonts w:hint="eastAsia"/>
              </w:rPr>
              <w:t>25</w:t>
            </w:r>
          </w:p>
        </w:tc>
        <w:tc>
          <w:tcPr>
            <w:tcW w:w="897" w:type="dxa"/>
            <w:shd w:val="clear" w:color="auto" w:fill="auto"/>
            <w:vAlign w:val="center"/>
          </w:tcPr>
          <w:p>
            <w:pPr>
              <w:pStyle w:val="97"/>
              <w:rPr>
                <w:highlight w:val="yellow"/>
              </w:rPr>
            </w:pPr>
            <w:r>
              <w:rPr>
                <w:rFonts w:hint="eastAsia"/>
              </w:rPr>
              <w:t>0.0</w:t>
            </w:r>
            <w:r>
              <w:t>04</w:t>
            </w:r>
          </w:p>
        </w:tc>
        <w:tc>
          <w:tcPr>
            <w:tcW w:w="643" w:type="dxa"/>
            <w:vMerge w:val="continue"/>
            <w:shd w:val="clear" w:color="auto" w:fill="auto"/>
            <w:vAlign w:val="center"/>
          </w:tcPr>
          <w:p>
            <w:pPr>
              <w:pStyle w:val="9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0" w:hRule="atLeast"/>
          <w:jc w:val="center"/>
        </w:trPr>
        <w:tc>
          <w:tcPr>
            <w:tcW w:w="638" w:type="dxa"/>
            <w:shd w:val="clear" w:color="auto" w:fill="auto"/>
            <w:vAlign w:val="center"/>
          </w:tcPr>
          <w:p>
            <w:pPr>
              <w:pStyle w:val="97"/>
            </w:pPr>
            <w:r>
              <w:rPr>
                <w:rFonts w:hint="eastAsia"/>
              </w:rPr>
              <w:t>锅炉用水</w:t>
            </w:r>
          </w:p>
        </w:tc>
        <w:tc>
          <w:tcPr>
            <w:tcW w:w="883" w:type="dxa"/>
            <w:shd w:val="clear" w:color="auto" w:fill="auto"/>
            <w:vAlign w:val="center"/>
          </w:tcPr>
          <w:p>
            <w:pPr>
              <w:pStyle w:val="97"/>
            </w:pPr>
            <w:r>
              <w:rPr>
                <w:rFonts w:hint="eastAsia"/>
              </w:rPr>
              <w:t>锅炉</w:t>
            </w:r>
            <w:r>
              <w:t>、软水制备系统</w:t>
            </w:r>
          </w:p>
        </w:tc>
        <w:tc>
          <w:tcPr>
            <w:tcW w:w="693" w:type="dxa"/>
            <w:shd w:val="clear" w:color="auto" w:fill="auto"/>
            <w:vAlign w:val="center"/>
          </w:tcPr>
          <w:p>
            <w:pPr>
              <w:pStyle w:val="97"/>
            </w:pPr>
            <w:r>
              <w:rPr>
                <w:rFonts w:hint="eastAsia"/>
              </w:rPr>
              <w:t>锅炉排污</w:t>
            </w:r>
            <w:r>
              <w:t>，软水制备浓水</w:t>
            </w:r>
          </w:p>
        </w:tc>
        <w:tc>
          <w:tcPr>
            <w:tcW w:w="796" w:type="dxa"/>
            <w:shd w:val="clear" w:color="auto" w:fill="auto"/>
            <w:vAlign w:val="center"/>
          </w:tcPr>
          <w:p>
            <w:pPr>
              <w:pStyle w:val="97"/>
            </w:pPr>
            <w:r>
              <w:rPr>
                <w:rFonts w:hint="eastAsia"/>
              </w:rPr>
              <w:t>/</w:t>
            </w:r>
          </w:p>
        </w:tc>
        <w:tc>
          <w:tcPr>
            <w:tcW w:w="665" w:type="dxa"/>
            <w:tcBorders>
              <w:right w:val="single" w:color="auto" w:sz="4" w:space="0"/>
            </w:tcBorders>
            <w:shd w:val="clear" w:color="auto" w:fill="auto"/>
            <w:vAlign w:val="center"/>
          </w:tcPr>
          <w:p>
            <w:pPr>
              <w:pStyle w:val="97"/>
            </w:pPr>
            <w:r>
              <w:rPr>
                <w:rFonts w:hint="eastAsia"/>
              </w:rPr>
              <w:t>类比法</w:t>
            </w:r>
          </w:p>
        </w:tc>
        <w:tc>
          <w:tcPr>
            <w:tcW w:w="1006" w:type="dxa"/>
            <w:tcBorders>
              <w:left w:val="single" w:color="auto" w:sz="4" w:space="0"/>
            </w:tcBorders>
            <w:shd w:val="clear" w:color="auto" w:fill="auto"/>
            <w:vAlign w:val="center"/>
          </w:tcPr>
          <w:p>
            <w:pPr>
              <w:pStyle w:val="97"/>
            </w:pPr>
            <w:r>
              <w:t>1094.4</w:t>
            </w:r>
          </w:p>
        </w:tc>
        <w:tc>
          <w:tcPr>
            <w:tcW w:w="1020" w:type="dxa"/>
            <w:shd w:val="clear" w:color="auto" w:fill="auto"/>
            <w:vAlign w:val="center"/>
          </w:tcPr>
          <w:p>
            <w:pPr>
              <w:pStyle w:val="97"/>
            </w:pPr>
            <w:r>
              <w:rPr>
                <w:rFonts w:hint="eastAsia"/>
              </w:rPr>
              <w:t>/</w:t>
            </w:r>
          </w:p>
        </w:tc>
        <w:tc>
          <w:tcPr>
            <w:tcW w:w="830" w:type="dxa"/>
            <w:shd w:val="clear" w:color="auto" w:fill="auto"/>
            <w:vAlign w:val="center"/>
          </w:tcPr>
          <w:p>
            <w:pPr>
              <w:pStyle w:val="97"/>
              <w:rPr>
                <w:sz w:val="22"/>
              </w:rPr>
            </w:pPr>
            <w:r>
              <w:rPr>
                <w:rFonts w:hint="eastAsia"/>
                <w:sz w:val="22"/>
              </w:rPr>
              <w:t>/</w:t>
            </w:r>
          </w:p>
        </w:tc>
        <w:tc>
          <w:tcPr>
            <w:tcW w:w="1990" w:type="dxa"/>
            <w:shd w:val="clear" w:color="auto" w:fill="auto"/>
            <w:vAlign w:val="center"/>
          </w:tcPr>
          <w:p>
            <w:pPr>
              <w:pStyle w:val="97"/>
            </w:pPr>
            <w:r>
              <w:rPr>
                <w:rFonts w:hint="eastAsia"/>
              </w:rPr>
              <w:t>排入</w:t>
            </w:r>
            <w:r>
              <w:t>雨水管网</w:t>
            </w:r>
          </w:p>
        </w:tc>
        <w:tc>
          <w:tcPr>
            <w:tcW w:w="978" w:type="dxa"/>
            <w:shd w:val="clear" w:color="auto" w:fill="auto"/>
            <w:vAlign w:val="center"/>
          </w:tcPr>
          <w:p>
            <w:pPr>
              <w:pStyle w:val="97"/>
            </w:pPr>
            <w:r>
              <w:rPr>
                <w:rFonts w:hint="eastAsia"/>
              </w:rPr>
              <w:t>/</w:t>
            </w:r>
          </w:p>
        </w:tc>
        <w:tc>
          <w:tcPr>
            <w:tcW w:w="768" w:type="dxa"/>
            <w:shd w:val="clear" w:color="auto" w:fill="auto"/>
            <w:vAlign w:val="center"/>
          </w:tcPr>
          <w:p>
            <w:pPr>
              <w:pStyle w:val="97"/>
            </w:pPr>
            <w:r>
              <w:rPr>
                <w:rFonts w:hint="eastAsia"/>
              </w:rPr>
              <w:t>物料</w:t>
            </w:r>
            <w:r>
              <w:t>衡算法</w:t>
            </w:r>
          </w:p>
        </w:tc>
        <w:tc>
          <w:tcPr>
            <w:tcW w:w="1112" w:type="dxa"/>
            <w:shd w:val="clear" w:color="auto" w:fill="auto"/>
            <w:vAlign w:val="center"/>
          </w:tcPr>
          <w:p>
            <w:pPr>
              <w:pStyle w:val="97"/>
            </w:pPr>
            <w:r>
              <w:t>1094.4</w:t>
            </w:r>
          </w:p>
        </w:tc>
        <w:tc>
          <w:tcPr>
            <w:tcW w:w="1053" w:type="dxa"/>
            <w:shd w:val="clear" w:color="auto" w:fill="auto"/>
            <w:vAlign w:val="center"/>
          </w:tcPr>
          <w:p>
            <w:pPr>
              <w:pStyle w:val="97"/>
            </w:pPr>
            <w:r>
              <w:rPr>
                <w:rFonts w:hint="eastAsia"/>
              </w:rPr>
              <w:t>/</w:t>
            </w:r>
          </w:p>
        </w:tc>
        <w:tc>
          <w:tcPr>
            <w:tcW w:w="897" w:type="dxa"/>
            <w:shd w:val="clear" w:color="auto" w:fill="auto"/>
            <w:vAlign w:val="center"/>
          </w:tcPr>
          <w:p>
            <w:pPr>
              <w:pStyle w:val="97"/>
            </w:pPr>
            <w:r>
              <w:rPr>
                <w:rFonts w:hint="eastAsia"/>
              </w:rPr>
              <w:t>/</w:t>
            </w:r>
          </w:p>
        </w:tc>
        <w:tc>
          <w:tcPr>
            <w:tcW w:w="643" w:type="dxa"/>
            <w:shd w:val="clear" w:color="auto" w:fill="auto"/>
            <w:vAlign w:val="center"/>
          </w:tcPr>
          <w:p>
            <w:pPr>
              <w:pStyle w:val="97"/>
            </w:pPr>
            <w:r>
              <w:t>4320</w:t>
            </w:r>
          </w:p>
        </w:tc>
      </w:tr>
    </w:tbl>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sectPr>
          <w:headerReference r:id="rId28" w:type="default"/>
          <w:headerReference r:id="rId29" w:type="even"/>
          <w:pgSz w:w="16838" w:h="11906" w:orient="landscape"/>
          <w:pgMar w:top="1440" w:right="1418" w:bottom="1440" w:left="1418" w:header="992" w:footer="992" w:gutter="0"/>
          <w:pgNumType w:fmt="numberInDash"/>
          <w:cols w:space="425" w:num="1"/>
          <w:docGrid w:type="lines" w:linePitch="326" w:charSpace="0"/>
        </w:sectPr>
      </w:pPr>
    </w:p>
    <w:p>
      <w:pPr>
        <w:pStyle w:val="5"/>
      </w:pPr>
      <w:r>
        <w:rPr>
          <w:rFonts w:hint="eastAsia"/>
        </w:rPr>
        <w:t>噪声</w:t>
      </w:r>
    </w:p>
    <w:p>
      <w:pPr>
        <w:ind w:firstLine="480"/>
      </w:pPr>
      <w:r>
        <w:rPr>
          <w:rFonts w:hint="eastAsia"/>
        </w:rPr>
        <w:t>项目</w:t>
      </w:r>
      <w:r>
        <w:t>噪声主要来源于</w:t>
      </w:r>
      <w:r>
        <w:rPr>
          <w:rFonts w:hint="eastAsia"/>
        </w:rPr>
        <w:t>粉碎机</w:t>
      </w:r>
      <w:r>
        <w:t>、</w:t>
      </w:r>
      <w:r>
        <w:rPr>
          <w:rFonts w:hint="eastAsia"/>
        </w:rPr>
        <w:t>引风机</w:t>
      </w:r>
      <w:r>
        <w:t>、</w:t>
      </w:r>
      <w:r>
        <w:rPr>
          <w:rFonts w:hint="eastAsia"/>
        </w:rPr>
        <w:t>循环泵</w:t>
      </w:r>
      <w:r>
        <w:t>、</w:t>
      </w:r>
      <w:r>
        <w:rPr>
          <w:rFonts w:hint="eastAsia"/>
        </w:rPr>
        <w:t>出料</w:t>
      </w:r>
      <w:r>
        <w:t>泵、</w:t>
      </w:r>
      <w:r>
        <w:rPr>
          <w:rFonts w:hint="eastAsia"/>
        </w:rPr>
        <w:t>真空泵</w:t>
      </w:r>
      <w:r>
        <w:t>、</w:t>
      </w:r>
      <w:r>
        <w:rPr>
          <w:rFonts w:hint="eastAsia"/>
        </w:rPr>
        <w:t>冷却塔、</w:t>
      </w:r>
      <w:r>
        <w:t>空压机等机械设备，</w:t>
      </w:r>
      <w:r>
        <w:rPr>
          <w:rFonts w:hint="eastAsia"/>
        </w:rPr>
        <w:t>其</w:t>
      </w:r>
      <w:r>
        <w:t>噪声值为70~90dB，在采取了选用低噪声设备</w:t>
      </w:r>
      <w:r>
        <w:rPr>
          <w:rFonts w:hint="eastAsia"/>
        </w:rPr>
        <w:t>、</w:t>
      </w:r>
      <w:r>
        <w:t>基础减振</w:t>
      </w:r>
      <w:r>
        <w:rPr>
          <w:rFonts w:hint="eastAsia"/>
        </w:rPr>
        <w:t>、</w:t>
      </w:r>
      <w:r>
        <w:t>厂房隔声</w:t>
      </w:r>
      <w:r>
        <w:rPr>
          <w:rFonts w:hint="eastAsia"/>
        </w:rPr>
        <w:t>、</w:t>
      </w:r>
      <w:r>
        <w:t>风机风管与设备采用软连接</w:t>
      </w:r>
      <w:r>
        <w:rPr>
          <w:rFonts w:hint="eastAsia"/>
        </w:rPr>
        <w:t>、</w:t>
      </w:r>
      <w:r>
        <w:t>排风口安装消声器</w:t>
      </w:r>
      <w:r>
        <w:rPr>
          <w:rFonts w:hint="eastAsia"/>
        </w:rPr>
        <w:t>、</w:t>
      </w:r>
      <w:r>
        <w:t>生产设备进行合理布局等必要的降噪措施后，可降低噪声10~20dB（A）。</w:t>
      </w:r>
    </w:p>
    <w:p>
      <w:pPr>
        <w:ind w:firstLine="480"/>
      </w:pPr>
      <w:r>
        <w:rPr>
          <w:rFonts w:hint="eastAsia"/>
        </w:rPr>
        <w:t>项目噪声</w:t>
      </w:r>
      <w:r>
        <w:t>源源强核算结果及相关参数见</w:t>
      </w:r>
      <w:r>
        <w:rPr>
          <w:rFonts w:hint="eastAsia"/>
        </w:rPr>
        <w:t>表3.3-8。</w:t>
      </w:r>
    </w:p>
    <w:p>
      <w:pPr>
        <w:ind w:firstLine="480"/>
        <w:rPr>
          <w:highlight w:val="yellow"/>
        </w:rPr>
      </w:pPr>
    </w:p>
    <w:p>
      <w:pPr>
        <w:ind w:firstLine="480"/>
        <w:rPr>
          <w:highlight w:val="yellow"/>
        </w:rPr>
        <w:sectPr>
          <w:headerReference r:id="rId30" w:type="default"/>
          <w:headerReference r:id="rId31" w:type="even"/>
          <w:pgSz w:w="11906" w:h="16838"/>
          <w:pgMar w:top="1440" w:right="1418" w:bottom="1440" w:left="1418" w:header="992" w:footer="992" w:gutter="0"/>
          <w:pgNumType w:fmt="numberInDash"/>
          <w:cols w:space="425" w:num="1"/>
          <w:docGrid w:type="lines" w:linePitch="326" w:charSpace="0"/>
        </w:sectPr>
      </w:pPr>
    </w:p>
    <w:p>
      <w:pPr>
        <w:spacing w:line="240" w:lineRule="auto"/>
        <w:ind w:firstLine="0" w:firstLineChars="0"/>
        <w:jc w:val="center"/>
        <w:rPr>
          <w:b/>
          <w:sz w:val="21"/>
          <w:szCs w:val="24"/>
        </w:rPr>
      </w:pPr>
      <w:bookmarkStart w:id="85" w:name="_Ref26286690"/>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3.3</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9</w:t>
      </w:r>
      <w:r>
        <w:rPr>
          <w:b/>
          <w:sz w:val="21"/>
          <w:szCs w:val="24"/>
        </w:rPr>
        <w:fldChar w:fldCharType="end"/>
      </w:r>
      <w:bookmarkEnd w:id="85"/>
      <w:r>
        <w:rPr>
          <w:b/>
          <w:sz w:val="21"/>
          <w:szCs w:val="24"/>
        </w:rPr>
        <w:t xml:space="preserve">  噪声污染源源强核算结果及相关参数一览表</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7"/>
        <w:gridCol w:w="855"/>
        <w:gridCol w:w="1269"/>
        <w:gridCol w:w="710"/>
        <w:gridCol w:w="992"/>
        <w:gridCol w:w="1135"/>
        <w:gridCol w:w="1559"/>
        <w:gridCol w:w="1839"/>
        <w:gridCol w:w="1280"/>
        <w:gridCol w:w="1135"/>
        <w:gridCol w:w="1576"/>
        <w:gridCol w:w="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97"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工序</w:t>
            </w:r>
          </w:p>
        </w:tc>
        <w:tc>
          <w:tcPr>
            <w:tcW w:w="85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位置</w:t>
            </w:r>
          </w:p>
        </w:tc>
        <w:tc>
          <w:tcPr>
            <w:tcW w:w="1269"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噪声源</w:t>
            </w:r>
          </w:p>
        </w:tc>
        <w:tc>
          <w:tcPr>
            <w:tcW w:w="710"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声源类型</w:t>
            </w:r>
          </w:p>
        </w:tc>
        <w:tc>
          <w:tcPr>
            <w:tcW w:w="992"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数量</w:t>
            </w:r>
          </w:p>
          <w:p>
            <w:pPr>
              <w:autoSpaceDE w:val="0"/>
              <w:autoSpaceDN w:val="0"/>
              <w:snapToGrid/>
              <w:spacing w:line="240" w:lineRule="auto"/>
              <w:ind w:firstLine="0" w:firstLineChars="0"/>
              <w:jc w:val="center"/>
              <w:textAlignment w:val="bottom"/>
              <w:rPr>
                <w:kern w:val="0"/>
                <w:sz w:val="21"/>
                <w:szCs w:val="20"/>
              </w:rPr>
            </w:pPr>
            <w:r>
              <w:rPr>
                <w:kern w:val="0"/>
                <w:sz w:val="21"/>
                <w:szCs w:val="20"/>
              </w:rPr>
              <w:t>（台/套）</w:t>
            </w:r>
          </w:p>
        </w:tc>
        <w:tc>
          <w:tcPr>
            <w:tcW w:w="2694" w:type="dxa"/>
            <w:gridSpan w:val="2"/>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噪声产生量</w:t>
            </w:r>
          </w:p>
        </w:tc>
        <w:tc>
          <w:tcPr>
            <w:tcW w:w="3119" w:type="dxa"/>
            <w:gridSpan w:val="2"/>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降噪措施</w:t>
            </w:r>
          </w:p>
        </w:tc>
        <w:tc>
          <w:tcPr>
            <w:tcW w:w="2711" w:type="dxa"/>
            <w:gridSpan w:val="2"/>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噪声排放量</w:t>
            </w:r>
          </w:p>
        </w:tc>
        <w:tc>
          <w:tcPr>
            <w:tcW w:w="92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持续时间（h）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710"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992"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核算方法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声源表达量（dB（A））</w:t>
            </w:r>
          </w:p>
        </w:tc>
        <w:tc>
          <w:tcPr>
            <w:tcW w:w="183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工艺</w:t>
            </w:r>
          </w:p>
        </w:tc>
        <w:tc>
          <w:tcPr>
            <w:tcW w:w="1280" w:type="dxa"/>
            <w:shd w:val="clear" w:color="auto" w:fill="auto"/>
            <w:vAlign w:val="center"/>
          </w:tcPr>
          <w:p>
            <w:pPr>
              <w:autoSpaceDE w:val="0"/>
              <w:autoSpaceDN w:val="0"/>
              <w:snapToGrid/>
              <w:spacing w:line="240" w:lineRule="auto"/>
              <w:ind w:firstLine="0" w:firstLineChars="0"/>
              <w:textAlignment w:val="bottom"/>
              <w:rPr>
                <w:kern w:val="0"/>
                <w:sz w:val="21"/>
                <w:szCs w:val="20"/>
              </w:rPr>
            </w:pPr>
            <w:r>
              <w:rPr>
                <w:kern w:val="0"/>
                <w:sz w:val="21"/>
                <w:szCs w:val="20"/>
              </w:rPr>
              <w:t>降噪效果</w:t>
            </w:r>
          </w:p>
          <w:p>
            <w:pPr>
              <w:autoSpaceDE w:val="0"/>
              <w:autoSpaceDN w:val="0"/>
              <w:snapToGrid/>
              <w:spacing w:line="240" w:lineRule="auto"/>
              <w:ind w:firstLine="0" w:firstLineChars="0"/>
              <w:textAlignment w:val="bottom"/>
              <w:rPr>
                <w:kern w:val="0"/>
                <w:sz w:val="21"/>
                <w:szCs w:val="20"/>
              </w:rPr>
            </w:pPr>
            <w:r>
              <w:rPr>
                <w:kern w:val="0"/>
                <w:sz w:val="21"/>
                <w:szCs w:val="20"/>
              </w:rPr>
              <w:t>（dB（A））</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核算方法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声源表达量（dB（A））</w:t>
            </w:r>
          </w:p>
        </w:tc>
        <w:tc>
          <w:tcPr>
            <w:tcW w:w="92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清理</w:t>
            </w:r>
          </w:p>
        </w:tc>
        <w:tc>
          <w:tcPr>
            <w:tcW w:w="85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车间</w:t>
            </w:r>
            <w:r>
              <w:rPr>
                <w:rFonts w:hint="eastAsia"/>
                <w:kern w:val="0"/>
                <w:sz w:val="21"/>
                <w:szCs w:val="20"/>
              </w:rPr>
              <w:t>二</w:t>
            </w: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圆锥初清筛</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85</w:t>
            </w:r>
          </w:p>
        </w:tc>
        <w:tc>
          <w:tcPr>
            <w:tcW w:w="1839"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选用</w:t>
            </w:r>
            <w:r>
              <w:rPr>
                <w:kern w:val="0"/>
                <w:sz w:val="21"/>
                <w:szCs w:val="20"/>
              </w:rPr>
              <w:t>低噪声设备，加减振基础、设置在厂房内、</w:t>
            </w:r>
            <w:r>
              <w:rPr>
                <w:rFonts w:hint="eastAsia"/>
                <w:kern w:val="0"/>
                <w:sz w:val="21"/>
                <w:szCs w:val="20"/>
              </w:rPr>
              <w:t>厂房</w:t>
            </w:r>
            <w:r>
              <w:rPr>
                <w:kern w:val="0"/>
                <w:sz w:val="21"/>
                <w:szCs w:val="20"/>
              </w:rPr>
              <w:t>及窗户封闭</w:t>
            </w:r>
            <w:r>
              <w:rPr>
                <w:rFonts w:hint="eastAsia"/>
                <w:kern w:val="0"/>
                <w:sz w:val="21"/>
                <w:szCs w:val="20"/>
              </w:rPr>
              <w:t>，</w:t>
            </w:r>
            <w:r>
              <w:rPr>
                <w:kern w:val="0"/>
                <w:sz w:val="21"/>
                <w:szCs w:val="20"/>
              </w:rPr>
              <w:t>风机软连接</w:t>
            </w:r>
            <w:r>
              <w:rPr>
                <w:rFonts w:hint="eastAsia"/>
                <w:kern w:val="0"/>
                <w:sz w:val="21"/>
                <w:szCs w:val="20"/>
              </w:rPr>
              <w:t>，</w:t>
            </w:r>
            <w:r>
              <w:rPr>
                <w:kern w:val="0"/>
                <w:sz w:val="21"/>
                <w:szCs w:val="20"/>
              </w:rPr>
              <w:t>风机安装减振垫、风管与设备采用软连接，排风口安装消声器</w:t>
            </w: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tabs>
                <w:tab w:val="left" w:pos="2340"/>
              </w:tabs>
              <w:adjustRightInd/>
              <w:spacing w:line="240" w:lineRule="auto"/>
              <w:ind w:firstLine="0" w:firstLineChars="0"/>
              <w:jc w:val="center"/>
              <w:rPr>
                <w:kern w:val="0"/>
                <w:sz w:val="21"/>
                <w:szCs w:val="20"/>
              </w:rPr>
            </w:pPr>
            <w:r>
              <w:rPr>
                <w:rFonts w:hint="eastAsia"/>
                <w:kern w:val="0"/>
                <w:sz w:val="21"/>
                <w:szCs w:val="20"/>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粗</w:t>
            </w:r>
            <w:r>
              <w:rPr>
                <w:kern w:val="0"/>
                <w:sz w:val="21"/>
                <w:szCs w:val="20"/>
              </w:rPr>
              <w:t>粉</w:t>
            </w: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锤片粉碎机</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90</w:t>
            </w:r>
          </w:p>
        </w:tc>
        <w:tc>
          <w:tcPr>
            <w:tcW w:w="1839" w:type="dxa"/>
            <w:vMerge w:val="continue"/>
            <w:shd w:val="clear" w:color="auto" w:fill="auto"/>
            <w:vAlign w:val="center"/>
          </w:tcPr>
          <w:p>
            <w:pPr>
              <w:autoSpaceDE w:val="0"/>
              <w:autoSpaceDN w:val="0"/>
              <w:spacing w:line="240" w:lineRule="auto"/>
              <w:ind w:firstLine="42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75</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微粉</w:t>
            </w: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超微粉粉碎机组</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脉冲除尘器</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引风机</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萃取</w:t>
            </w:r>
          </w:p>
        </w:tc>
        <w:tc>
          <w:tcPr>
            <w:tcW w:w="85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车间</w:t>
            </w:r>
            <w:r>
              <w:rPr>
                <w:rFonts w:hint="eastAsia"/>
                <w:kern w:val="0"/>
                <w:sz w:val="21"/>
                <w:szCs w:val="20"/>
              </w:rPr>
              <w:t>一</w:t>
            </w: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捏合循环泵</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卸料除尘器</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pStyle w:val="93"/>
              <w:rPr>
                <w:b w:val="0"/>
              </w:rPr>
            </w:pPr>
            <w:r>
              <w:rPr>
                <w:rFonts w:hint="eastAsia"/>
                <w:b w:val="0"/>
              </w:rPr>
              <w:t>脉冲除尘器</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pStyle w:val="93"/>
              <w:rPr>
                <w:b w:val="0"/>
              </w:rPr>
            </w:pPr>
            <w:r>
              <w:rPr>
                <w:rFonts w:hint="eastAsia"/>
                <w:b w:val="0"/>
              </w:rPr>
              <w:t>1#出料泵</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pStyle w:val="93"/>
              <w:rPr>
                <w:b w:val="0"/>
              </w:rPr>
            </w:pPr>
            <w:r>
              <w:rPr>
                <w:rFonts w:hint="eastAsia"/>
                <w:b w:val="0"/>
              </w:rPr>
              <w:t>叶片过滤机</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pStyle w:val="93"/>
              <w:rPr>
                <w:b w:val="0"/>
              </w:rPr>
            </w:pPr>
            <w:r>
              <w:rPr>
                <w:rFonts w:hint="eastAsia"/>
                <w:b w:val="0"/>
              </w:rPr>
              <w:t>2#出料泵</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叶片过滤机</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w:t>
            </w:r>
            <w:r>
              <w:rPr>
                <w:kern w:val="0"/>
                <w:sz w:val="21"/>
                <w:szCs w:val="20"/>
              </w:rPr>
              <w:t>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1#水环真空泵</w:t>
            </w:r>
          </w:p>
        </w:tc>
        <w:tc>
          <w:tcPr>
            <w:tcW w:w="71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3#出料泵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选用</w:t>
            </w:r>
            <w:r>
              <w:rPr>
                <w:kern w:val="0"/>
                <w:sz w:val="21"/>
                <w:szCs w:val="20"/>
              </w:rPr>
              <w:t>低噪声设备，加减振基础、设置在厂房内、</w:t>
            </w:r>
            <w:r>
              <w:rPr>
                <w:rFonts w:hint="eastAsia"/>
                <w:kern w:val="0"/>
                <w:sz w:val="21"/>
                <w:szCs w:val="20"/>
              </w:rPr>
              <w:t>厂房</w:t>
            </w:r>
            <w:r>
              <w:rPr>
                <w:kern w:val="0"/>
                <w:sz w:val="21"/>
                <w:szCs w:val="20"/>
              </w:rPr>
              <w:t>及窗户封闭</w:t>
            </w:r>
            <w:r>
              <w:rPr>
                <w:rFonts w:hint="eastAsia"/>
                <w:kern w:val="0"/>
                <w:sz w:val="21"/>
                <w:szCs w:val="20"/>
              </w:rPr>
              <w:t>，</w:t>
            </w:r>
            <w:r>
              <w:rPr>
                <w:kern w:val="0"/>
                <w:sz w:val="21"/>
                <w:szCs w:val="20"/>
              </w:rPr>
              <w:t>风机软连接</w:t>
            </w:r>
            <w:r>
              <w:rPr>
                <w:rFonts w:hint="eastAsia"/>
                <w:kern w:val="0"/>
                <w:sz w:val="21"/>
                <w:szCs w:val="20"/>
              </w:rPr>
              <w:t>，</w:t>
            </w:r>
            <w:r>
              <w:rPr>
                <w:kern w:val="0"/>
                <w:sz w:val="21"/>
                <w:szCs w:val="20"/>
              </w:rPr>
              <w:t>风机安装减振垫、风管与设备采用软连接，排风口安装消声器</w:t>
            </w: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叶片过滤机</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4#出料泵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叶片过滤机</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highlight w:val="yellow"/>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1#水环真空泵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蒸发浓缩</w:t>
            </w:r>
          </w:p>
        </w:tc>
        <w:tc>
          <w:tcPr>
            <w:tcW w:w="855" w:type="dxa"/>
            <w:vMerge w:val="restart"/>
            <w:shd w:val="clear" w:color="auto" w:fill="auto"/>
            <w:vAlign w:val="center"/>
          </w:tcPr>
          <w:p>
            <w:pPr>
              <w:pStyle w:val="97"/>
            </w:pPr>
            <w:r>
              <w:rPr>
                <w:rFonts w:hint="eastAsia"/>
              </w:rPr>
              <w:t>车间</w:t>
            </w:r>
            <w:r>
              <w:t>一</w:t>
            </w: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1级抽出泵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3</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脉冲除尘器</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脱色抽出泵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引风机</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90</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脉冲除尘器</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抽出泵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酸解</w:t>
            </w: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酸化抽出泵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w:t>
            </w:r>
            <w:r>
              <w:rPr>
                <w:kern w:val="0"/>
                <w:sz w:val="21"/>
                <w:szCs w:val="20"/>
              </w:rPr>
              <w:t>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烘干</w:t>
            </w:r>
            <w:r>
              <w:rPr>
                <w:kern w:val="0"/>
                <w:sz w:val="21"/>
                <w:szCs w:val="20"/>
              </w:rPr>
              <w:t>、浓缩</w:t>
            </w:r>
            <w:r>
              <w:rPr>
                <w:rFonts w:hint="eastAsia"/>
                <w:kern w:val="0"/>
                <w:sz w:val="21"/>
                <w:szCs w:val="20"/>
              </w:rPr>
              <w:t>、</w:t>
            </w:r>
            <w:r>
              <w:rPr>
                <w:kern w:val="0"/>
                <w:sz w:val="21"/>
                <w:szCs w:val="20"/>
              </w:rPr>
              <w:t>结晶</w:t>
            </w:r>
          </w:p>
        </w:tc>
        <w:tc>
          <w:tcPr>
            <w:tcW w:w="855"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车间二</w:t>
            </w:r>
          </w:p>
        </w:tc>
        <w:tc>
          <w:tcPr>
            <w:tcW w:w="1269" w:type="dxa"/>
            <w:shd w:val="clear" w:color="auto" w:fill="auto"/>
            <w:vAlign w:val="center"/>
          </w:tcPr>
          <w:p>
            <w:pPr>
              <w:pStyle w:val="93"/>
              <w:rPr>
                <w:b w:val="0"/>
              </w:rPr>
            </w:pPr>
            <w:r>
              <w:rPr>
                <w:rFonts w:hint="eastAsia"/>
                <w:b w:val="0"/>
              </w:rPr>
              <w:t>物料抽出泵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restart"/>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选用</w:t>
            </w:r>
            <w:r>
              <w:rPr>
                <w:kern w:val="0"/>
                <w:sz w:val="21"/>
                <w:szCs w:val="20"/>
              </w:rPr>
              <w:t>低噪声设备，加减振基础、设置在厂房内、</w:t>
            </w:r>
            <w:r>
              <w:rPr>
                <w:rFonts w:hint="eastAsia"/>
                <w:kern w:val="0"/>
                <w:sz w:val="21"/>
                <w:szCs w:val="20"/>
              </w:rPr>
              <w:t>厂房</w:t>
            </w:r>
            <w:r>
              <w:rPr>
                <w:kern w:val="0"/>
                <w:sz w:val="21"/>
                <w:szCs w:val="20"/>
              </w:rPr>
              <w:t>及窗户封闭</w:t>
            </w:r>
            <w:r>
              <w:rPr>
                <w:rFonts w:hint="eastAsia"/>
                <w:kern w:val="0"/>
                <w:sz w:val="21"/>
                <w:szCs w:val="20"/>
              </w:rPr>
              <w:t>，</w:t>
            </w:r>
            <w:r>
              <w:rPr>
                <w:kern w:val="0"/>
                <w:sz w:val="21"/>
                <w:szCs w:val="20"/>
              </w:rPr>
              <w:t>风机软连接</w:t>
            </w:r>
            <w:r>
              <w:rPr>
                <w:rFonts w:hint="eastAsia"/>
                <w:kern w:val="0"/>
                <w:sz w:val="21"/>
                <w:szCs w:val="20"/>
              </w:rPr>
              <w:t>，</w:t>
            </w:r>
            <w:r>
              <w:rPr>
                <w:kern w:val="0"/>
                <w:sz w:val="21"/>
                <w:szCs w:val="20"/>
              </w:rPr>
              <w:t>风机安装减振垫、风管与设备采用软连接，排风口安装消声器</w:t>
            </w: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w:t>
            </w:r>
            <w:r>
              <w:rPr>
                <w:kern w:val="0"/>
                <w:sz w:val="21"/>
                <w:szCs w:val="20"/>
              </w:rPr>
              <w:t>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pStyle w:val="93"/>
              <w:rPr>
                <w:b w:val="0"/>
              </w:rPr>
            </w:pPr>
            <w:r>
              <w:rPr>
                <w:rFonts w:hint="eastAsia"/>
                <w:b w:val="0"/>
              </w:rPr>
              <w:t>循环水泵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真空泵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w:t>
            </w:r>
            <w:r>
              <w:rPr>
                <w:kern w:val="0"/>
                <w:sz w:val="21"/>
                <w:szCs w:val="20"/>
              </w:rPr>
              <w:t>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冷却塔</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循环水泵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空压机组</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90</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冷却水泵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7"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855"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6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冷冻循环水泵</w:t>
            </w:r>
          </w:p>
        </w:tc>
        <w:tc>
          <w:tcPr>
            <w:tcW w:w="710" w:type="dxa"/>
            <w:shd w:val="clear" w:color="auto" w:fill="auto"/>
            <w:vAlign w:val="center"/>
          </w:tcPr>
          <w:p>
            <w:pPr>
              <w:pStyle w:val="97"/>
            </w:pPr>
            <w:r>
              <w:t>频发</w:t>
            </w:r>
          </w:p>
        </w:tc>
        <w:tc>
          <w:tcPr>
            <w:tcW w:w="992"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135" w:type="dxa"/>
            <w:shd w:val="clear" w:color="auto" w:fill="auto"/>
            <w:vAlign w:val="center"/>
          </w:tcPr>
          <w:p>
            <w:pPr>
              <w:pStyle w:val="97"/>
            </w:pPr>
            <w:r>
              <w:t>类比法</w:t>
            </w:r>
          </w:p>
        </w:tc>
        <w:tc>
          <w:tcPr>
            <w:tcW w:w="1559"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1839" w:type="dxa"/>
            <w:vMerge w:val="continue"/>
            <w:shd w:val="clear" w:color="auto" w:fill="auto"/>
            <w:vAlign w:val="center"/>
          </w:tcPr>
          <w:p>
            <w:pPr>
              <w:autoSpaceDE w:val="0"/>
              <w:autoSpaceDN w:val="0"/>
              <w:snapToGrid/>
              <w:spacing w:line="240" w:lineRule="auto"/>
              <w:ind w:firstLine="0" w:firstLineChars="0"/>
              <w:jc w:val="center"/>
              <w:textAlignment w:val="bottom"/>
              <w:rPr>
                <w:kern w:val="0"/>
                <w:sz w:val="21"/>
                <w:szCs w:val="20"/>
              </w:rPr>
            </w:pPr>
          </w:p>
        </w:tc>
        <w:tc>
          <w:tcPr>
            <w:tcW w:w="1280"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5</w:t>
            </w:r>
          </w:p>
        </w:tc>
        <w:tc>
          <w:tcPr>
            <w:tcW w:w="1135" w:type="dxa"/>
            <w:shd w:val="clear" w:color="auto" w:fill="auto"/>
            <w:vAlign w:val="center"/>
          </w:tcPr>
          <w:p>
            <w:pPr>
              <w:pStyle w:val="97"/>
            </w:pPr>
            <w:r>
              <w:t>类比法</w:t>
            </w:r>
          </w:p>
        </w:tc>
        <w:tc>
          <w:tcPr>
            <w:tcW w:w="1576" w:type="dxa"/>
            <w:shd w:val="clear" w:color="auto" w:fill="auto"/>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925" w:type="dxa"/>
            <w:shd w:val="clear" w:color="auto" w:fill="auto"/>
            <w:vAlign w:val="center"/>
          </w:tcPr>
          <w:p>
            <w:pPr>
              <w:pStyle w:val="97"/>
            </w:pPr>
            <w:r>
              <w:rPr>
                <w:rFonts w:hint="eastAsia"/>
              </w:rPr>
              <w:t>4320</w:t>
            </w:r>
          </w:p>
        </w:tc>
      </w:tr>
    </w:tbl>
    <w:p>
      <w:pPr>
        <w:ind w:firstLine="480"/>
        <w:rPr>
          <w:highlight w:val="yellow"/>
        </w:rPr>
        <w:sectPr>
          <w:headerReference r:id="rId32" w:type="default"/>
          <w:headerReference r:id="rId33" w:type="even"/>
          <w:pgSz w:w="16838" w:h="11906" w:orient="landscape"/>
          <w:pgMar w:top="1418" w:right="1418" w:bottom="1418" w:left="1418" w:header="992" w:footer="992" w:gutter="0"/>
          <w:pgNumType w:fmt="numberInDash"/>
          <w:cols w:space="425" w:num="1"/>
          <w:docGrid w:type="lines" w:linePitch="326" w:charSpace="0"/>
        </w:sectPr>
      </w:pPr>
    </w:p>
    <w:p>
      <w:pPr>
        <w:pStyle w:val="5"/>
      </w:pPr>
      <w:r>
        <w:rPr>
          <w:rFonts w:hint="eastAsia"/>
        </w:rPr>
        <w:t>固体废物</w:t>
      </w:r>
    </w:p>
    <w:p>
      <w:pPr>
        <w:pStyle w:val="87"/>
        <w:ind w:firstLine="480"/>
      </w:pPr>
      <w:r>
        <w:rPr>
          <w:rFonts w:hint="eastAsia"/>
        </w:rPr>
        <w:t>本项目</w:t>
      </w:r>
      <w:r>
        <w:t>产生的固体废物主要</w:t>
      </w:r>
      <w:r>
        <w:rPr>
          <w:rFonts w:hint="eastAsia"/>
        </w:rPr>
        <w:t>为废渣</w:t>
      </w:r>
      <w:r>
        <w:t>、</w:t>
      </w:r>
      <w:r>
        <w:rPr>
          <w:rFonts w:hint="eastAsia"/>
        </w:rPr>
        <w:t>设备维修</w:t>
      </w:r>
      <w:r>
        <w:t>和保养过程中产生的废含油抹布、</w:t>
      </w:r>
      <w:r>
        <w:rPr>
          <w:rFonts w:hint="eastAsia"/>
        </w:rPr>
        <w:t>酸液</w:t>
      </w:r>
      <w:r>
        <w:t>回收处理产生的废活性炭、</w:t>
      </w:r>
      <w:r>
        <w:rPr>
          <w:rFonts w:hint="eastAsia"/>
        </w:rPr>
        <w:t>员工生活产生</w:t>
      </w:r>
      <w:r>
        <w:t>的</w:t>
      </w:r>
      <w:r>
        <w:rPr>
          <w:rFonts w:hint="eastAsia"/>
        </w:rPr>
        <w:t>员工</w:t>
      </w:r>
      <w:r>
        <w:t>生活垃圾等</w:t>
      </w:r>
      <w:r>
        <w:rPr>
          <w:rFonts w:hint="eastAsia"/>
        </w:rPr>
        <w:t>。</w:t>
      </w:r>
    </w:p>
    <w:p>
      <w:pPr>
        <w:pStyle w:val="87"/>
        <w:ind w:firstLine="482"/>
        <w:rPr>
          <w:b/>
        </w:rPr>
      </w:pPr>
      <w:r>
        <w:rPr>
          <w:b/>
        </w:rPr>
        <w:t>1</w:t>
      </w:r>
      <w:r>
        <w:rPr>
          <w:rFonts w:hint="eastAsia"/>
          <w:b/>
        </w:rPr>
        <w:t>、</w:t>
      </w:r>
      <w:r>
        <w:rPr>
          <w:b/>
        </w:rPr>
        <w:t>废渣</w:t>
      </w:r>
    </w:p>
    <w:p>
      <w:pPr>
        <w:pStyle w:val="87"/>
        <w:ind w:firstLine="480"/>
      </w:pPr>
      <w:r>
        <w:rPr>
          <w:rFonts w:hint="eastAsia"/>
        </w:rPr>
        <w:t>项目</w:t>
      </w:r>
      <w:r>
        <w:t>提取生产过程中会产生</w:t>
      </w:r>
      <w:r>
        <w:rPr>
          <w:rFonts w:hint="eastAsia"/>
        </w:rPr>
        <w:t>废渣，</w:t>
      </w:r>
      <w:r>
        <w:t>根据建设单位提供的</w:t>
      </w:r>
      <w:r>
        <w:rPr>
          <w:rFonts w:hint="eastAsia"/>
        </w:rPr>
        <w:t>数据，</w:t>
      </w:r>
      <w:r>
        <w:t>废渣年产生量为178.39t/a</w:t>
      </w:r>
      <w:r>
        <w:rPr>
          <w:rFonts w:hint="eastAsia"/>
        </w:rPr>
        <w:t>，主要</w:t>
      </w:r>
      <w:r>
        <w:t>成分为蛋白质和</w:t>
      </w:r>
      <w:r>
        <w:rPr>
          <w:rFonts w:hint="eastAsia"/>
        </w:rPr>
        <w:t>纤维素</w:t>
      </w:r>
      <w:r>
        <w:t>，</w:t>
      </w:r>
      <w:r>
        <w:rPr>
          <w:rFonts w:hint="eastAsia"/>
        </w:rPr>
        <w:t>为</w:t>
      </w:r>
      <w:r>
        <w:t>一般固体废物，</w:t>
      </w:r>
      <w:r>
        <w:rPr>
          <w:rFonts w:hint="eastAsia"/>
        </w:rPr>
        <w:t>外售</w:t>
      </w:r>
      <w:r>
        <w:t>综合利用</w:t>
      </w:r>
      <w:r>
        <w:rPr>
          <w:rFonts w:hint="eastAsia"/>
        </w:rPr>
        <w:t>。</w:t>
      </w:r>
    </w:p>
    <w:p>
      <w:pPr>
        <w:pStyle w:val="87"/>
        <w:ind w:firstLine="482"/>
        <w:rPr>
          <w:b/>
        </w:rPr>
      </w:pPr>
      <w:r>
        <w:rPr>
          <w:rFonts w:hint="eastAsia"/>
          <w:b/>
        </w:rPr>
        <w:t>2、</w:t>
      </w:r>
      <w:r>
        <w:rPr>
          <w:b/>
        </w:rPr>
        <w:t>废含油抹布</w:t>
      </w:r>
    </w:p>
    <w:p>
      <w:pPr>
        <w:pStyle w:val="87"/>
        <w:ind w:firstLine="480"/>
      </w:pPr>
      <w:r>
        <w:rPr>
          <w:rFonts w:hint="eastAsia"/>
        </w:rPr>
        <w:t>项目生产设备维护</w:t>
      </w:r>
      <w:r>
        <w:t>、维修过程</w:t>
      </w:r>
      <w:r>
        <w:rPr>
          <w:rFonts w:hint="eastAsia"/>
        </w:rPr>
        <w:t>将</w:t>
      </w:r>
      <w:r>
        <w:t>产生一定量的</w:t>
      </w:r>
      <w:r>
        <w:rPr>
          <w:rFonts w:hint="eastAsia"/>
        </w:rPr>
        <w:t>废含油抹布</w:t>
      </w:r>
      <w:r>
        <w:t>，根据建设单位提供资料，废含油抹布产生量约为</w:t>
      </w:r>
      <w:r>
        <w:rPr>
          <w:rFonts w:hint="eastAsia"/>
        </w:rPr>
        <w:t>0.1</w:t>
      </w:r>
      <w:r>
        <w:t>t/a，根据《</w:t>
      </w:r>
      <w:r>
        <w:rPr>
          <w:rFonts w:hint="eastAsia"/>
        </w:rPr>
        <w:t>国家</w:t>
      </w:r>
      <w:r>
        <w:t>危险废物名录》</w:t>
      </w:r>
      <w:r>
        <w:rPr>
          <w:rFonts w:hint="eastAsia"/>
        </w:rPr>
        <w:t>（2021版），</w:t>
      </w:r>
      <w:r>
        <w:t>废含油抹布属于危险废物，废物类别属于HW49</w:t>
      </w:r>
      <w:r>
        <w:rPr>
          <w:rFonts w:hint="eastAsia"/>
        </w:rPr>
        <w:t>其他废物</w:t>
      </w:r>
      <w:r>
        <w:t>——非特定行业——废物代码</w:t>
      </w:r>
      <w:r>
        <w:rPr>
          <w:rFonts w:hint="eastAsia"/>
        </w:rPr>
        <w:t>900-041-49——</w:t>
      </w:r>
      <w:r>
        <w:t>含油或沾染毒性、感染性危险废物的</w:t>
      </w:r>
      <w:r>
        <w:rPr>
          <w:rFonts w:hint="eastAsia"/>
        </w:rPr>
        <w:t>废弃</w:t>
      </w:r>
      <w:r>
        <w:t>包装物、容器、</w:t>
      </w:r>
      <w:r>
        <w:rPr>
          <w:rFonts w:hint="eastAsia"/>
        </w:rPr>
        <w:t>过滤</w:t>
      </w:r>
      <w:r>
        <w:t>吸附介质。集中</w:t>
      </w:r>
      <w:r>
        <w:rPr>
          <w:rFonts w:hint="eastAsia"/>
        </w:rPr>
        <w:t>收集</w:t>
      </w:r>
      <w:r>
        <w:t>后在危险废物暂存间暂存，交有资质单位处置。</w:t>
      </w:r>
    </w:p>
    <w:p>
      <w:pPr>
        <w:pStyle w:val="87"/>
        <w:ind w:firstLine="482"/>
        <w:rPr>
          <w:b/>
        </w:rPr>
      </w:pPr>
      <w:r>
        <w:rPr>
          <w:rFonts w:hint="eastAsia"/>
          <w:b/>
        </w:rPr>
        <w:t>3、废</w:t>
      </w:r>
      <w:r>
        <w:rPr>
          <w:b/>
        </w:rPr>
        <w:t>活性炭</w:t>
      </w:r>
    </w:p>
    <w:p>
      <w:pPr>
        <w:pStyle w:val="87"/>
        <w:ind w:firstLine="480"/>
      </w:pPr>
      <w:r>
        <w:rPr>
          <w:rFonts w:hint="eastAsia"/>
        </w:rPr>
        <w:t>项目</w:t>
      </w:r>
      <w:r>
        <w:t>酸解后的</w:t>
      </w:r>
      <w:r>
        <w:rPr>
          <w:rFonts w:hint="eastAsia"/>
        </w:rPr>
        <w:t>液态</w:t>
      </w:r>
      <w:r>
        <w:t>废液</w:t>
      </w:r>
      <w:r>
        <w:rPr>
          <w:rFonts w:hint="eastAsia"/>
        </w:rPr>
        <w:t>经</w:t>
      </w:r>
      <w:r>
        <w:t>活性炭吸附</w:t>
      </w:r>
      <w:r>
        <w:rPr>
          <w:rFonts w:hint="eastAsia"/>
        </w:rPr>
        <w:t>后</w:t>
      </w:r>
      <w:r>
        <w:t>循环使用，</w:t>
      </w:r>
      <w:r>
        <w:rPr>
          <w:rFonts w:hint="eastAsia"/>
        </w:rPr>
        <w:t>活性炭</w:t>
      </w:r>
      <w:r>
        <w:t>吸附过程中会产生废活性炭，根据</w:t>
      </w:r>
      <w:r>
        <w:rPr>
          <w:rFonts w:hint="eastAsia"/>
        </w:rPr>
        <w:t>建设</w:t>
      </w:r>
      <w:r>
        <w:t>单位提供数据</w:t>
      </w:r>
      <w:r>
        <w:rPr>
          <w:rFonts w:hint="eastAsia"/>
        </w:rPr>
        <w:t>，</w:t>
      </w:r>
      <w:r>
        <w:t>废活性炭</w:t>
      </w:r>
      <w:r>
        <w:rPr>
          <w:rFonts w:hint="eastAsia"/>
        </w:rPr>
        <w:t>最大产生量</w:t>
      </w:r>
      <w:r>
        <w:t>为</w:t>
      </w:r>
      <w:r>
        <w:rPr>
          <w:rFonts w:hint="eastAsia"/>
        </w:rPr>
        <w:t>32</w:t>
      </w:r>
      <w:r>
        <w:t>kg/</w:t>
      </w:r>
      <w:r>
        <w:rPr>
          <w:rFonts w:hint="eastAsia"/>
        </w:rPr>
        <w:t>次</w:t>
      </w:r>
      <w:r>
        <w:t>，</w:t>
      </w:r>
      <w:r>
        <w:rPr>
          <w:rFonts w:hint="eastAsia"/>
        </w:rPr>
        <w:t>每三天</w:t>
      </w:r>
      <w:r>
        <w:t>更换一次，则废活性炭产生量为</w:t>
      </w:r>
      <w:r>
        <w:rPr>
          <w:rFonts w:hint="eastAsia"/>
        </w:rPr>
        <w:t>1.92</w:t>
      </w:r>
      <w:r>
        <w:t>t/a，根据《</w:t>
      </w:r>
      <w:r>
        <w:rPr>
          <w:rFonts w:hint="eastAsia"/>
        </w:rPr>
        <w:t>国家</w:t>
      </w:r>
      <w:r>
        <w:t>危险废物名录》</w:t>
      </w:r>
      <w:r>
        <w:rPr>
          <w:rFonts w:hint="eastAsia"/>
        </w:rPr>
        <w:t>（2021版），废活性炭</w:t>
      </w:r>
      <w:r>
        <w:t>属于危险废物，废物类别</w:t>
      </w:r>
      <w:r>
        <w:rPr>
          <w:rFonts w:hint="eastAsia"/>
        </w:rPr>
        <w:t>属于</w:t>
      </w:r>
      <w:r>
        <w:t>HW49</w:t>
      </w:r>
      <w:r>
        <w:rPr>
          <w:rFonts w:hint="eastAsia"/>
        </w:rPr>
        <w:t>其他</w:t>
      </w:r>
      <w:r>
        <w:t>废物——</w:t>
      </w:r>
      <w:r>
        <w:rPr>
          <w:rFonts w:hint="eastAsia"/>
        </w:rPr>
        <w:t>非特定行业</w:t>
      </w:r>
      <w:r>
        <w:t>—</w:t>
      </w:r>
      <w:r>
        <w:rPr>
          <w:rFonts w:hint="eastAsia"/>
        </w:rPr>
        <w:t>废物代码900-039-49—化学</w:t>
      </w:r>
      <w:r>
        <w:t>原料和化学</w:t>
      </w:r>
      <w:r>
        <w:rPr>
          <w:rFonts w:hint="eastAsia"/>
        </w:rPr>
        <w:t>制品</w:t>
      </w:r>
      <w:r>
        <w:t>脱色（</w:t>
      </w:r>
      <w:r>
        <w:rPr>
          <w:rFonts w:hint="eastAsia"/>
        </w:rPr>
        <w:t>不包括有机</w:t>
      </w:r>
      <w:r>
        <w:t>合成</w:t>
      </w:r>
      <w:r>
        <w:rPr>
          <w:rFonts w:hint="eastAsia"/>
        </w:rPr>
        <w:t>食品</w:t>
      </w:r>
      <w:r>
        <w:t>添加剂脱色）</w:t>
      </w:r>
      <w:r>
        <w:rPr>
          <w:rFonts w:hint="eastAsia"/>
        </w:rPr>
        <w:t>、</w:t>
      </w:r>
      <w:r>
        <w:t>除杂、</w:t>
      </w:r>
      <w:r>
        <w:rPr>
          <w:rFonts w:hint="eastAsia"/>
        </w:rPr>
        <w:t>净化过程</w:t>
      </w:r>
      <w:r>
        <w:t>产生</w:t>
      </w:r>
      <w:r>
        <w:rPr>
          <w:rFonts w:hint="eastAsia"/>
        </w:rPr>
        <w:t>的</w:t>
      </w:r>
      <w:r>
        <w:t>废活性炭。</w:t>
      </w:r>
    </w:p>
    <w:p>
      <w:pPr>
        <w:pStyle w:val="87"/>
        <w:ind w:firstLine="482"/>
      </w:pPr>
      <w:r>
        <w:rPr>
          <w:rFonts w:hint="eastAsia"/>
          <w:b/>
        </w:rPr>
        <w:t>4、</w:t>
      </w:r>
      <w:r>
        <w:rPr>
          <w:b/>
        </w:rPr>
        <w:t>生活垃圾</w:t>
      </w:r>
    </w:p>
    <w:p>
      <w:pPr>
        <w:pStyle w:val="87"/>
        <w:ind w:firstLine="480"/>
      </w:pPr>
      <w:r>
        <w:t>本项目劳动</w:t>
      </w:r>
      <w:r>
        <w:rPr>
          <w:rFonts w:hint="eastAsia"/>
        </w:rPr>
        <w:t>定员为30</w:t>
      </w:r>
      <w:r>
        <w:t>人，人均生活垃圾的产生量按照0.5kg/d计算，则生活垃圾的产生量为2.7t/a，收集后</w:t>
      </w:r>
      <w:r>
        <w:rPr>
          <w:rFonts w:hint="eastAsia"/>
        </w:rPr>
        <w:t>由</w:t>
      </w:r>
      <w:r>
        <w:t>环卫部门统一处理。</w:t>
      </w:r>
    </w:p>
    <w:p>
      <w:pPr>
        <w:pStyle w:val="87"/>
        <w:ind w:firstLine="480"/>
        <w:rPr>
          <w:highlight w:val="yellow"/>
        </w:rPr>
      </w:pPr>
    </w:p>
    <w:p>
      <w:pPr>
        <w:pStyle w:val="87"/>
        <w:ind w:firstLine="480"/>
        <w:rPr>
          <w:highlight w:val="yellow"/>
        </w:rPr>
      </w:pPr>
    </w:p>
    <w:p>
      <w:pPr>
        <w:ind w:firstLine="480"/>
        <w:rPr>
          <w:highlight w:val="yellow"/>
        </w:rPr>
      </w:pPr>
    </w:p>
    <w:p>
      <w:pPr>
        <w:ind w:firstLine="480"/>
        <w:rPr>
          <w:highlight w:val="yellow"/>
        </w:rPr>
      </w:pPr>
    </w:p>
    <w:p>
      <w:pPr>
        <w:ind w:firstLine="480"/>
        <w:rPr>
          <w:highlight w:val="yellow"/>
        </w:rPr>
      </w:pPr>
    </w:p>
    <w:p>
      <w:pPr>
        <w:pStyle w:val="5"/>
        <w:rPr>
          <w:highlight w:val="yellow"/>
        </w:rPr>
        <w:sectPr>
          <w:headerReference r:id="rId34" w:type="default"/>
          <w:headerReference r:id="rId35" w:type="even"/>
          <w:pgSz w:w="11906" w:h="16838"/>
          <w:pgMar w:top="1440" w:right="1418" w:bottom="1440" w:left="1418" w:header="992" w:footer="992" w:gutter="0"/>
          <w:pgNumType w:fmt="numberInDash"/>
          <w:cols w:space="425" w:num="1"/>
          <w:docGrid w:type="lines" w:linePitch="326" w:charSpace="0"/>
        </w:sectPr>
      </w:pPr>
    </w:p>
    <w:p>
      <w:pPr>
        <w:spacing w:line="240" w:lineRule="auto"/>
        <w:ind w:firstLine="0" w:firstLineChars="0"/>
        <w:jc w:val="center"/>
        <w:rPr>
          <w:b/>
          <w:sz w:val="21"/>
          <w:szCs w:val="21"/>
        </w:rPr>
      </w:pPr>
      <w:bookmarkStart w:id="86" w:name="_Ref39057968"/>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3.3</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10</w:t>
      </w:r>
      <w:r>
        <w:rPr>
          <w:b/>
          <w:sz w:val="21"/>
          <w:szCs w:val="24"/>
        </w:rPr>
        <w:fldChar w:fldCharType="end"/>
      </w:r>
      <w:bookmarkEnd w:id="86"/>
      <w:r>
        <w:rPr>
          <w:b/>
          <w:sz w:val="21"/>
          <w:szCs w:val="21"/>
        </w:rPr>
        <w:t xml:space="preserve">  项目固体废物产生源强核算结果及相关参数一览表</w:t>
      </w:r>
    </w:p>
    <w:tbl>
      <w:tblPr>
        <w:tblStyle w:val="35"/>
        <w:tblW w:w="139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383"/>
        <w:gridCol w:w="1540"/>
        <w:gridCol w:w="1758"/>
        <w:gridCol w:w="2034"/>
        <w:gridCol w:w="1115"/>
        <w:gridCol w:w="1006"/>
        <w:gridCol w:w="2252"/>
        <w:gridCol w:w="1006"/>
        <w:gridCol w:w="1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blHeader/>
        </w:trPr>
        <w:tc>
          <w:tcPr>
            <w:tcW w:w="1383" w:type="dxa"/>
            <w:vMerge w:val="restart"/>
            <w:vAlign w:val="center"/>
          </w:tcPr>
          <w:p>
            <w:pPr>
              <w:spacing w:line="240" w:lineRule="auto"/>
              <w:ind w:firstLine="0" w:firstLineChars="0"/>
              <w:jc w:val="center"/>
              <w:rPr>
                <w:sz w:val="21"/>
                <w:szCs w:val="21"/>
              </w:rPr>
            </w:pPr>
            <w:r>
              <w:rPr>
                <w:sz w:val="21"/>
                <w:szCs w:val="21"/>
              </w:rPr>
              <w:t>工序</w:t>
            </w:r>
          </w:p>
        </w:tc>
        <w:tc>
          <w:tcPr>
            <w:tcW w:w="1540" w:type="dxa"/>
            <w:vMerge w:val="restart"/>
            <w:vAlign w:val="center"/>
          </w:tcPr>
          <w:p>
            <w:pPr>
              <w:spacing w:line="240" w:lineRule="auto"/>
              <w:ind w:firstLine="0" w:firstLineChars="0"/>
              <w:jc w:val="center"/>
              <w:rPr>
                <w:sz w:val="21"/>
                <w:szCs w:val="21"/>
              </w:rPr>
            </w:pPr>
            <w:r>
              <w:rPr>
                <w:sz w:val="21"/>
                <w:szCs w:val="21"/>
              </w:rPr>
              <w:t>装置</w:t>
            </w:r>
          </w:p>
        </w:tc>
        <w:tc>
          <w:tcPr>
            <w:tcW w:w="1758" w:type="dxa"/>
            <w:vMerge w:val="restart"/>
            <w:vAlign w:val="center"/>
          </w:tcPr>
          <w:p>
            <w:pPr>
              <w:spacing w:line="240" w:lineRule="auto"/>
              <w:ind w:firstLine="0" w:firstLineChars="0"/>
              <w:jc w:val="center"/>
              <w:rPr>
                <w:sz w:val="21"/>
                <w:szCs w:val="21"/>
              </w:rPr>
            </w:pPr>
            <w:r>
              <w:rPr>
                <w:sz w:val="21"/>
                <w:szCs w:val="21"/>
              </w:rPr>
              <w:t>固废名称</w:t>
            </w:r>
          </w:p>
        </w:tc>
        <w:tc>
          <w:tcPr>
            <w:tcW w:w="2034" w:type="dxa"/>
            <w:vMerge w:val="restart"/>
            <w:vAlign w:val="center"/>
          </w:tcPr>
          <w:p>
            <w:pPr>
              <w:spacing w:line="240" w:lineRule="auto"/>
              <w:ind w:firstLine="0" w:firstLineChars="0"/>
              <w:jc w:val="center"/>
              <w:rPr>
                <w:sz w:val="21"/>
                <w:szCs w:val="21"/>
              </w:rPr>
            </w:pPr>
            <w:r>
              <w:rPr>
                <w:sz w:val="21"/>
                <w:szCs w:val="21"/>
              </w:rPr>
              <w:t>固废属性</w:t>
            </w:r>
          </w:p>
        </w:tc>
        <w:tc>
          <w:tcPr>
            <w:tcW w:w="2121" w:type="dxa"/>
            <w:gridSpan w:val="2"/>
            <w:vAlign w:val="center"/>
          </w:tcPr>
          <w:p>
            <w:pPr>
              <w:spacing w:line="240" w:lineRule="auto"/>
              <w:ind w:firstLine="0" w:firstLineChars="0"/>
              <w:jc w:val="center"/>
              <w:rPr>
                <w:sz w:val="21"/>
                <w:szCs w:val="21"/>
              </w:rPr>
            </w:pPr>
            <w:r>
              <w:rPr>
                <w:sz w:val="21"/>
                <w:szCs w:val="21"/>
              </w:rPr>
              <w:t>产生量</w:t>
            </w:r>
          </w:p>
        </w:tc>
        <w:tc>
          <w:tcPr>
            <w:tcW w:w="3258" w:type="dxa"/>
            <w:gridSpan w:val="2"/>
            <w:vAlign w:val="center"/>
          </w:tcPr>
          <w:p>
            <w:pPr>
              <w:spacing w:line="240" w:lineRule="auto"/>
              <w:ind w:firstLine="0" w:firstLineChars="0"/>
              <w:jc w:val="center"/>
              <w:rPr>
                <w:sz w:val="21"/>
                <w:szCs w:val="21"/>
              </w:rPr>
            </w:pPr>
            <w:r>
              <w:rPr>
                <w:sz w:val="21"/>
                <w:szCs w:val="21"/>
              </w:rPr>
              <w:t>处置措施</w:t>
            </w:r>
          </w:p>
        </w:tc>
        <w:tc>
          <w:tcPr>
            <w:tcW w:w="1878" w:type="dxa"/>
            <w:vMerge w:val="restart"/>
            <w:vAlign w:val="center"/>
          </w:tcPr>
          <w:p>
            <w:pPr>
              <w:spacing w:line="240" w:lineRule="auto"/>
              <w:ind w:firstLine="0" w:firstLineChars="0"/>
              <w:jc w:val="center"/>
              <w:rPr>
                <w:sz w:val="21"/>
                <w:szCs w:val="21"/>
              </w:rPr>
            </w:pPr>
            <w:r>
              <w:rPr>
                <w:sz w:val="21"/>
                <w:szCs w:val="21"/>
              </w:rPr>
              <w:t>最终去向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blHeader/>
        </w:trPr>
        <w:tc>
          <w:tcPr>
            <w:tcW w:w="1383" w:type="dxa"/>
            <w:vMerge w:val="continue"/>
            <w:vAlign w:val="center"/>
          </w:tcPr>
          <w:p>
            <w:pPr>
              <w:spacing w:line="240" w:lineRule="auto"/>
              <w:ind w:firstLine="0" w:firstLineChars="0"/>
              <w:jc w:val="center"/>
              <w:rPr>
                <w:sz w:val="21"/>
                <w:szCs w:val="21"/>
              </w:rPr>
            </w:pPr>
          </w:p>
        </w:tc>
        <w:tc>
          <w:tcPr>
            <w:tcW w:w="1540" w:type="dxa"/>
            <w:vMerge w:val="continue"/>
            <w:vAlign w:val="center"/>
          </w:tcPr>
          <w:p>
            <w:pPr>
              <w:spacing w:line="240" w:lineRule="auto"/>
              <w:ind w:firstLine="0" w:firstLineChars="0"/>
              <w:jc w:val="center"/>
              <w:rPr>
                <w:sz w:val="21"/>
                <w:szCs w:val="21"/>
              </w:rPr>
            </w:pPr>
          </w:p>
        </w:tc>
        <w:tc>
          <w:tcPr>
            <w:tcW w:w="1758" w:type="dxa"/>
            <w:vMerge w:val="continue"/>
            <w:vAlign w:val="center"/>
          </w:tcPr>
          <w:p>
            <w:pPr>
              <w:spacing w:line="240" w:lineRule="auto"/>
              <w:ind w:firstLine="0" w:firstLineChars="0"/>
              <w:jc w:val="center"/>
              <w:rPr>
                <w:sz w:val="21"/>
                <w:szCs w:val="21"/>
              </w:rPr>
            </w:pPr>
          </w:p>
        </w:tc>
        <w:tc>
          <w:tcPr>
            <w:tcW w:w="2034" w:type="dxa"/>
            <w:vMerge w:val="continue"/>
            <w:vAlign w:val="center"/>
          </w:tcPr>
          <w:p>
            <w:pPr>
              <w:spacing w:line="240" w:lineRule="auto"/>
              <w:ind w:firstLine="0" w:firstLineChars="0"/>
              <w:jc w:val="center"/>
              <w:rPr>
                <w:sz w:val="21"/>
                <w:szCs w:val="21"/>
              </w:rPr>
            </w:pPr>
          </w:p>
        </w:tc>
        <w:tc>
          <w:tcPr>
            <w:tcW w:w="1115" w:type="dxa"/>
            <w:vAlign w:val="center"/>
          </w:tcPr>
          <w:p>
            <w:pPr>
              <w:spacing w:line="240" w:lineRule="auto"/>
              <w:ind w:firstLine="0" w:firstLineChars="0"/>
              <w:jc w:val="center"/>
              <w:rPr>
                <w:sz w:val="21"/>
                <w:szCs w:val="21"/>
              </w:rPr>
            </w:pPr>
            <w:r>
              <w:rPr>
                <w:sz w:val="21"/>
                <w:szCs w:val="21"/>
              </w:rPr>
              <w:t>核算方法</w:t>
            </w:r>
          </w:p>
        </w:tc>
        <w:tc>
          <w:tcPr>
            <w:tcW w:w="1006" w:type="dxa"/>
            <w:vAlign w:val="center"/>
          </w:tcPr>
          <w:p>
            <w:pPr>
              <w:spacing w:line="240" w:lineRule="auto"/>
              <w:ind w:firstLine="0" w:firstLineChars="0"/>
              <w:jc w:val="center"/>
              <w:rPr>
                <w:sz w:val="21"/>
                <w:szCs w:val="21"/>
              </w:rPr>
            </w:pPr>
            <w:r>
              <w:rPr>
                <w:sz w:val="21"/>
                <w:szCs w:val="21"/>
              </w:rPr>
              <w:t>产生量（t/a）</w:t>
            </w:r>
          </w:p>
        </w:tc>
        <w:tc>
          <w:tcPr>
            <w:tcW w:w="2252" w:type="dxa"/>
            <w:vAlign w:val="center"/>
          </w:tcPr>
          <w:p>
            <w:pPr>
              <w:spacing w:line="240" w:lineRule="auto"/>
              <w:ind w:firstLine="0" w:firstLineChars="0"/>
              <w:jc w:val="center"/>
              <w:rPr>
                <w:sz w:val="21"/>
                <w:szCs w:val="21"/>
              </w:rPr>
            </w:pPr>
            <w:r>
              <w:rPr>
                <w:sz w:val="21"/>
                <w:szCs w:val="21"/>
              </w:rPr>
              <w:t>工艺</w:t>
            </w:r>
          </w:p>
        </w:tc>
        <w:tc>
          <w:tcPr>
            <w:tcW w:w="1006" w:type="dxa"/>
            <w:vAlign w:val="center"/>
          </w:tcPr>
          <w:p>
            <w:pPr>
              <w:spacing w:line="240" w:lineRule="auto"/>
              <w:ind w:firstLine="0" w:firstLineChars="0"/>
              <w:jc w:val="center"/>
              <w:rPr>
                <w:sz w:val="21"/>
                <w:szCs w:val="21"/>
              </w:rPr>
            </w:pPr>
            <w:r>
              <w:rPr>
                <w:sz w:val="21"/>
                <w:szCs w:val="21"/>
              </w:rPr>
              <w:t>处置量</w:t>
            </w:r>
          </w:p>
          <w:p>
            <w:pPr>
              <w:spacing w:line="240" w:lineRule="auto"/>
              <w:ind w:firstLine="0" w:firstLineChars="0"/>
              <w:jc w:val="center"/>
              <w:rPr>
                <w:sz w:val="21"/>
                <w:szCs w:val="21"/>
              </w:rPr>
            </w:pPr>
            <w:r>
              <w:rPr>
                <w:sz w:val="21"/>
                <w:szCs w:val="21"/>
              </w:rPr>
              <w:t>（t/a）</w:t>
            </w:r>
          </w:p>
        </w:tc>
        <w:tc>
          <w:tcPr>
            <w:tcW w:w="1878" w:type="dxa"/>
            <w:vMerge w:val="continue"/>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38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提取</w:t>
            </w:r>
          </w:p>
        </w:tc>
        <w:tc>
          <w:tcPr>
            <w:tcW w:w="1540" w:type="dxa"/>
            <w:vAlign w:val="center"/>
          </w:tcPr>
          <w:p>
            <w:pPr>
              <w:spacing w:line="240" w:lineRule="auto"/>
              <w:ind w:firstLine="0" w:firstLineChars="0"/>
              <w:jc w:val="center"/>
              <w:rPr>
                <w:sz w:val="21"/>
                <w:szCs w:val="21"/>
              </w:rPr>
            </w:pPr>
            <w:r>
              <w:rPr>
                <w:rFonts w:hint="eastAsia"/>
                <w:sz w:val="21"/>
                <w:szCs w:val="21"/>
              </w:rPr>
              <w:t>过滤</w:t>
            </w:r>
            <w:r>
              <w:rPr>
                <w:sz w:val="21"/>
                <w:szCs w:val="21"/>
              </w:rPr>
              <w:t>机</w:t>
            </w:r>
          </w:p>
        </w:tc>
        <w:tc>
          <w:tcPr>
            <w:tcW w:w="1758" w:type="dxa"/>
            <w:vAlign w:val="center"/>
          </w:tcPr>
          <w:p>
            <w:pPr>
              <w:spacing w:line="240" w:lineRule="auto"/>
              <w:ind w:firstLine="0" w:firstLineChars="0"/>
              <w:jc w:val="center"/>
              <w:rPr>
                <w:sz w:val="21"/>
                <w:szCs w:val="21"/>
              </w:rPr>
            </w:pPr>
            <w:r>
              <w:rPr>
                <w:rFonts w:hint="eastAsia"/>
                <w:sz w:val="21"/>
                <w:szCs w:val="21"/>
              </w:rPr>
              <w:t>废渣</w:t>
            </w:r>
          </w:p>
        </w:tc>
        <w:tc>
          <w:tcPr>
            <w:tcW w:w="203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一般</w:t>
            </w:r>
            <w:r>
              <w:rPr>
                <w:kern w:val="0"/>
                <w:sz w:val="21"/>
                <w:szCs w:val="20"/>
              </w:rPr>
              <w:t>固废</w:t>
            </w:r>
          </w:p>
        </w:tc>
        <w:tc>
          <w:tcPr>
            <w:tcW w:w="1115" w:type="dxa"/>
            <w:vAlign w:val="center"/>
          </w:tcPr>
          <w:p>
            <w:pPr>
              <w:spacing w:line="240" w:lineRule="auto"/>
              <w:ind w:firstLine="0" w:firstLineChars="0"/>
              <w:jc w:val="center"/>
              <w:rPr>
                <w:sz w:val="21"/>
                <w:szCs w:val="21"/>
              </w:rPr>
            </w:pPr>
            <w:r>
              <w:rPr>
                <w:rFonts w:hint="eastAsia"/>
                <w:sz w:val="21"/>
                <w:szCs w:val="21"/>
              </w:rPr>
              <w:t>类比</w:t>
            </w:r>
          </w:p>
        </w:tc>
        <w:tc>
          <w:tcPr>
            <w:tcW w:w="1006" w:type="dxa"/>
            <w:vAlign w:val="center"/>
          </w:tcPr>
          <w:p>
            <w:pPr>
              <w:spacing w:line="240" w:lineRule="auto"/>
              <w:ind w:firstLine="0" w:firstLineChars="0"/>
              <w:jc w:val="center"/>
              <w:rPr>
                <w:sz w:val="21"/>
                <w:szCs w:val="21"/>
              </w:rPr>
            </w:pPr>
            <w:r>
              <w:rPr>
                <w:sz w:val="21"/>
                <w:szCs w:val="21"/>
              </w:rPr>
              <w:t>178.39</w:t>
            </w:r>
          </w:p>
        </w:tc>
        <w:tc>
          <w:tcPr>
            <w:tcW w:w="2252" w:type="dxa"/>
            <w:vAlign w:val="center"/>
          </w:tcPr>
          <w:p>
            <w:pPr>
              <w:spacing w:line="240" w:lineRule="auto"/>
              <w:ind w:firstLine="0" w:firstLineChars="0"/>
              <w:jc w:val="center"/>
              <w:rPr>
                <w:sz w:val="21"/>
                <w:szCs w:val="21"/>
              </w:rPr>
            </w:pPr>
            <w:r>
              <w:rPr>
                <w:rFonts w:hint="eastAsia"/>
                <w:sz w:val="21"/>
                <w:szCs w:val="21"/>
              </w:rPr>
              <w:t>统一</w:t>
            </w:r>
            <w:r>
              <w:rPr>
                <w:sz w:val="21"/>
                <w:szCs w:val="21"/>
              </w:rPr>
              <w:t>收集后，外售</w:t>
            </w:r>
          </w:p>
        </w:tc>
        <w:tc>
          <w:tcPr>
            <w:tcW w:w="1006" w:type="dxa"/>
            <w:vAlign w:val="center"/>
          </w:tcPr>
          <w:p>
            <w:pPr>
              <w:spacing w:line="240" w:lineRule="auto"/>
              <w:ind w:firstLine="0" w:firstLineChars="0"/>
              <w:jc w:val="center"/>
              <w:rPr>
                <w:sz w:val="21"/>
                <w:szCs w:val="21"/>
              </w:rPr>
            </w:pPr>
            <w:r>
              <w:rPr>
                <w:sz w:val="21"/>
                <w:szCs w:val="21"/>
              </w:rPr>
              <w:t>178.39</w:t>
            </w:r>
          </w:p>
        </w:tc>
        <w:tc>
          <w:tcPr>
            <w:tcW w:w="1878" w:type="dxa"/>
            <w:vAlign w:val="center"/>
          </w:tcPr>
          <w:p>
            <w:pPr>
              <w:spacing w:line="240" w:lineRule="auto"/>
              <w:ind w:firstLine="0" w:firstLineChars="0"/>
              <w:jc w:val="center"/>
              <w:rPr>
                <w:sz w:val="21"/>
                <w:szCs w:val="21"/>
              </w:rPr>
            </w:pPr>
            <w:r>
              <w:rPr>
                <w:rFonts w:hint="eastAsia"/>
                <w:sz w:val="21"/>
                <w:szCs w:val="21"/>
              </w:rPr>
              <w:t>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38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设备</w:t>
            </w:r>
            <w:r>
              <w:rPr>
                <w:sz w:val="21"/>
                <w:szCs w:val="20"/>
              </w:rPr>
              <w:t>维修</w:t>
            </w:r>
          </w:p>
        </w:tc>
        <w:tc>
          <w:tcPr>
            <w:tcW w:w="1540" w:type="dxa"/>
            <w:vAlign w:val="center"/>
          </w:tcPr>
          <w:p>
            <w:pPr>
              <w:spacing w:line="240" w:lineRule="auto"/>
              <w:ind w:firstLine="0" w:firstLineChars="0"/>
              <w:jc w:val="center"/>
              <w:rPr>
                <w:sz w:val="21"/>
                <w:szCs w:val="21"/>
              </w:rPr>
            </w:pPr>
            <w:r>
              <w:rPr>
                <w:rFonts w:hint="eastAsia"/>
                <w:sz w:val="21"/>
                <w:szCs w:val="21"/>
              </w:rPr>
              <w:t>设备</w:t>
            </w:r>
          </w:p>
        </w:tc>
        <w:tc>
          <w:tcPr>
            <w:tcW w:w="1758" w:type="dxa"/>
            <w:vAlign w:val="center"/>
          </w:tcPr>
          <w:p>
            <w:pPr>
              <w:spacing w:line="240" w:lineRule="auto"/>
              <w:ind w:firstLine="0" w:firstLineChars="0"/>
              <w:jc w:val="center"/>
              <w:rPr>
                <w:sz w:val="21"/>
                <w:szCs w:val="21"/>
              </w:rPr>
            </w:pPr>
            <w:r>
              <w:rPr>
                <w:rFonts w:hint="eastAsia"/>
                <w:sz w:val="21"/>
                <w:szCs w:val="21"/>
              </w:rPr>
              <w:t>废</w:t>
            </w:r>
            <w:r>
              <w:rPr>
                <w:sz w:val="21"/>
                <w:szCs w:val="21"/>
              </w:rPr>
              <w:t>含油抹布</w:t>
            </w:r>
          </w:p>
        </w:tc>
        <w:tc>
          <w:tcPr>
            <w:tcW w:w="203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危险</w:t>
            </w:r>
            <w:r>
              <w:rPr>
                <w:kern w:val="0"/>
                <w:sz w:val="21"/>
                <w:szCs w:val="20"/>
              </w:rPr>
              <w:t>废物</w:t>
            </w:r>
          </w:p>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HW</w:t>
            </w:r>
            <w:r>
              <w:rPr>
                <w:kern w:val="0"/>
                <w:sz w:val="21"/>
                <w:szCs w:val="20"/>
              </w:rPr>
              <w:t>49</w:t>
            </w:r>
          </w:p>
          <w:p>
            <w:pPr>
              <w:autoSpaceDE w:val="0"/>
              <w:autoSpaceDN w:val="0"/>
              <w:snapToGrid/>
              <w:spacing w:line="240" w:lineRule="auto"/>
              <w:ind w:firstLine="0" w:firstLineChars="0"/>
              <w:jc w:val="center"/>
              <w:textAlignment w:val="bottom"/>
              <w:rPr>
                <w:kern w:val="0"/>
                <w:sz w:val="21"/>
                <w:szCs w:val="20"/>
              </w:rPr>
            </w:pPr>
            <w:r>
              <w:rPr>
                <w:kern w:val="0"/>
                <w:sz w:val="21"/>
                <w:szCs w:val="20"/>
              </w:rPr>
              <w:t>900-041-49</w:t>
            </w:r>
          </w:p>
        </w:tc>
        <w:tc>
          <w:tcPr>
            <w:tcW w:w="1115" w:type="dxa"/>
            <w:vAlign w:val="center"/>
          </w:tcPr>
          <w:p>
            <w:pPr>
              <w:pStyle w:val="97"/>
            </w:pPr>
            <w:r>
              <w:rPr>
                <w:rFonts w:hint="eastAsia"/>
              </w:rPr>
              <w:t>类比</w:t>
            </w:r>
          </w:p>
        </w:tc>
        <w:tc>
          <w:tcPr>
            <w:tcW w:w="1006" w:type="dxa"/>
            <w:vAlign w:val="center"/>
          </w:tcPr>
          <w:p>
            <w:pPr>
              <w:spacing w:line="240" w:lineRule="auto"/>
              <w:ind w:firstLine="0" w:firstLineChars="0"/>
              <w:jc w:val="center"/>
              <w:rPr>
                <w:sz w:val="21"/>
                <w:szCs w:val="21"/>
              </w:rPr>
            </w:pPr>
            <w:r>
              <w:rPr>
                <w:rFonts w:hint="eastAsia"/>
                <w:sz w:val="21"/>
                <w:szCs w:val="21"/>
              </w:rPr>
              <w:t>0.1</w:t>
            </w:r>
          </w:p>
        </w:tc>
        <w:tc>
          <w:tcPr>
            <w:tcW w:w="2252" w:type="dxa"/>
            <w:vAlign w:val="center"/>
          </w:tcPr>
          <w:p>
            <w:pPr>
              <w:spacing w:line="240" w:lineRule="auto"/>
              <w:ind w:firstLine="0" w:firstLineChars="0"/>
              <w:jc w:val="center"/>
              <w:rPr>
                <w:sz w:val="21"/>
                <w:szCs w:val="21"/>
              </w:rPr>
            </w:pPr>
            <w:r>
              <w:rPr>
                <w:rFonts w:hint="eastAsia"/>
                <w:sz w:val="21"/>
                <w:szCs w:val="21"/>
              </w:rPr>
              <w:t>分类</w:t>
            </w:r>
            <w:r>
              <w:rPr>
                <w:sz w:val="21"/>
                <w:szCs w:val="21"/>
              </w:rPr>
              <w:t>收集后，</w:t>
            </w:r>
            <w:r>
              <w:rPr>
                <w:rFonts w:hint="eastAsia"/>
                <w:sz w:val="21"/>
                <w:szCs w:val="21"/>
              </w:rPr>
              <w:t>危险</w:t>
            </w:r>
            <w:r>
              <w:rPr>
                <w:sz w:val="21"/>
                <w:szCs w:val="21"/>
              </w:rPr>
              <w:t>废物暂存间暂存</w:t>
            </w:r>
          </w:p>
        </w:tc>
        <w:tc>
          <w:tcPr>
            <w:tcW w:w="1006" w:type="dxa"/>
            <w:vAlign w:val="center"/>
          </w:tcPr>
          <w:p>
            <w:pPr>
              <w:spacing w:line="240" w:lineRule="auto"/>
              <w:ind w:firstLine="0" w:firstLineChars="0"/>
              <w:jc w:val="center"/>
              <w:rPr>
                <w:sz w:val="21"/>
                <w:szCs w:val="21"/>
              </w:rPr>
            </w:pPr>
            <w:r>
              <w:rPr>
                <w:rFonts w:hint="eastAsia"/>
                <w:sz w:val="21"/>
                <w:szCs w:val="21"/>
              </w:rPr>
              <w:t>0.1</w:t>
            </w:r>
          </w:p>
        </w:tc>
        <w:tc>
          <w:tcPr>
            <w:tcW w:w="1878" w:type="dxa"/>
            <w:vAlign w:val="center"/>
          </w:tcPr>
          <w:p>
            <w:pPr>
              <w:spacing w:line="240" w:lineRule="auto"/>
              <w:ind w:firstLine="0" w:firstLineChars="0"/>
              <w:jc w:val="center"/>
              <w:rPr>
                <w:sz w:val="21"/>
                <w:szCs w:val="21"/>
              </w:rPr>
            </w:pPr>
            <w:r>
              <w:rPr>
                <w:rFonts w:hint="eastAsia"/>
                <w:sz w:val="21"/>
                <w:szCs w:val="21"/>
              </w:rPr>
              <w:t>交</w:t>
            </w:r>
            <w:r>
              <w:rPr>
                <w:sz w:val="21"/>
                <w:szCs w:val="21"/>
              </w:rPr>
              <w:t>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383" w:type="dxa"/>
            <w:vAlign w:val="center"/>
          </w:tcPr>
          <w:p>
            <w:pPr>
              <w:autoSpaceDE w:val="0"/>
              <w:autoSpaceDN w:val="0"/>
              <w:snapToGrid/>
              <w:spacing w:line="240" w:lineRule="auto"/>
              <w:ind w:firstLine="0" w:firstLineChars="0"/>
              <w:jc w:val="center"/>
              <w:textAlignment w:val="bottom"/>
              <w:rPr>
                <w:sz w:val="21"/>
                <w:szCs w:val="20"/>
              </w:rPr>
            </w:pPr>
            <w:r>
              <w:rPr>
                <w:rFonts w:hint="eastAsia"/>
                <w:sz w:val="21"/>
                <w:szCs w:val="20"/>
              </w:rPr>
              <w:t>酸性废水处理</w:t>
            </w:r>
          </w:p>
        </w:tc>
        <w:tc>
          <w:tcPr>
            <w:tcW w:w="1540" w:type="dxa"/>
            <w:vAlign w:val="center"/>
          </w:tcPr>
          <w:p>
            <w:pPr>
              <w:spacing w:line="240" w:lineRule="auto"/>
              <w:ind w:firstLine="0" w:firstLineChars="0"/>
              <w:jc w:val="center"/>
              <w:rPr>
                <w:sz w:val="21"/>
                <w:szCs w:val="21"/>
              </w:rPr>
            </w:pPr>
            <w:r>
              <w:rPr>
                <w:rFonts w:hint="eastAsia"/>
                <w:sz w:val="21"/>
                <w:szCs w:val="21"/>
              </w:rPr>
              <w:t>活性炭</w:t>
            </w:r>
            <w:r>
              <w:rPr>
                <w:sz w:val="21"/>
                <w:szCs w:val="21"/>
              </w:rPr>
              <w:t>储罐</w:t>
            </w:r>
          </w:p>
        </w:tc>
        <w:tc>
          <w:tcPr>
            <w:tcW w:w="1758" w:type="dxa"/>
            <w:vAlign w:val="center"/>
          </w:tcPr>
          <w:p>
            <w:pPr>
              <w:spacing w:line="240" w:lineRule="auto"/>
              <w:ind w:firstLine="0" w:firstLineChars="0"/>
              <w:jc w:val="center"/>
              <w:rPr>
                <w:sz w:val="21"/>
                <w:szCs w:val="21"/>
              </w:rPr>
            </w:pPr>
            <w:r>
              <w:rPr>
                <w:rFonts w:hint="eastAsia"/>
                <w:sz w:val="21"/>
                <w:szCs w:val="21"/>
              </w:rPr>
              <w:t>废</w:t>
            </w:r>
            <w:r>
              <w:rPr>
                <w:sz w:val="21"/>
                <w:szCs w:val="21"/>
              </w:rPr>
              <w:t>活性炭</w:t>
            </w:r>
          </w:p>
        </w:tc>
        <w:tc>
          <w:tcPr>
            <w:tcW w:w="203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危险</w:t>
            </w:r>
            <w:r>
              <w:rPr>
                <w:kern w:val="0"/>
                <w:sz w:val="21"/>
                <w:szCs w:val="20"/>
              </w:rPr>
              <w:t>废物</w:t>
            </w:r>
          </w:p>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HW</w:t>
            </w:r>
            <w:r>
              <w:rPr>
                <w:kern w:val="0"/>
                <w:sz w:val="21"/>
                <w:szCs w:val="20"/>
              </w:rPr>
              <w:t>49</w:t>
            </w:r>
          </w:p>
          <w:p>
            <w:pPr>
              <w:autoSpaceDE w:val="0"/>
              <w:autoSpaceDN w:val="0"/>
              <w:snapToGrid/>
              <w:spacing w:line="240" w:lineRule="auto"/>
              <w:ind w:firstLine="0" w:firstLineChars="0"/>
              <w:jc w:val="center"/>
              <w:textAlignment w:val="bottom"/>
              <w:rPr>
                <w:kern w:val="0"/>
                <w:sz w:val="21"/>
                <w:szCs w:val="20"/>
              </w:rPr>
            </w:pPr>
            <w:r>
              <w:rPr>
                <w:kern w:val="0"/>
                <w:sz w:val="21"/>
                <w:szCs w:val="20"/>
              </w:rPr>
              <w:t>900-039-49</w:t>
            </w:r>
          </w:p>
        </w:tc>
        <w:tc>
          <w:tcPr>
            <w:tcW w:w="1115" w:type="dxa"/>
            <w:vAlign w:val="center"/>
          </w:tcPr>
          <w:p>
            <w:pPr>
              <w:pStyle w:val="97"/>
            </w:pPr>
            <w:r>
              <w:rPr>
                <w:rFonts w:hint="eastAsia"/>
              </w:rPr>
              <w:t>类比</w:t>
            </w:r>
          </w:p>
        </w:tc>
        <w:tc>
          <w:tcPr>
            <w:tcW w:w="1006" w:type="dxa"/>
            <w:vAlign w:val="center"/>
          </w:tcPr>
          <w:p>
            <w:pPr>
              <w:spacing w:line="240" w:lineRule="auto"/>
              <w:ind w:firstLine="0" w:firstLineChars="0"/>
              <w:jc w:val="center"/>
              <w:rPr>
                <w:sz w:val="21"/>
                <w:szCs w:val="21"/>
              </w:rPr>
            </w:pPr>
            <w:r>
              <w:rPr>
                <w:rFonts w:hint="eastAsia"/>
                <w:sz w:val="21"/>
                <w:szCs w:val="21"/>
              </w:rPr>
              <w:t>1.92</w:t>
            </w:r>
          </w:p>
        </w:tc>
        <w:tc>
          <w:tcPr>
            <w:tcW w:w="2252" w:type="dxa"/>
            <w:vAlign w:val="center"/>
          </w:tcPr>
          <w:p>
            <w:pPr>
              <w:spacing w:line="240" w:lineRule="auto"/>
              <w:ind w:firstLine="0" w:firstLineChars="0"/>
              <w:jc w:val="center"/>
              <w:rPr>
                <w:sz w:val="21"/>
                <w:szCs w:val="21"/>
              </w:rPr>
            </w:pPr>
            <w:r>
              <w:rPr>
                <w:rFonts w:hint="eastAsia"/>
                <w:sz w:val="21"/>
                <w:szCs w:val="21"/>
              </w:rPr>
              <w:t>分类</w:t>
            </w:r>
            <w:r>
              <w:rPr>
                <w:sz w:val="21"/>
                <w:szCs w:val="21"/>
              </w:rPr>
              <w:t>收集后，</w:t>
            </w:r>
            <w:r>
              <w:rPr>
                <w:rFonts w:hint="eastAsia"/>
                <w:sz w:val="21"/>
                <w:szCs w:val="21"/>
              </w:rPr>
              <w:t>危险</w:t>
            </w:r>
            <w:r>
              <w:rPr>
                <w:sz w:val="21"/>
                <w:szCs w:val="21"/>
              </w:rPr>
              <w:t>废物暂存间暂存</w:t>
            </w:r>
          </w:p>
        </w:tc>
        <w:tc>
          <w:tcPr>
            <w:tcW w:w="1006" w:type="dxa"/>
            <w:vAlign w:val="center"/>
          </w:tcPr>
          <w:p>
            <w:pPr>
              <w:spacing w:line="240" w:lineRule="auto"/>
              <w:ind w:firstLine="0" w:firstLineChars="0"/>
              <w:jc w:val="center"/>
              <w:rPr>
                <w:sz w:val="21"/>
                <w:szCs w:val="21"/>
              </w:rPr>
            </w:pPr>
            <w:r>
              <w:rPr>
                <w:rFonts w:hint="eastAsia"/>
                <w:sz w:val="21"/>
                <w:szCs w:val="21"/>
              </w:rPr>
              <w:t>1.92</w:t>
            </w:r>
          </w:p>
        </w:tc>
        <w:tc>
          <w:tcPr>
            <w:tcW w:w="1878" w:type="dxa"/>
            <w:vAlign w:val="center"/>
          </w:tcPr>
          <w:p>
            <w:pPr>
              <w:spacing w:line="240" w:lineRule="auto"/>
              <w:ind w:firstLine="0" w:firstLineChars="0"/>
              <w:jc w:val="center"/>
              <w:rPr>
                <w:sz w:val="21"/>
                <w:szCs w:val="21"/>
              </w:rPr>
            </w:pPr>
            <w:r>
              <w:rPr>
                <w:rFonts w:hint="eastAsia"/>
                <w:sz w:val="21"/>
                <w:szCs w:val="21"/>
              </w:rPr>
              <w:t>交</w:t>
            </w:r>
            <w:r>
              <w:rPr>
                <w:sz w:val="21"/>
                <w:szCs w:val="21"/>
              </w:rPr>
              <w:t>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Ex>
        <w:trPr>
          <w:trHeight w:val="340" w:hRule="atLeast"/>
        </w:trPr>
        <w:tc>
          <w:tcPr>
            <w:tcW w:w="138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生活、办公</w:t>
            </w:r>
          </w:p>
        </w:tc>
        <w:tc>
          <w:tcPr>
            <w:tcW w:w="1540" w:type="dxa"/>
            <w:vAlign w:val="center"/>
          </w:tcPr>
          <w:p>
            <w:pPr>
              <w:spacing w:line="240" w:lineRule="auto"/>
              <w:ind w:firstLine="0" w:firstLineChars="0"/>
              <w:jc w:val="center"/>
              <w:rPr>
                <w:sz w:val="21"/>
                <w:szCs w:val="21"/>
              </w:rPr>
            </w:pPr>
            <w:r>
              <w:rPr>
                <w:sz w:val="21"/>
                <w:szCs w:val="21"/>
              </w:rPr>
              <w:t>员工生活</w:t>
            </w:r>
          </w:p>
        </w:tc>
        <w:tc>
          <w:tcPr>
            <w:tcW w:w="1758" w:type="dxa"/>
            <w:vAlign w:val="center"/>
          </w:tcPr>
          <w:p>
            <w:pPr>
              <w:autoSpaceDE w:val="0"/>
              <w:autoSpaceDN w:val="0"/>
              <w:snapToGrid/>
              <w:spacing w:line="240" w:lineRule="auto"/>
              <w:ind w:firstLine="0" w:firstLineChars="0"/>
              <w:jc w:val="center"/>
              <w:textAlignment w:val="bottom"/>
              <w:rPr>
                <w:sz w:val="21"/>
                <w:szCs w:val="20"/>
              </w:rPr>
            </w:pPr>
            <w:r>
              <w:rPr>
                <w:sz w:val="21"/>
                <w:szCs w:val="20"/>
              </w:rPr>
              <w:t>生活垃圾</w:t>
            </w:r>
          </w:p>
        </w:tc>
        <w:tc>
          <w:tcPr>
            <w:tcW w:w="2034" w:type="dxa"/>
            <w:vAlign w:val="center"/>
          </w:tcPr>
          <w:p>
            <w:pPr>
              <w:spacing w:line="240" w:lineRule="auto"/>
              <w:ind w:firstLine="0" w:firstLineChars="0"/>
              <w:jc w:val="center"/>
              <w:rPr>
                <w:sz w:val="21"/>
                <w:szCs w:val="21"/>
              </w:rPr>
            </w:pPr>
            <w:r>
              <w:rPr>
                <w:sz w:val="21"/>
                <w:szCs w:val="21"/>
              </w:rPr>
              <w:t>一般</w:t>
            </w:r>
            <w:r>
              <w:rPr>
                <w:rFonts w:hint="eastAsia"/>
                <w:sz w:val="21"/>
                <w:szCs w:val="21"/>
              </w:rPr>
              <w:t>固废</w:t>
            </w:r>
          </w:p>
        </w:tc>
        <w:tc>
          <w:tcPr>
            <w:tcW w:w="1115" w:type="dxa"/>
            <w:vAlign w:val="center"/>
          </w:tcPr>
          <w:p>
            <w:pPr>
              <w:spacing w:line="240" w:lineRule="auto"/>
              <w:ind w:firstLine="0" w:firstLineChars="0"/>
              <w:jc w:val="center"/>
              <w:rPr>
                <w:sz w:val="21"/>
                <w:szCs w:val="21"/>
              </w:rPr>
            </w:pPr>
            <w:r>
              <w:rPr>
                <w:sz w:val="21"/>
                <w:szCs w:val="21"/>
              </w:rPr>
              <w:t>类比法</w:t>
            </w:r>
          </w:p>
        </w:tc>
        <w:tc>
          <w:tcPr>
            <w:tcW w:w="1006" w:type="dxa"/>
            <w:vAlign w:val="center"/>
          </w:tcPr>
          <w:p>
            <w:pPr>
              <w:spacing w:line="240" w:lineRule="auto"/>
              <w:ind w:firstLine="0" w:firstLineChars="0"/>
              <w:jc w:val="center"/>
              <w:rPr>
                <w:sz w:val="21"/>
                <w:szCs w:val="21"/>
              </w:rPr>
            </w:pPr>
            <w:r>
              <w:rPr>
                <w:sz w:val="21"/>
                <w:szCs w:val="21"/>
              </w:rPr>
              <w:t>2.7</w:t>
            </w:r>
          </w:p>
        </w:tc>
        <w:tc>
          <w:tcPr>
            <w:tcW w:w="2252" w:type="dxa"/>
            <w:vAlign w:val="center"/>
          </w:tcPr>
          <w:p>
            <w:pPr>
              <w:spacing w:line="240" w:lineRule="auto"/>
              <w:ind w:firstLine="0" w:firstLineChars="0"/>
              <w:jc w:val="center"/>
              <w:rPr>
                <w:sz w:val="21"/>
                <w:szCs w:val="21"/>
              </w:rPr>
            </w:pPr>
            <w:r>
              <w:rPr>
                <w:kern w:val="0"/>
                <w:sz w:val="21"/>
                <w:szCs w:val="20"/>
              </w:rPr>
              <w:t>垃圾桶统一收集，由环卫部门统一清运</w:t>
            </w:r>
          </w:p>
        </w:tc>
        <w:tc>
          <w:tcPr>
            <w:tcW w:w="1006" w:type="dxa"/>
            <w:vAlign w:val="center"/>
          </w:tcPr>
          <w:p>
            <w:pPr>
              <w:spacing w:line="240" w:lineRule="auto"/>
              <w:ind w:firstLine="0" w:firstLineChars="0"/>
              <w:jc w:val="center"/>
              <w:rPr>
                <w:sz w:val="21"/>
                <w:szCs w:val="21"/>
              </w:rPr>
            </w:pPr>
            <w:r>
              <w:rPr>
                <w:sz w:val="21"/>
                <w:szCs w:val="21"/>
              </w:rPr>
              <w:t>2.7</w:t>
            </w:r>
          </w:p>
        </w:tc>
        <w:tc>
          <w:tcPr>
            <w:tcW w:w="1878" w:type="dxa"/>
            <w:vAlign w:val="center"/>
          </w:tcPr>
          <w:p>
            <w:pPr>
              <w:spacing w:line="240" w:lineRule="auto"/>
              <w:ind w:firstLine="0" w:firstLineChars="0"/>
              <w:jc w:val="center"/>
              <w:rPr>
                <w:sz w:val="21"/>
                <w:szCs w:val="21"/>
              </w:rPr>
            </w:pPr>
            <w:r>
              <w:rPr>
                <w:kern w:val="0"/>
                <w:sz w:val="21"/>
                <w:szCs w:val="20"/>
              </w:rPr>
              <w:t>垃圾桶统一收集，由环卫部门统一清运</w:t>
            </w:r>
          </w:p>
        </w:tc>
      </w:tr>
    </w:tbl>
    <w:p>
      <w:pPr>
        <w:ind w:firstLine="199" w:firstLineChars="83"/>
        <w:rPr>
          <w:highlight w:val="yellow"/>
        </w:rPr>
      </w:pPr>
    </w:p>
    <w:p>
      <w:pPr>
        <w:ind w:firstLine="199" w:firstLineChars="83"/>
        <w:rPr>
          <w:highlight w:val="yellow"/>
        </w:rPr>
      </w:pPr>
    </w:p>
    <w:p>
      <w:pPr>
        <w:ind w:firstLine="199" w:firstLineChars="83"/>
        <w:rPr>
          <w:highlight w:val="yellow"/>
        </w:rPr>
      </w:pPr>
    </w:p>
    <w:p>
      <w:pPr>
        <w:ind w:firstLine="199" w:firstLineChars="83"/>
        <w:rPr>
          <w:highlight w:val="yellow"/>
        </w:rPr>
      </w:pPr>
    </w:p>
    <w:p>
      <w:pPr>
        <w:ind w:firstLine="199" w:firstLineChars="83"/>
        <w:rPr>
          <w:highlight w:val="yellow"/>
        </w:rPr>
        <w:sectPr>
          <w:headerReference r:id="rId36" w:type="default"/>
          <w:headerReference r:id="rId37" w:type="even"/>
          <w:pgSz w:w="16838" w:h="11906" w:orient="landscape"/>
          <w:pgMar w:top="1800" w:right="1418" w:bottom="1800" w:left="1418" w:header="992" w:footer="992" w:gutter="0"/>
          <w:cols w:space="425" w:num="1"/>
          <w:docGrid w:type="lines" w:linePitch="326" w:charSpace="0"/>
        </w:sectPr>
      </w:pPr>
    </w:p>
    <w:p>
      <w:pPr>
        <w:pStyle w:val="4"/>
      </w:pPr>
      <w:r>
        <w:rPr>
          <w:rFonts w:hint="eastAsia"/>
        </w:rPr>
        <w:t>非正常工况</w:t>
      </w:r>
      <w:r>
        <w:t>分析</w:t>
      </w:r>
    </w:p>
    <w:p>
      <w:pPr>
        <w:pStyle w:val="87"/>
        <w:ind w:firstLine="480"/>
      </w:pPr>
      <w:r>
        <w:rPr>
          <w:rFonts w:hint="eastAsia"/>
        </w:rPr>
        <w:t>生产装置的非正常排放主要指生产过程中的开车、停车、停电、检修、故障停车时的污染物排放。在无严格控制措施或污染控制措施失效的情况下，污染物的非正常排放往往成为环境污染的重要因素。尽管工程采取了一定的收集、回收和处理措施，但仍不可避免地会有一定量的污染物排入环境，甚至可能会出现短时间的超标排放。如果操作和设备管理不善，非正常排放引起的污染物流失将更为明显。虽然非正常排放发生机率较小，但其对环境的危害不容忽视。</w:t>
      </w:r>
    </w:p>
    <w:p>
      <w:pPr>
        <w:pStyle w:val="87"/>
        <w:ind w:firstLine="480"/>
        <w:rPr>
          <w:highlight w:val="yellow"/>
        </w:rPr>
      </w:pPr>
      <w:r>
        <w:rPr>
          <w:rFonts w:hint="eastAsia"/>
        </w:rPr>
        <w:t>本</w:t>
      </w:r>
      <w:r>
        <w:t>项目的非正常工况主要是指废气处理装置发生故障</w:t>
      </w:r>
      <w:r>
        <w:rPr>
          <w:rFonts w:hint="eastAsia"/>
        </w:rPr>
        <w:t>，环保</w:t>
      </w:r>
      <w:r>
        <w:t>设施失效和风机损坏情况，而出现的超标排放现象。废气处理装置可能出现故障的</w:t>
      </w:r>
      <w:r>
        <w:rPr>
          <w:rFonts w:hint="eastAsia"/>
        </w:rPr>
        <w:t>旋风</w:t>
      </w:r>
      <w:r>
        <w:t>收尘</w:t>
      </w:r>
      <w:r>
        <w:rPr>
          <w:rFonts w:hint="eastAsia"/>
        </w:rPr>
        <w:t>+布袋</w:t>
      </w:r>
      <w:r>
        <w:t>除尘器装置。一旦</w:t>
      </w:r>
      <w:r>
        <w:rPr>
          <w:rFonts w:hint="eastAsia"/>
        </w:rPr>
        <w:t>环保设施</w:t>
      </w:r>
      <w:r>
        <w:t>废气处理装置发生故障</w:t>
      </w:r>
      <w:r>
        <w:rPr>
          <w:rFonts w:hint="eastAsia"/>
        </w:rPr>
        <w:t>或</w:t>
      </w:r>
      <w:r>
        <w:t>风机损坏情况下，要立即停止生产，组织相关人员进行抢修，并向有关部门汇报，修复时间为30min。考虑</w:t>
      </w:r>
      <w:r>
        <w:rPr>
          <w:rFonts w:hint="eastAsia"/>
        </w:rPr>
        <w:t>排放</w:t>
      </w:r>
      <w:r>
        <w:t>速率最大的</w:t>
      </w:r>
      <w:r>
        <w:rPr>
          <w:rFonts w:hint="eastAsia"/>
        </w:rPr>
        <w:t>粗粉</w:t>
      </w:r>
      <w:r>
        <w:t>粉尘</w:t>
      </w:r>
      <w:r>
        <w:rPr>
          <w:rFonts w:hint="eastAsia"/>
        </w:rPr>
        <w:t>排气筒</w:t>
      </w:r>
      <w:r>
        <w:t>P1的废气处理效率均为零的最差情况，排气筒</w:t>
      </w:r>
      <w:r>
        <w:rPr>
          <w:rFonts w:hint="eastAsia"/>
        </w:rPr>
        <w:t>颗粒物</w:t>
      </w:r>
      <w:r>
        <w:t>排放源强为0.063kg/30min</w:t>
      </w:r>
      <w:r>
        <w:rPr>
          <w:rFonts w:hint="eastAsia"/>
        </w:rPr>
        <w:t>。</w:t>
      </w:r>
    </w:p>
    <w:p>
      <w:pPr>
        <w:pStyle w:val="4"/>
      </w:pPr>
      <w:r>
        <w:rPr>
          <w:rFonts w:hint="eastAsia"/>
        </w:rPr>
        <w:t>项目</w:t>
      </w:r>
      <w:r>
        <w:t>污染物排放</w:t>
      </w:r>
      <w:r>
        <w:rPr>
          <w:rFonts w:hint="eastAsia" w:asciiTheme="minorEastAsia" w:hAnsiTheme="minorEastAsia" w:eastAsiaTheme="minorEastAsia"/>
        </w:rPr>
        <w:t>汇总</w:t>
      </w:r>
    </w:p>
    <w:p>
      <w:pPr>
        <w:ind w:firstLine="199" w:firstLineChars="83"/>
      </w:pPr>
      <w:r>
        <w:rPr>
          <w:rFonts w:hint="eastAsia"/>
        </w:rPr>
        <w:t>本项目污染物</w:t>
      </w:r>
      <w:r>
        <w:t>排放汇总</w:t>
      </w:r>
      <w:r>
        <w:rPr>
          <w:rFonts w:hint="eastAsia"/>
        </w:rPr>
        <w:t>情况</w:t>
      </w:r>
      <w:r>
        <w:t>见</w:t>
      </w:r>
      <w:r>
        <w:rPr>
          <w:rFonts w:hint="eastAsia"/>
        </w:rPr>
        <w:t>表3.3-</w:t>
      </w:r>
      <w:r>
        <w:t>11</w:t>
      </w:r>
      <w:r>
        <w:rPr>
          <w:rFonts w:hint="eastAsia"/>
        </w:rPr>
        <w:t>。</w:t>
      </w:r>
    </w:p>
    <w:p>
      <w:pPr>
        <w:pStyle w:val="93"/>
        <w:rPr>
          <w:highlight w:val="yellow"/>
        </w:rPr>
      </w:pPr>
      <w:bookmarkStart w:id="87" w:name="_Ref37937281"/>
    </w:p>
    <w:p>
      <w:pPr>
        <w:pStyle w:val="93"/>
        <w:rPr>
          <w:highlight w:val="yellow"/>
        </w:rPr>
      </w:pPr>
    </w:p>
    <w:p>
      <w:pPr>
        <w:pStyle w:val="93"/>
        <w:rPr>
          <w:highlight w:val="yellow"/>
        </w:rPr>
      </w:pPr>
    </w:p>
    <w:p>
      <w:pPr>
        <w:pStyle w:val="93"/>
        <w:rPr>
          <w:highlight w:val="yellow"/>
        </w:rPr>
      </w:pPr>
    </w:p>
    <w:p>
      <w:pPr>
        <w:pStyle w:val="93"/>
        <w:rPr>
          <w:highlight w:val="yellow"/>
        </w:rPr>
      </w:pPr>
    </w:p>
    <w:p>
      <w:pPr>
        <w:pStyle w:val="93"/>
        <w:rPr>
          <w:highlight w:val="yellow"/>
        </w:rPr>
      </w:pPr>
    </w:p>
    <w:p>
      <w:pPr>
        <w:pStyle w:val="93"/>
        <w:rPr>
          <w:highlight w:val="yellow"/>
        </w:rPr>
        <w:sectPr>
          <w:headerReference r:id="rId38" w:type="default"/>
          <w:headerReference r:id="rId39" w:type="even"/>
          <w:pgSz w:w="11906" w:h="16838"/>
          <w:pgMar w:top="1440" w:right="1418" w:bottom="1440" w:left="1418" w:header="992" w:footer="992" w:gutter="0"/>
          <w:pgNumType w:fmt="numberInDash"/>
          <w:cols w:space="425" w:num="1"/>
          <w:docGrid w:type="lines" w:linePitch="326" w:charSpace="0"/>
        </w:sectPr>
      </w:pP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3.3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11</w:t>
      </w:r>
      <w:r>
        <w:fldChar w:fldCharType="end"/>
      </w:r>
      <w:bookmarkEnd w:id="87"/>
      <w:r>
        <w:t xml:space="preserve">  </w:t>
      </w:r>
      <w:r>
        <w:rPr>
          <w:rFonts w:hint="eastAsia"/>
        </w:rPr>
        <w:t>项目污染物排放汇总表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867"/>
        <w:gridCol w:w="711"/>
        <w:gridCol w:w="1464"/>
        <w:gridCol w:w="1427"/>
        <w:gridCol w:w="1578"/>
        <w:gridCol w:w="2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11" w:type="dxa"/>
            <w:vAlign w:val="center"/>
          </w:tcPr>
          <w:p>
            <w:pPr>
              <w:pStyle w:val="97"/>
              <w:ind w:left="115" w:right="170"/>
            </w:pPr>
            <w:r>
              <w:rPr>
                <w:rFonts w:hint="eastAsia"/>
              </w:rPr>
              <w:t>类型</w:t>
            </w:r>
          </w:p>
        </w:tc>
        <w:tc>
          <w:tcPr>
            <w:tcW w:w="1578" w:type="dxa"/>
            <w:gridSpan w:val="2"/>
            <w:vAlign w:val="center"/>
          </w:tcPr>
          <w:p>
            <w:pPr>
              <w:pStyle w:val="97"/>
              <w:ind w:left="115" w:right="170"/>
            </w:pPr>
            <w:r>
              <w:rPr>
                <w:rFonts w:hint="eastAsia"/>
              </w:rPr>
              <w:t>污染物</w:t>
            </w:r>
            <w:r>
              <w:t>名称</w:t>
            </w:r>
          </w:p>
        </w:tc>
        <w:tc>
          <w:tcPr>
            <w:tcW w:w="1464" w:type="dxa"/>
            <w:vAlign w:val="center"/>
          </w:tcPr>
          <w:p>
            <w:pPr>
              <w:pStyle w:val="97"/>
              <w:ind w:left="115" w:right="170"/>
            </w:pPr>
            <w:r>
              <w:t>产生量</w:t>
            </w:r>
            <w:r>
              <w:rPr>
                <w:rFonts w:hint="eastAsia"/>
              </w:rPr>
              <w:t>（t/a）</w:t>
            </w:r>
          </w:p>
        </w:tc>
        <w:tc>
          <w:tcPr>
            <w:tcW w:w="1427" w:type="dxa"/>
            <w:vAlign w:val="center"/>
          </w:tcPr>
          <w:p>
            <w:pPr>
              <w:pStyle w:val="97"/>
              <w:ind w:left="115" w:right="170"/>
            </w:pPr>
            <w:r>
              <w:rPr>
                <w:rFonts w:hint="eastAsia"/>
              </w:rPr>
              <w:t>消减量</w:t>
            </w:r>
            <w:r>
              <w:t>（</w:t>
            </w:r>
            <w:r>
              <w:rPr>
                <w:rFonts w:hint="eastAsia"/>
              </w:rPr>
              <w:t>t/</w:t>
            </w:r>
            <w:r>
              <w:t>a）</w:t>
            </w:r>
          </w:p>
        </w:tc>
        <w:tc>
          <w:tcPr>
            <w:tcW w:w="1578" w:type="dxa"/>
            <w:vAlign w:val="center"/>
          </w:tcPr>
          <w:p>
            <w:pPr>
              <w:pStyle w:val="97"/>
              <w:ind w:left="115" w:right="170"/>
            </w:pPr>
            <w:r>
              <w:rPr>
                <w:rFonts w:hint="eastAsia"/>
              </w:rPr>
              <w:t>排放量</w:t>
            </w:r>
            <w:r>
              <w:t>（</w:t>
            </w:r>
            <w:r>
              <w:rPr>
                <w:rFonts w:hint="eastAsia"/>
              </w:rPr>
              <w:t>t/a</w:t>
            </w:r>
            <w:r>
              <w:t>）</w:t>
            </w:r>
          </w:p>
        </w:tc>
        <w:tc>
          <w:tcPr>
            <w:tcW w:w="2282" w:type="dxa"/>
            <w:vAlign w:val="center"/>
          </w:tcPr>
          <w:p>
            <w:pPr>
              <w:pStyle w:val="97"/>
              <w:ind w:left="115" w:right="170"/>
            </w:pPr>
            <w:r>
              <w:rPr>
                <w:rFonts w:hint="eastAsia"/>
              </w:rPr>
              <w:t>治理</w:t>
            </w:r>
            <w: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restart"/>
            <w:vAlign w:val="center"/>
          </w:tcPr>
          <w:p>
            <w:pPr>
              <w:pStyle w:val="97"/>
              <w:ind w:left="115" w:right="170"/>
            </w:pPr>
            <w:r>
              <w:rPr>
                <w:rFonts w:hint="eastAsia"/>
              </w:rPr>
              <w:t>废气</w:t>
            </w:r>
          </w:p>
        </w:tc>
        <w:tc>
          <w:tcPr>
            <w:tcW w:w="867" w:type="dxa"/>
            <w:vAlign w:val="center"/>
          </w:tcPr>
          <w:p>
            <w:pPr>
              <w:pStyle w:val="97"/>
              <w:ind w:left="115" w:right="170"/>
            </w:pPr>
            <w:r>
              <w:rPr>
                <w:rFonts w:hint="eastAsia"/>
              </w:rPr>
              <w:t>初</w:t>
            </w:r>
            <w:r>
              <w:t>清</w:t>
            </w:r>
          </w:p>
        </w:tc>
        <w:tc>
          <w:tcPr>
            <w:tcW w:w="711" w:type="dxa"/>
            <w:vAlign w:val="center"/>
          </w:tcPr>
          <w:p>
            <w:pPr>
              <w:pStyle w:val="92"/>
              <w:ind w:left="115" w:right="170"/>
              <w:rPr>
                <w:rFonts w:hAnsi="Times New Roman"/>
              </w:rPr>
            </w:pPr>
            <w:r>
              <w:rPr>
                <w:rFonts w:hint="eastAsia" w:hAnsi="Times New Roman"/>
              </w:rPr>
              <w:t>粉尘</w:t>
            </w:r>
          </w:p>
        </w:tc>
        <w:tc>
          <w:tcPr>
            <w:tcW w:w="1464" w:type="dxa"/>
            <w:vAlign w:val="center"/>
          </w:tcPr>
          <w:p>
            <w:pPr>
              <w:pStyle w:val="97"/>
              <w:ind w:left="115" w:right="170"/>
              <w:rPr>
                <w:highlight w:val="yellow"/>
              </w:rPr>
            </w:pPr>
            <w:r>
              <w:rPr>
                <w:rFonts w:hint="eastAsia"/>
              </w:rPr>
              <w:t>0.54</w:t>
            </w:r>
          </w:p>
        </w:tc>
        <w:tc>
          <w:tcPr>
            <w:tcW w:w="1427" w:type="dxa"/>
            <w:vAlign w:val="center"/>
          </w:tcPr>
          <w:p>
            <w:pPr>
              <w:pStyle w:val="97"/>
              <w:ind w:left="115" w:right="170"/>
            </w:pPr>
            <w:r>
              <w:rPr>
                <w:rFonts w:hint="eastAsia"/>
              </w:rPr>
              <w:t>0.535</w:t>
            </w:r>
          </w:p>
        </w:tc>
        <w:tc>
          <w:tcPr>
            <w:tcW w:w="1578" w:type="dxa"/>
            <w:vAlign w:val="center"/>
          </w:tcPr>
          <w:p>
            <w:pPr>
              <w:pStyle w:val="97"/>
              <w:ind w:left="115" w:right="170"/>
            </w:pPr>
            <w:r>
              <w:rPr>
                <w:rFonts w:hint="eastAsia"/>
              </w:rPr>
              <w:t>0.005</w:t>
            </w:r>
          </w:p>
        </w:tc>
        <w:tc>
          <w:tcPr>
            <w:tcW w:w="2282" w:type="dxa"/>
            <w:vAlign w:val="center"/>
          </w:tcPr>
          <w:p>
            <w:pPr>
              <w:pStyle w:val="97"/>
              <w:ind w:left="115" w:right="170"/>
            </w:pPr>
            <w:r>
              <w:rPr>
                <w:rFonts w:hint="eastAsia"/>
              </w:rPr>
              <w:t>旋风</w:t>
            </w:r>
            <w:r>
              <w:t>收尘</w:t>
            </w:r>
            <w:r>
              <w:rPr>
                <w:rFonts w:hint="eastAsia"/>
              </w:rPr>
              <w:t>+布袋</w:t>
            </w:r>
            <w:r>
              <w:t>除尘</w:t>
            </w:r>
            <w:r>
              <w:rPr>
                <w:rFonts w:hint="eastAsia"/>
              </w:rPr>
              <w:t>+15</w:t>
            </w:r>
            <w: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Align w:val="center"/>
          </w:tcPr>
          <w:p>
            <w:pPr>
              <w:pStyle w:val="97"/>
              <w:ind w:left="115" w:right="170"/>
            </w:pPr>
            <w:r>
              <w:rPr>
                <w:rFonts w:hint="eastAsia"/>
              </w:rPr>
              <w:t>粗粉</w:t>
            </w:r>
          </w:p>
        </w:tc>
        <w:tc>
          <w:tcPr>
            <w:tcW w:w="711" w:type="dxa"/>
            <w:vAlign w:val="center"/>
          </w:tcPr>
          <w:p>
            <w:pPr>
              <w:pStyle w:val="92"/>
              <w:ind w:left="115" w:right="170"/>
              <w:rPr>
                <w:rFonts w:hAnsi="Times New Roman"/>
              </w:rPr>
            </w:pPr>
            <w:r>
              <w:rPr>
                <w:rFonts w:hint="eastAsia" w:hAnsi="Times New Roman"/>
              </w:rPr>
              <w:t>粉尘</w:t>
            </w:r>
          </w:p>
        </w:tc>
        <w:tc>
          <w:tcPr>
            <w:tcW w:w="1464" w:type="dxa"/>
            <w:vAlign w:val="center"/>
          </w:tcPr>
          <w:p>
            <w:pPr>
              <w:pStyle w:val="97"/>
              <w:ind w:left="115" w:right="170"/>
            </w:pPr>
            <w:r>
              <w:rPr>
                <w:rFonts w:hint="eastAsia"/>
              </w:rPr>
              <w:t>0.54</w:t>
            </w:r>
          </w:p>
        </w:tc>
        <w:tc>
          <w:tcPr>
            <w:tcW w:w="1427" w:type="dxa"/>
            <w:vAlign w:val="center"/>
          </w:tcPr>
          <w:p>
            <w:pPr>
              <w:pStyle w:val="97"/>
              <w:ind w:left="115" w:right="170"/>
            </w:pPr>
            <w:r>
              <w:rPr>
                <w:rFonts w:hint="eastAsia"/>
              </w:rPr>
              <w:t>0.535</w:t>
            </w:r>
          </w:p>
        </w:tc>
        <w:tc>
          <w:tcPr>
            <w:tcW w:w="1578" w:type="dxa"/>
            <w:vAlign w:val="center"/>
          </w:tcPr>
          <w:p>
            <w:pPr>
              <w:pStyle w:val="97"/>
              <w:ind w:left="115" w:right="170"/>
            </w:pPr>
            <w:r>
              <w:rPr>
                <w:rFonts w:hint="eastAsia"/>
              </w:rPr>
              <w:t>0.005</w:t>
            </w:r>
          </w:p>
        </w:tc>
        <w:tc>
          <w:tcPr>
            <w:tcW w:w="2282" w:type="dxa"/>
            <w:vAlign w:val="center"/>
          </w:tcPr>
          <w:p>
            <w:pPr>
              <w:pStyle w:val="97"/>
              <w:ind w:left="115" w:right="170"/>
            </w:pPr>
            <w:r>
              <w:rPr>
                <w:rFonts w:hint="eastAsia"/>
              </w:rPr>
              <w:t>旋风</w:t>
            </w:r>
            <w:r>
              <w:t>收尘</w:t>
            </w:r>
            <w:r>
              <w:rPr>
                <w:rFonts w:hint="eastAsia"/>
              </w:rPr>
              <w:t>+布袋</w:t>
            </w:r>
            <w:r>
              <w:t>除尘</w:t>
            </w:r>
            <w:r>
              <w:rPr>
                <w:rFonts w:hint="eastAsia"/>
              </w:rPr>
              <w:t>+15</w:t>
            </w:r>
            <w: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Align w:val="center"/>
          </w:tcPr>
          <w:p>
            <w:pPr>
              <w:pStyle w:val="97"/>
              <w:ind w:left="115" w:right="170"/>
            </w:pPr>
            <w:r>
              <w:rPr>
                <w:rFonts w:hint="eastAsia"/>
              </w:rPr>
              <w:t>微粉</w:t>
            </w:r>
          </w:p>
        </w:tc>
        <w:tc>
          <w:tcPr>
            <w:tcW w:w="711" w:type="dxa"/>
            <w:vAlign w:val="center"/>
          </w:tcPr>
          <w:p>
            <w:pPr>
              <w:pStyle w:val="92"/>
              <w:ind w:left="115" w:right="170"/>
              <w:rPr>
                <w:rFonts w:hAnsi="Times New Roman"/>
              </w:rPr>
            </w:pPr>
            <w:r>
              <w:rPr>
                <w:rFonts w:hint="eastAsia" w:hAnsi="Times New Roman"/>
              </w:rPr>
              <w:t>粉尘</w:t>
            </w:r>
          </w:p>
        </w:tc>
        <w:tc>
          <w:tcPr>
            <w:tcW w:w="1464" w:type="dxa"/>
            <w:vAlign w:val="center"/>
          </w:tcPr>
          <w:p>
            <w:pPr>
              <w:pStyle w:val="97"/>
              <w:ind w:left="115" w:right="170"/>
            </w:pPr>
            <w:r>
              <w:rPr>
                <w:rFonts w:hint="eastAsia"/>
              </w:rPr>
              <w:t>0.53</w:t>
            </w:r>
          </w:p>
        </w:tc>
        <w:tc>
          <w:tcPr>
            <w:tcW w:w="1427" w:type="dxa"/>
            <w:vAlign w:val="center"/>
          </w:tcPr>
          <w:p>
            <w:pPr>
              <w:pStyle w:val="97"/>
              <w:ind w:left="115" w:right="170"/>
            </w:pPr>
            <w:r>
              <w:t>0.525</w:t>
            </w:r>
          </w:p>
        </w:tc>
        <w:tc>
          <w:tcPr>
            <w:tcW w:w="1578" w:type="dxa"/>
            <w:vAlign w:val="center"/>
          </w:tcPr>
          <w:p>
            <w:pPr>
              <w:pStyle w:val="97"/>
              <w:ind w:left="115" w:right="170"/>
              <w:rPr>
                <w:highlight w:val="yellow"/>
              </w:rPr>
            </w:pPr>
            <w:r>
              <w:rPr>
                <w:rFonts w:hint="eastAsia"/>
              </w:rPr>
              <w:t>0.005</w:t>
            </w:r>
          </w:p>
        </w:tc>
        <w:tc>
          <w:tcPr>
            <w:tcW w:w="2282" w:type="dxa"/>
            <w:vAlign w:val="center"/>
          </w:tcPr>
          <w:p>
            <w:pPr>
              <w:pStyle w:val="97"/>
              <w:ind w:left="115" w:right="170"/>
            </w:pPr>
            <w:r>
              <w:rPr>
                <w:rFonts w:hint="eastAsia"/>
              </w:rPr>
              <w:t>旋风</w:t>
            </w:r>
            <w:r>
              <w:t>收尘</w:t>
            </w:r>
            <w:r>
              <w:rPr>
                <w:rFonts w:hint="eastAsia"/>
              </w:rPr>
              <w:t>+布袋</w:t>
            </w:r>
            <w:r>
              <w:t>除尘</w:t>
            </w:r>
            <w:r>
              <w:rPr>
                <w:rFonts w:hint="eastAsia"/>
              </w:rPr>
              <w:t>+15</w:t>
            </w:r>
            <w: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Align w:val="center"/>
          </w:tcPr>
          <w:p>
            <w:pPr>
              <w:pStyle w:val="97"/>
              <w:ind w:left="115" w:right="170"/>
            </w:pPr>
            <w:r>
              <w:rPr>
                <w:rFonts w:hint="eastAsia"/>
              </w:rPr>
              <w:t>甲醇</w:t>
            </w:r>
            <w:r>
              <w:t>回收</w:t>
            </w:r>
          </w:p>
        </w:tc>
        <w:tc>
          <w:tcPr>
            <w:tcW w:w="711" w:type="dxa"/>
            <w:vAlign w:val="center"/>
          </w:tcPr>
          <w:p>
            <w:pPr>
              <w:pStyle w:val="92"/>
              <w:ind w:left="115" w:right="170"/>
              <w:rPr>
                <w:rFonts w:hAnsi="Times New Roman"/>
              </w:rPr>
            </w:pPr>
            <w:r>
              <w:rPr>
                <w:rFonts w:hint="eastAsia" w:hAnsi="Times New Roman"/>
              </w:rPr>
              <w:t>甲醇</w:t>
            </w:r>
          </w:p>
        </w:tc>
        <w:tc>
          <w:tcPr>
            <w:tcW w:w="1464" w:type="dxa"/>
            <w:vAlign w:val="center"/>
          </w:tcPr>
          <w:p>
            <w:pPr>
              <w:pStyle w:val="97"/>
              <w:ind w:left="115" w:right="170"/>
            </w:pPr>
            <w:r>
              <w:rPr>
                <w:rFonts w:hint="eastAsia"/>
              </w:rPr>
              <w:t>0.27</w:t>
            </w:r>
          </w:p>
        </w:tc>
        <w:tc>
          <w:tcPr>
            <w:tcW w:w="1427" w:type="dxa"/>
            <w:vAlign w:val="center"/>
          </w:tcPr>
          <w:p>
            <w:pPr>
              <w:pStyle w:val="97"/>
              <w:ind w:left="115" w:right="170"/>
            </w:pPr>
            <w:r>
              <w:rPr>
                <w:rFonts w:hint="eastAsia"/>
              </w:rPr>
              <w:t>0.20</w:t>
            </w:r>
          </w:p>
        </w:tc>
        <w:tc>
          <w:tcPr>
            <w:tcW w:w="1578" w:type="dxa"/>
            <w:vAlign w:val="center"/>
          </w:tcPr>
          <w:p>
            <w:pPr>
              <w:pStyle w:val="97"/>
              <w:ind w:left="115" w:right="170"/>
            </w:pPr>
            <w:r>
              <w:rPr>
                <w:rFonts w:hint="eastAsia"/>
              </w:rPr>
              <w:t>0.07</w:t>
            </w:r>
          </w:p>
        </w:tc>
        <w:tc>
          <w:tcPr>
            <w:tcW w:w="2282" w:type="dxa"/>
            <w:vAlign w:val="center"/>
          </w:tcPr>
          <w:p>
            <w:pPr>
              <w:pStyle w:val="97"/>
              <w:ind w:left="115" w:right="170"/>
            </w:pPr>
            <w:r>
              <w:rPr>
                <w:rFonts w:hint="eastAsia"/>
              </w:rPr>
              <w:t>冷冻</w:t>
            </w:r>
            <w:r>
              <w:t>回收</w:t>
            </w:r>
            <w:r>
              <w:rPr>
                <w:rFonts w:hint="eastAsia"/>
              </w:rPr>
              <w:t>+15</w:t>
            </w:r>
            <w:r>
              <w:t>m排气筒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Merge w:val="restart"/>
            <w:vAlign w:val="center"/>
          </w:tcPr>
          <w:p>
            <w:pPr>
              <w:pStyle w:val="97"/>
              <w:ind w:left="115" w:right="170"/>
            </w:pPr>
            <w:r>
              <w:rPr>
                <w:rFonts w:hint="eastAsia"/>
              </w:rPr>
              <w:t>天然气</w:t>
            </w:r>
            <w:r>
              <w:t>锅炉</w:t>
            </w:r>
          </w:p>
        </w:tc>
        <w:tc>
          <w:tcPr>
            <w:tcW w:w="711" w:type="dxa"/>
            <w:vAlign w:val="center"/>
          </w:tcPr>
          <w:p>
            <w:pPr>
              <w:pStyle w:val="97"/>
            </w:pPr>
            <w:r>
              <w:rPr>
                <w:rFonts w:hint="eastAsia"/>
              </w:rPr>
              <w:t>烟尘</w:t>
            </w:r>
          </w:p>
        </w:tc>
        <w:tc>
          <w:tcPr>
            <w:tcW w:w="1464" w:type="dxa"/>
            <w:vAlign w:val="center"/>
          </w:tcPr>
          <w:p>
            <w:pPr>
              <w:pStyle w:val="97"/>
              <w:ind w:left="115" w:right="170"/>
            </w:pPr>
            <w:r>
              <w:rPr>
                <w:rFonts w:hint="eastAsia"/>
              </w:rPr>
              <w:t>0.155</w:t>
            </w:r>
          </w:p>
        </w:tc>
        <w:tc>
          <w:tcPr>
            <w:tcW w:w="1427" w:type="dxa"/>
            <w:vAlign w:val="center"/>
          </w:tcPr>
          <w:p>
            <w:pPr>
              <w:pStyle w:val="97"/>
              <w:ind w:left="115" w:right="170"/>
            </w:pPr>
            <w:r>
              <w:rPr>
                <w:rFonts w:hint="eastAsia"/>
              </w:rPr>
              <w:t>0</w:t>
            </w:r>
          </w:p>
        </w:tc>
        <w:tc>
          <w:tcPr>
            <w:tcW w:w="1578" w:type="dxa"/>
            <w:vAlign w:val="center"/>
          </w:tcPr>
          <w:p>
            <w:pPr>
              <w:pStyle w:val="97"/>
              <w:ind w:left="115" w:right="170"/>
            </w:pPr>
            <w:r>
              <w:rPr>
                <w:rFonts w:hint="eastAsia"/>
              </w:rPr>
              <w:t>0.155</w:t>
            </w:r>
          </w:p>
        </w:tc>
        <w:tc>
          <w:tcPr>
            <w:tcW w:w="2282" w:type="dxa"/>
            <w:vMerge w:val="restart"/>
            <w:vAlign w:val="center"/>
          </w:tcPr>
          <w:p>
            <w:pPr>
              <w:pStyle w:val="97"/>
              <w:ind w:left="115" w:right="170"/>
              <w:rPr>
                <w:highlight w:val="yellow"/>
              </w:rPr>
            </w:pPr>
            <w:r>
              <w:rPr>
                <w:rFonts w:hint="eastAsia"/>
              </w:rPr>
              <w:t>低氮</w:t>
            </w:r>
            <w:r>
              <w:t>燃烧</w:t>
            </w:r>
            <w:r>
              <w:rPr>
                <w:rFonts w:hint="eastAsia"/>
              </w:rPr>
              <w:t>+</w:t>
            </w:r>
            <w:r>
              <w:t>15m</w:t>
            </w:r>
            <w:r>
              <w:rPr>
                <w:rFonts w:hint="eastAsia"/>
              </w:rPr>
              <w:t>高</w:t>
            </w:r>
            <w:r>
              <w:t>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Merge w:val="continue"/>
            <w:vAlign w:val="center"/>
          </w:tcPr>
          <w:p>
            <w:pPr>
              <w:pStyle w:val="97"/>
              <w:ind w:left="115" w:right="170"/>
            </w:pPr>
          </w:p>
        </w:tc>
        <w:tc>
          <w:tcPr>
            <w:tcW w:w="711" w:type="dxa"/>
            <w:vAlign w:val="center"/>
          </w:tcPr>
          <w:p>
            <w:pPr>
              <w:pStyle w:val="97"/>
            </w:pPr>
            <w:r>
              <w:rPr>
                <w:rFonts w:hint="eastAsia"/>
              </w:rPr>
              <w:t>SO</w:t>
            </w:r>
            <w:r>
              <w:rPr>
                <w:rFonts w:hint="eastAsia"/>
                <w:vertAlign w:val="subscript"/>
              </w:rPr>
              <w:t>2</w:t>
            </w:r>
          </w:p>
        </w:tc>
        <w:tc>
          <w:tcPr>
            <w:tcW w:w="1464" w:type="dxa"/>
            <w:vAlign w:val="center"/>
          </w:tcPr>
          <w:p>
            <w:pPr>
              <w:pStyle w:val="97"/>
              <w:ind w:left="115" w:right="170"/>
            </w:pPr>
            <w:r>
              <w:rPr>
                <w:rFonts w:hint="eastAsia"/>
              </w:rPr>
              <w:t>0.130</w:t>
            </w:r>
          </w:p>
        </w:tc>
        <w:tc>
          <w:tcPr>
            <w:tcW w:w="1427" w:type="dxa"/>
            <w:vAlign w:val="center"/>
          </w:tcPr>
          <w:p>
            <w:pPr>
              <w:pStyle w:val="97"/>
              <w:ind w:left="115" w:right="170"/>
            </w:pPr>
            <w:r>
              <w:rPr>
                <w:rFonts w:hint="eastAsia"/>
              </w:rPr>
              <w:t>0</w:t>
            </w:r>
          </w:p>
        </w:tc>
        <w:tc>
          <w:tcPr>
            <w:tcW w:w="1578" w:type="dxa"/>
            <w:vAlign w:val="center"/>
          </w:tcPr>
          <w:p>
            <w:pPr>
              <w:pStyle w:val="97"/>
              <w:ind w:left="115" w:right="170"/>
            </w:pPr>
            <w:r>
              <w:rPr>
                <w:rFonts w:hint="eastAsia"/>
              </w:rPr>
              <w:t>0.130</w:t>
            </w:r>
          </w:p>
        </w:tc>
        <w:tc>
          <w:tcPr>
            <w:tcW w:w="2282" w:type="dxa"/>
            <w:vMerge w:val="continue"/>
            <w:vAlign w:val="center"/>
          </w:tcPr>
          <w:p>
            <w:pPr>
              <w:pStyle w:val="97"/>
              <w:ind w:left="115" w:right="170"/>
              <w:rPr>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Merge w:val="continue"/>
            <w:vAlign w:val="center"/>
          </w:tcPr>
          <w:p>
            <w:pPr>
              <w:pStyle w:val="97"/>
              <w:ind w:left="115" w:right="170"/>
            </w:pPr>
          </w:p>
        </w:tc>
        <w:tc>
          <w:tcPr>
            <w:tcW w:w="711" w:type="dxa"/>
            <w:vAlign w:val="center"/>
          </w:tcPr>
          <w:p>
            <w:pPr>
              <w:pStyle w:val="97"/>
            </w:pPr>
            <w:r>
              <w:rPr>
                <w:rFonts w:hint="eastAsia"/>
              </w:rPr>
              <w:t>NO</w:t>
            </w:r>
            <w:r>
              <w:rPr>
                <w:rFonts w:hint="eastAsia"/>
                <w:vertAlign w:val="subscript"/>
              </w:rPr>
              <w:t>X</w:t>
            </w:r>
          </w:p>
        </w:tc>
        <w:tc>
          <w:tcPr>
            <w:tcW w:w="1464" w:type="dxa"/>
            <w:vAlign w:val="center"/>
          </w:tcPr>
          <w:p>
            <w:pPr>
              <w:pStyle w:val="97"/>
              <w:ind w:left="115" w:right="170"/>
            </w:pPr>
            <w:r>
              <w:rPr>
                <w:rFonts w:hint="eastAsia"/>
              </w:rPr>
              <w:t>2.424</w:t>
            </w:r>
          </w:p>
        </w:tc>
        <w:tc>
          <w:tcPr>
            <w:tcW w:w="1427" w:type="dxa"/>
            <w:vAlign w:val="center"/>
          </w:tcPr>
          <w:p>
            <w:pPr>
              <w:pStyle w:val="97"/>
              <w:ind w:left="115" w:right="170"/>
            </w:pPr>
            <w:r>
              <w:rPr>
                <w:rFonts w:hint="eastAsia"/>
              </w:rPr>
              <w:t>2.303</w:t>
            </w:r>
          </w:p>
        </w:tc>
        <w:tc>
          <w:tcPr>
            <w:tcW w:w="1578" w:type="dxa"/>
            <w:vAlign w:val="center"/>
          </w:tcPr>
          <w:p>
            <w:pPr>
              <w:pStyle w:val="97"/>
              <w:ind w:left="115" w:right="170"/>
            </w:pPr>
            <w:r>
              <w:rPr>
                <w:rFonts w:hint="eastAsia"/>
              </w:rPr>
              <w:t>0.121</w:t>
            </w:r>
          </w:p>
        </w:tc>
        <w:tc>
          <w:tcPr>
            <w:tcW w:w="2282" w:type="dxa"/>
            <w:vMerge w:val="continue"/>
            <w:vAlign w:val="center"/>
          </w:tcPr>
          <w:p>
            <w:pPr>
              <w:pStyle w:val="97"/>
              <w:ind w:left="115" w:right="170"/>
              <w:rPr>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Merge w:val="restart"/>
            <w:vAlign w:val="center"/>
          </w:tcPr>
          <w:p>
            <w:pPr>
              <w:pStyle w:val="97"/>
              <w:ind w:left="115" w:right="170"/>
            </w:pPr>
            <w:r>
              <w:rPr>
                <w:rFonts w:hint="eastAsia"/>
              </w:rPr>
              <w:t>储罐</w:t>
            </w:r>
            <w:r>
              <w:t>大小呼吸</w:t>
            </w:r>
          </w:p>
        </w:tc>
        <w:tc>
          <w:tcPr>
            <w:tcW w:w="711" w:type="dxa"/>
            <w:vAlign w:val="center"/>
          </w:tcPr>
          <w:p>
            <w:pPr>
              <w:pStyle w:val="97"/>
            </w:pPr>
            <w:r>
              <w:rPr>
                <w:rFonts w:hint="eastAsia"/>
              </w:rPr>
              <w:t>石油醚</w:t>
            </w:r>
          </w:p>
        </w:tc>
        <w:tc>
          <w:tcPr>
            <w:tcW w:w="1464" w:type="dxa"/>
            <w:vAlign w:val="center"/>
          </w:tcPr>
          <w:p>
            <w:pPr>
              <w:pStyle w:val="97"/>
              <w:ind w:left="115" w:right="170"/>
            </w:pPr>
            <w:r>
              <w:rPr>
                <w:rFonts w:hint="eastAsia"/>
              </w:rPr>
              <w:t>0.003</w:t>
            </w:r>
          </w:p>
        </w:tc>
        <w:tc>
          <w:tcPr>
            <w:tcW w:w="1427" w:type="dxa"/>
            <w:vAlign w:val="center"/>
          </w:tcPr>
          <w:p>
            <w:pPr>
              <w:pStyle w:val="97"/>
              <w:ind w:left="115" w:right="170"/>
            </w:pPr>
            <w:r>
              <w:rPr>
                <w:rFonts w:hint="eastAsia"/>
              </w:rPr>
              <w:t>0</w:t>
            </w:r>
          </w:p>
        </w:tc>
        <w:tc>
          <w:tcPr>
            <w:tcW w:w="1578" w:type="dxa"/>
            <w:vAlign w:val="center"/>
          </w:tcPr>
          <w:p>
            <w:pPr>
              <w:pStyle w:val="97"/>
              <w:ind w:left="115" w:right="170"/>
            </w:pPr>
            <w:r>
              <w:rPr>
                <w:rFonts w:hint="eastAsia"/>
              </w:rPr>
              <w:t>0.003</w:t>
            </w:r>
          </w:p>
        </w:tc>
        <w:tc>
          <w:tcPr>
            <w:tcW w:w="2282" w:type="dxa"/>
            <w:vMerge w:val="restart"/>
            <w:vAlign w:val="center"/>
          </w:tcPr>
          <w:p>
            <w:pPr>
              <w:pStyle w:val="97"/>
              <w:ind w:left="115" w:right="170"/>
              <w:rPr>
                <w:highlight w:val="yellow"/>
              </w:rPr>
            </w:pPr>
            <w:r>
              <w:rPr>
                <w:rFonts w:hint="eastAsia"/>
              </w:rPr>
              <w:t>地埋式</w:t>
            </w:r>
            <w:r>
              <w:t>储罐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867" w:type="dxa"/>
            <w:vMerge w:val="continue"/>
            <w:vAlign w:val="center"/>
          </w:tcPr>
          <w:p>
            <w:pPr>
              <w:pStyle w:val="97"/>
              <w:ind w:left="115" w:right="170"/>
            </w:pPr>
          </w:p>
        </w:tc>
        <w:tc>
          <w:tcPr>
            <w:tcW w:w="711" w:type="dxa"/>
            <w:vAlign w:val="center"/>
          </w:tcPr>
          <w:p>
            <w:pPr>
              <w:pStyle w:val="97"/>
            </w:pPr>
            <w:r>
              <w:rPr>
                <w:rFonts w:hint="eastAsia"/>
              </w:rPr>
              <w:t>甲醇</w:t>
            </w:r>
          </w:p>
        </w:tc>
        <w:tc>
          <w:tcPr>
            <w:tcW w:w="1464" w:type="dxa"/>
            <w:vAlign w:val="center"/>
          </w:tcPr>
          <w:p>
            <w:pPr>
              <w:pStyle w:val="97"/>
              <w:ind w:left="115" w:right="170"/>
            </w:pPr>
            <w:r>
              <w:rPr>
                <w:rFonts w:hint="eastAsia"/>
              </w:rPr>
              <w:t>0.002</w:t>
            </w:r>
          </w:p>
        </w:tc>
        <w:tc>
          <w:tcPr>
            <w:tcW w:w="1427" w:type="dxa"/>
            <w:vAlign w:val="center"/>
          </w:tcPr>
          <w:p>
            <w:pPr>
              <w:pStyle w:val="97"/>
              <w:ind w:left="115" w:right="170"/>
            </w:pPr>
            <w:r>
              <w:rPr>
                <w:rFonts w:hint="eastAsia"/>
              </w:rPr>
              <w:t>0</w:t>
            </w:r>
          </w:p>
        </w:tc>
        <w:tc>
          <w:tcPr>
            <w:tcW w:w="1578" w:type="dxa"/>
            <w:vAlign w:val="center"/>
          </w:tcPr>
          <w:p>
            <w:pPr>
              <w:pStyle w:val="97"/>
              <w:ind w:left="115" w:right="170"/>
            </w:pPr>
            <w:r>
              <w:rPr>
                <w:rFonts w:hint="eastAsia"/>
              </w:rPr>
              <w:t>0.002</w:t>
            </w:r>
          </w:p>
        </w:tc>
        <w:tc>
          <w:tcPr>
            <w:tcW w:w="2282" w:type="dxa"/>
            <w:vMerge w:val="continue"/>
            <w:vAlign w:val="center"/>
          </w:tcPr>
          <w:p>
            <w:pPr>
              <w:pStyle w:val="97"/>
              <w:ind w:left="115" w:right="170"/>
              <w:rPr>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restart"/>
            <w:vAlign w:val="center"/>
          </w:tcPr>
          <w:p>
            <w:pPr>
              <w:pStyle w:val="97"/>
              <w:ind w:left="115" w:right="170"/>
            </w:pPr>
            <w:r>
              <w:rPr>
                <w:rFonts w:hint="eastAsia"/>
              </w:rPr>
              <w:t>废水</w:t>
            </w:r>
          </w:p>
        </w:tc>
        <w:tc>
          <w:tcPr>
            <w:tcW w:w="1578" w:type="dxa"/>
            <w:gridSpan w:val="2"/>
            <w:vAlign w:val="center"/>
          </w:tcPr>
          <w:p>
            <w:pPr>
              <w:pStyle w:val="97"/>
              <w:ind w:left="115" w:right="170"/>
            </w:pPr>
            <w:r>
              <w:rPr>
                <w:rFonts w:hint="eastAsia"/>
              </w:rPr>
              <w:t>生活</w:t>
            </w:r>
            <w:r>
              <w:t>污水</w:t>
            </w:r>
          </w:p>
        </w:tc>
        <w:tc>
          <w:tcPr>
            <w:tcW w:w="1464" w:type="dxa"/>
            <w:vAlign w:val="center"/>
          </w:tcPr>
          <w:p>
            <w:pPr>
              <w:pStyle w:val="97"/>
              <w:ind w:left="115" w:right="170"/>
            </w:pPr>
            <w:r>
              <w:t>160.2m</w:t>
            </w:r>
            <w:r>
              <w:rPr>
                <w:vertAlign w:val="superscript"/>
              </w:rPr>
              <w:t>3</w:t>
            </w:r>
            <w:r>
              <w:t>/a</w:t>
            </w:r>
          </w:p>
        </w:tc>
        <w:tc>
          <w:tcPr>
            <w:tcW w:w="1427" w:type="dxa"/>
            <w:vAlign w:val="center"/>
          </w:tcPr>
          <w:p>
            <w:pPr>
              <w:pStyle w:val="97"/>
              <w:ind w:left="115" w:right="170"/>
            </w:pPr>
            <w:r>
              <w:rPr>
                <w:rFonts w:hint="eastAsia"/>
              </w:rPr>
              <w:t>0</w:t>
            </w:r>
          </w:p>
        </w:tc>
        <w:tc>
          <w:tcPr>
            <w:tcW w:w="1578" w:type="dxa"/>
            <w:vAlign w:val="center"/>
          </w:tcPr>
          <w:p>
            <w:pPr>
              <w:pStyle w:val="97"/>
              <w:ind w:left="115" w:right="170"/>
            </w:pPr>
            <w:r>
              <w:t>160.2m</w:t>
            </w:r>
            <w:r>
              <w:rPr>
                <w:vertAlign w:val="superscript"/>
              </w:rPr>
              <w:t>3</w:t>
            </w:r>
            <w:r>
              <w:t>/a</w:t>
            </w:r>
          </w:p>
        </w:tc>
        <w:tc>
          <w:tcPr>
            <w:tcW w:w="2282" w:type="dxa"/>
            <w:vAlign w:val="center"/>
          </w:tcPr>
          <w:p>
            <w:pPr>
              <w:pStyle w:val="97"/>
              <w:ind w:left="115" w:right="170"/>
            </w:pPr>
            <w:r>
              <w:t>经化粪池预处理后排入</w:t>
            </w:r>
            <w:r>
              <w:rPr>
                <w:rFonts w:hint="eastAsia"/>
              </w:rPr>
              <w:t>吕河镇污水</w:t>
            </w:r>
            <w:r>
              <w:t>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1578" w:type="dxa"/>
            <w:gridSpan w:val="2"/>
            <w:vAlign w:val="center"/>
          </w:tcPr>
          <w:p>
            <w:pPr>
              <w:pStyle w:val="97"/>
              <w:ind w:left="115" w:right="170"/>
            </w:pPr>
            <w:r>
              <w:rPr>
                <w:rFonts w:hint="eastAsia"/>
              </w:rPr>
              <w:t>锅炉排污</w:t>
            </w:r>
            <w:r>
              <w:t>、软水</w:t>
            </w:r>
            <w:r>
              <w:rPr>
                <w:rFonts w:hint="eastAsia"/>
              </w:rPr>
              <w:t>制备</w:t>
            </w:r>
          </w:p>
        </w:tc>
        <w:tc>
          <w:tcPr>
            <w:tcW w:w="1464" w:type="dxa"/>
            <w:vAlign w:val="center"/>
          </w:tcPr>
          <w:p>
            <w:pPr>
              <w:pStyle w:val="97"/>
              <w:ind w:left="115" w:right="170"/>
            </w:pPr>
            <w:r>
              <w:rPr>
                <w:rFonts w:hint="eastAsia"/>
              </w:rPr>
              <w:t>1094.4</w:t>
            </w:r>
            <w:r>
              <w:t>m</w:t>
            </w:r>
            <w:r>
              <w:rPr>
                <w:vertAlign w:val="superscript"/>
              </w:rPr>
              <w:t>3</w:t>
            </w:r>
            <w:r>
              <w:t>/a</w:t>
            </w:r>
          </w:p>
        </w:tc>
        <w:tc>
          <w:tcPr>
            <w:tcW w:w="1427" w:type="dxa"/>
            <w:vAlign w:val="center"/>
          </w:tcPr>
          <w:p>
            <w:pPr>
              <w:pStyle w:val="97"/>
              <w:ind w:left="115" w:right="170"/>
            </w:pPr>
            <w:r>
              <w:rPr>
                <w:rFonts w:hint="eastAsia"/>
              </w:rPr>
              <w:t>0</w:t>
            </w:r>
          </w:p>
        </w:tc>
        <w:tc>
          <w:tcPr>
            <w:tcW w:w="1578" w:type="dxa"/>
            <w:vAlign w:val="center"/>
          </w:tcPr>
          <w:p>
            <w:pPr>
              <w:pStyle w:val="97"/>
              <w:ind w:left="115" w:right="170"/>
            </w:pPr>
            <w:r>
              <w:t>1094.4m</w:t>
            </w:r>
            <w:r>
              <w:rPr>
                <w:vertAlign w:val="superscript"/>
              </w:rPr>
              <w:t>3</w:t>
            </w:r>
            <w:r>
              <w:t>/a</w:t>
            </w:r>
          </w:p>
        </w:tc>
        <w:tc>
          <w:tcPr>
            <w:tcW w:w="2282" w:type="dxa"/>
            <w:vAlign w:val="center"/>
          </w:tcPr>
          <w:p>
            <w:pPr>
              <w:pStyle w:val="97"/>
              <w:ind w:left="115" w:right="170"/>
            </w:pPr>
            <w:r>
              <w:rPr>
                <w:rFonts w:hint="eastAsia"/>
              </w:rPr>
              <w:t>排入</w:t>
            </w:r>
            <w:r>
              <w:t>雨水管网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restart"/>
            <w:vAlign w:val="center"/>
          </w:tcPr>
          <w:p>
            <w:pPr>
              <w:pStyle w:val="97"/>
              <w:ind w:left="115" w:right="170"/>
            </w:pPr>
            <w:r>
              <w:rPr>
                <w:rFonts w:hint="eastAsia"/>
              </w:rPr>
              <w:t>固废</w:t>
            </w:r>
          </w:p>
        </w:tc>
        <w:tc>
          <w:tcPr>
            <w:tcW w:w="1578" w:type="dxa"/>
            <w:gridSpan w:val="2"/>
            <w:vAlign w:val="center"/>
          </w:tcPr>
          <w:p>
            <w:pPr>
              <w:pStyle w:val="97"/>
              <w:ind w:left="115" w:right="170"/>
            </w:pPr>
            <w:r>
              <w:rPr>
                <w:rFonts w:hint="eastAsia"/>
              </w:rPr>
              <w:t>废渣</w:t>
            </w:r>
          </w:p>
        </w:tc>
        <w:tc>
          <w:tcPr>
            <w:tcW w:w="1464" w:type="dxa"/>
            <w:vAlign w:val="center"/>
          </w:tcPr>
          <w:p>
            <w:pPr>
              <w:pStyle w:val="97"/>
              <w:ind w:left="115" w:right="170"/>
            </w:pPr>
            <w:r>
              <w:t>178.39</w:t>
            </w:r>
          </w:p>
        </w:tc>
        <w:tc>
          <w:tcPr>
            <w:tcW w:w="1427" w:type="dxa"/>
            <w:vAlign w:val="center"/>
          </w:tcPr>
          <w:p>
            <w:pPr>
              <w:pStyle w:val="97"/>
              <w:ind w:left="115" w:right="170"/>
            </w:pPr>
            <w:r>
              <w:t>178.39</w:t>
            </w:r>
          </w:p>
        </w:tc>
        <w:tc>
          <w:tcPr>
            <w:tcW w:w="1578" w:type="dxa"/>
            <w:vAlign w:val="center"/>
          </w:tcPr>
          <w:p>
            <w:pPr>
              <w:pStyle w:val="97"/>
              <w:ind w:left="115" w:right="170"/>
            </w:pPr>
            <w:r>
              <w:rPr>
                <w:rFonts w:hint="eastAsia"/>
              </w:rPr>
              <w:t>0</w:t>
            </w:r>
          </w:p>
        </w:tc>
        <w:tc>
          <w:tcPr>
            <w:tcW w:w="2282" w:type="dxa"/>
            <w:vAlign w:val="center"/>
          </w:tcPr>
          <w:p>
            <w:pPr>
              <w:pStyle w:val="97"/>
              <w:ind w:left="115" w:right="170"/>
            </w:pPr>
            <w:r>
              <w:rPr>
                <w:rFonts w:hint="eastAsia"/>
              </w:rPr>
              <w:t>外售</w:t>
            </w:r>
            <w:r>
              <w:t>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1578" w:type="dxa"/>
            <w:gridSpan w:val="2"/>
            <w:vAlign w:val="center"/>
          </w:tcPr>
          <w:p>
            <w:pPr>
              <w:pStyle w:val="97"/>
              <w:ind w:left="115" w:right="170"/>
            </w:pPr>
            <w:r>
              <w:rPr>
                <w:rFonts w:hint="eastAsia"/>
              </w:rPr>
              <w:t>废</w:t>
            </w:r>
            <w:r>
              <w:t>含油抹布</w:t>
            </w:r>
          </w:p>
        </w:tc>
        <w:tc>
          <w:tcPr>
            <w:tcW w:w="1464" w:type="dxa"/>
            <w:vAlign w:val="center"/>
          </w:tcPr>
          <w:p>
            <w:pPr>
              <w:pStyle w:val="97"/>
              <w:ind w:left="115" w:right="170"/>
            </w:pPr>
            <w:r>
              <w:rPr>
                <w:rFonts w:hint="eastAsia"/>
              </w:rPr>
              <w:t>0.1</w:t>
            </w:r>
          </w:p>
        </w:tc>
        <w:tc>
          <w:tcPr>
            <w:tcW w:w="1427" w:type="dxa"/>
            <w:vAlign w:val="center"/>
          </w:tcPr>
          <w:p>
            <w:pPr>
              <w:pStyle w:val="97"/>
              <w:ind w:left="115" w:right="170"/>
            </w:pPr>
            <w:r>
              <w:rPr>
                <w:rFonts w:hint="eastAsia"/>
              </w:rPr>
              <w:t>0.1</w:t>
            </w:r>
          </w:p>
        </w:tc>
        <w:tc>
          <w:tcPr>
            <w:tcW w:w="1578" w:type="dxa"/>
            <w:vAlign w:val="center"/>
          </w:tcPr>
          <w:p>
            <w:pPr>
              <w:pStyle w:val="97"/>
              <w:ind w:left="115" w:right="170"/>
            </w:pPr>
            <w:r>
              <w:rPr>
                <w:rFonts w:hint="eastAsia"/>
              </w:rPr>
              <w:t>0</w:t>
            </w:r>
          </w:p>
        </w:tc>
        <w:tc>
          <w:tcPr>
            <w:tcW w:w="2282" w:type="dxa"/>
            <w:vMerge w:val="restart"/>
            <w:vAlign w:val="center"/>
          </w:tcPr>
          <w:p>
            <w:pPr>
              <w:pStyle w:val="97"/>
              <w:ind w:left="115" w:right="170"/>
            </w:pPr>
            <w:r>
              <w:rPr>
                <w:rFonts w:hint="eastAsia"/>
              </w:rPr>
              <w:t>交有资质</w:t>
            </w:r>
            <w:r>
              <w:t>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1578" w:type="dxa"/>
            <w:gridSpan w:val="2"/>
            <w:vAlign w:val="center"/>
          </w:tcPr>
          <w:p>
            <w:pPr>
              <w:pStyle w:val="97"/>
              <w:ind w:left="115" w:right="170"/>
            </w:pPr>
            <w:r>
              <w:rPr>
                <w:rFonts w:hint="eastAsia"/>
              </w:rPr>
              <w:t>废</w:t>
            </w:r>
            <w:r>
              <w:t>活性炭</w:t>
            </w:r>
          </w:p>
        </w:tc>
        <w:tc>
          <w:tcPr>
            <w:tcW w:w="1464" w:type="dxa"/>
            <w:vAlign w:val="center"/>
          </w:tcPr>
          <w:p>
            <w:pPr>
              <w:pStyle w:val="97"/>
              <w:ind w:left="115" w:right="170"/>
            </w:pPr>
            <w:r>
              <w:rPr>
                <w:rFonts w:hint="eastAsia"/>
              </w:rPr>
              <w:t>1.92</w:t>
            </w:r>
          </w:p>
        </w:tc>
        <w:tc>
          <w:tcPr>
            <w:tcW w:w="1427" w:type="dxa"/>
            <w:vAlign w:val="center"/>
          </w:tcPr>
          <w:p>
            <w:pPr>
              <w:pStyle w:val="97"/>
              <w:ind w:left="115" w:right="170"/>
            </w:pPr>
            <w:r>
              <w:rPr>
                <w:rFonts w:hint="eastAsia"/>
              </w:rPr>
              <w:t>19.2</w:t>
            </w:r>
          </w:p>
        </w:tc>
        <w:tc>
          <w:tcPr>
            <w:tcW w:w="1578" w:type="dxa"/>
            <w:vAlign w:val="center"/>
          </w:tcPr>
          <w:p>
            <w:pPr>
              <w:pStyle w:val="97"/>
              <w:ind w:left="115" w:right="170"/>
            </w:pPr>
            <w:r>
              <w:rPr>
                <w:rFonts w:hint="eastAsia"/>
              </w:rPr>
              <w:t>0</w:t>
            </w:r>
          </w:p>
        </w:tc>
        <w:tc>
          <w:tcPr>
            <w:tcW w:w="2282" w:type="dxa"/>
            <w:vMerge w:val="continue"/>
            <w:vAlign w:val="center"/>
          </w:tcPr>
          <w:p>
            <w:pPr>
              <w:pStyle w:val="97"/>
              <w:ind w:left="115" w:right="17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11" w:type="dxa"/>
            <w:vMerge w:val="continue"/>
            <w:vAlign w:val="center"/>
          </w:tcPr>
          <w:p>
            <w:pPr>
              <w:pStyle w:val="97"/>
              <w:ind w:left="115" w:right="170"/>
            </w:pPr>
          </w:p>
        </w:tc>
        <w:tc>
          <w:tcPr>
            <w:tcW w:w="1578" w:type="dxa"/>
            <w:gridSpan w:val="2"/>
            <w:vAlign w:val="center"/>
          </w:tcPr>
          <w:p>
            <w:pPr>
              <w:pStyle w:val="97"/>
              <w:ind w:left="115" w:right="170"/>
            </w:pPr>
            <w:r>
              <w:rPr>
                <w:rFonts w:hint="eastAsia"/>
              </w:rPr>
              <w:t>生活</w:t>
            </w:r>
            <w:r>
              <w:t>垃圾</w:t>
            </w:r>
          </w:p>
        </w:tc>
        <w:tc>
          <w:tcPr>
            <w:tcW w:w="1464" w:type="dxa"/>
            <w:vAlign w:val="center"/>
          </w:tcPr>
          <w:p>
            <w:pPr>
              <w:pStyle w:val="97"/>
              <w:ind w:left="115" w:right="170"/>
            </w:pPr>
            <w:r>
              <w:t>2.7</w:t>
            </w:r>
          </w:p>
        </w:tc>
        <w:tc>
          <w:tcPr>
            <w:tcW w:w="1427" w:type="dxa"/>
            <w:vAlign w:val="center"/>
          </w:tcPr>
          <w:p>
            <w:pPr>
              <w:pStyle w:val="97"/>
              <w:ind w:left="115" w:right="170"/>
            </w:pPr>
            <w:r>
              <w:rPr>
                <w:rFonts w:hint="eastAsia"/>
              </w:rPr>
              <w:t>2.7</w:t>
            </w:r>
          </w:p>
        </w:tc>
        <w:tc>
          <w:tcPr>
            <w:tcW w:w="1578" w:type="dxa"/>
            <w:vAlign w:val="center"/>
          </w:tcPr>
          <w:p>
            <w:pPr>
              <w:pStyle w:val="97"/>
              <w:ind w:left="115" w:right="170"/>
            </w:pPr>
            <w:r>
              <w:rPr>
                <w:rFonts w:hint="eastAsia"/>
              </w:rPr>
              <w:t>0</w:t>
            </w:r>
          </w:p>
        </w:tc>
        <w:tc>
          <w:tcPr>
            <w:tcW w:w="2282" w:type="dxa"/>
            <w:vAlign w:val="center"/>
          </w:tcPr>
          <w:p>
            <w:pPr>
              <w:pStyle w:val="97"/>
              <w:ind w:left="115" w:right="170"/>
            </w:pPr>
            <w:r>
              <w:rPr>
                <w:rFonts w:hint="eastAsia"/>
              </w:rPr>
              <w:t>收集后</w:t>
            </w:r>
            <w:r>
              <w:t>交环卫部门统一处理</w:t>
            </w:r>
          </w:p>
        </w:tc>
      </w:tr>
    </w:tbl>
    <w:p>
      <w:pPr>
        <w:pStyle w:val="2"/>
        <w:sectPr>
          <w:headerReference r:id="rId40" w:type="default"/>
          <w:headerReference r:id="rId41" w:type="even"/>
          <w:pgSz w:w="11906" w:h="16838"/>
          <w:pgMar w:top="1418" w:right="1418" w:bottom="1418" w:left="1418" w:header="992" w:footer="992" w:gutter="0"/>
          <w:pgNumType w:fmt="numberInDash"/>
          <w:cols w:space="425" w:num="1"/>
          <w:docGrid w:type="lines" w:linePitch="326" w:charSpace="0"/>
        </w:sectPr>
      </w:pPr>
      <w:bookmarkStart w:id="88" w:name="_Toc488102163"/>
    </w:p>
    <w:p>
      <w:pPr>
        <w:pStyle w:val="2"/>
      </w:pPr>
      <w:bookmarkStart w:id="89" w:name="_Toc82502950"/>
      <w:r>
        <w:rPr>
          <w:rFonts w:hint="eastAsia"/>
        </w:rPr>
        <w:t>环境现状调查与评价</w:t>
      </w:r>
      <w:bookmarkEnd w:id="88"/>
      <w:bookmarkEnd w:id="89"/>
    </w:p>
    <w:p>
      <w:pPr>
        <w:pStyle w:val="3"/>
      </w:pPr>
      <w:bookmarkStart w:id="90" w:name="_Toc82502951"/>
      <w:bookmarkStart w:id="91" w:name="_Toc488102164"/>
      <w:r>
        <w:rPr>
          <w:rFonts w:hint="eastAsia"/>
        </w:rPr>
        <w:t>自然环境现状调查</w:t>
      </w:r>
      <w:bookmarkEnd w:id="90"/>
      <w:bookmarkEnd w:id="91"/>
    </w:p>
    <w:p>
      <w:pPr>
        <w:pStyle w:val="4"/>
      </w:pPr>
      <w:r>
        <w:rPr>
          <w:rFonts w:hint="eastAsia"/>
        </w:rPr>
        <w:t>地理位置</w:t>
      </w:r>
    </w:p>
    <w:p>
      <w:pPr>
        <w:pStyle w:val="87"/>
        <w:ind w:firstLine="480"/>
      </w:pPr>
      <w:r>
        <w:t>旬阳市位于陕西省东南部、安康市东部，地处东经103°58′～109°48′、北纬32°29′～33°13′之间，总面积3554</w:t>
      </w:r>
      <w:r>
        <w:rPr>
          <w:rFonts w:hint="eastAsia"/>
        </w:rPr>
        <w:t>km</w:t>
      </w:r>
      <w:r>
        <w:rPr>
          <w:rFonts w:hint="eastAsia"/>
          <w:vertAlign w:val="superscript"/>
        </w:rPr>
        <w:t>2</w:t>
      </w:r>
      <w:r>
        <w:t>，居安康市10县(区)第3位。东以仙河中下游与大南河(郧西县境)分水岭及吕河上游与冷水河(白河县境)分水岭为界，由北向南，依次同湖北省郧西县、陕西省白河县毗邻</w:t>
      </w:r>
      <w:r>
        <w:rPr>
          <w:rFonts w:hint="eastAsia"/>
        </w:rPr>
        <w:t>；</w:t>
      </w:r>
      <w:r>
        <w:t>南以韩家山——铜钱关一线及大神河与汝河、冠河(平利县境)分水岭为界，由东向西，依次同湖北省竹山县、竹溪县及陕西省平利县接壤</w:t>
      </w:r>
      <w:r>
        <w:rPr>
          <w:rFonts w:hint="eastAsia"/>
        </w:rPr>
        <w:t>；</w:t>
      </w:r>
      <w:r>
        <w:t>西以王莽山——包家山一线为界，同陕西省汉滨区相邻</w:t>
      </w:r>
      <w:r>
        <w:rPr>
          <w:rFonts w:hint="eastAsia"/>
        </w:rPr>
        <w:t>；</w:t>
      </w:r>
      <w:r>
        <w:t>北由西向东，以下茅坪、洛驾河沟口及蜀河与仙河上游(郧西县境)分水岭为界，分别同陕西省镇安县、湖北省郧西县相接。距省会西安市217</w:t>
      </w:r>
      <w:r>
        <w:rPr>
          <w:rFonts w:hint="eastAsia"/>
        </w:rPr>
        <w:t>km</w:t>
      </w:r>
      <w:r>
        <w:t>。</w:t>
      </w:r>
    </w:p>
    <w:p>
      <w:pPr>
        <w:ind w:firstLine="480"/>
      </w:pPr>
      <w:r>
        <w:rPr>
          <w:rFonts w:hint="eastAsia"/>
        </w:rPr>
        <w:t>本</w:t>
      </w:r>
      <w:r>
        <w:t>项目位于旬阳高新区吕河工业园</w:t>
      </w:r>
      <w:r>
        <w:rPr>
          <w:rFonts w:hint="eastAsia"/>
        </w:rPr>
        <w:t>北</w:t>
      </w:r>
      <w:r>
        <w:t>，</w:t>
      </w:r>
      <w:r>
        <w:rPr>
          <w:rFonts w:hint="eastAsia"/>
        </w:rPr>
        <w:t>场址中心</w:t>
      </w:r>
      <w:r>
        <w:t>地理坐标</w:t>
      </w:r>
      <w:r>
        <w:rPr>
          <w:rFonts w:hint="eastAsia"/>
        </w:rPr>
        <w:t>为</w:t>
      </w:r>
      <w:r>
        <w:t>北纬32°46'18.532"，东经109°22'2.832"。具体地理位置见图3.1-1。</w:t>
      </w:r>
    </w:p>
    <w:p>
      <w:pPr>
        <w:pStyle w:val="4"/>
      </w:pPr>
      <w:r>
        <w:rPr>
          <w:rFonts w:hint="eastAsia"/>
        </w:rPr>
        <w:t>地形地貌</w:t>
      </w:r>
    </w:p>
    <w:p>
      <w:pPr>
        <w:ind w:firstLine="480"/>
      </w:pPr>
      <w:r>
        <w:t>旬阳市位处秦巴山地，汉江河谷自西向东横贯中部，将县境天然分割为南北两大自然区。地势南北高、中部低，南北向地形剖面呈</w:t>
      </w:r>
      <w:r>
        <w:rPr>
          <w:rStyle w:val="88"/>
        </w:rPr>
        <w:t>“</w:t>
      </w:r>
      <w:r>
        <w:t>V</w:t>
      </w:r>
      <w:r>
        <w:rPr>
          <w:rFonts w:asciiTheme="minorEastAsia" w:hAnsiTheme="minorEastAsia" w:eastAsiaTheme="minorEastAsia"/>
        </w:rPr>
        <w:t>”</w:t>
      </w:r>
      <w:r>
        <w:t>形，海拔185～2358.4</w:t>
      </w:r>
      <w:r>
        <w:rPr>
          <w:rFonts w:hint="eastAsia"/>
        </w:rPr>
        <w:t>m</w:t>
      </w:r>
      <w:r>
        <w:t>。汉江以北属秦岭山脉南坡，是秦岭纬向构造带秦岭亚带的组成部分</w:t>
      </w:r>
      <w:r>
        <w:rPr>
          <w:rFonts w:hint="eastAsia"/>
        </w:rPr>
        <w:t>，</w:t>
      </w:r>
      <w:r>
        <w:t>除王莽山—包家山为西北—东南走向外，其余山脉均为东西走向，中部高，四周低，面积2281.7</w:t>
      </w:r>
      <w:r>
        <w:rPr>
          <w:rFonts w:hint="eastAsia"/>
        </w:rPr>
        <w:t xml:space="preserve"> km</w:t>
      </w:r>
      <w:r>
        <w:rPr>
          <w:rFonts w:hint="eastAsia"/>
          <w:vertAlign w:val="superscript"/>
        </w:rPr>
        <w:t>2</w:t>
      </w:r>
      <w:r>
        <w:t>，占旬阳市总面积的64.2%</w:t>
      </w:r>
      <w:r>
        <w:rPr>
          <w:rFonts w:hint="eastAsia"/>
        </w:rPr>
        <w:t>；</w:t>
      </w:r>
      <w:r>
        <w:t>汉江以南属秦岭纬向构造带大巴山弧形构造的边缘部分，山脉走向多为西东向，地势较汉江以北稍低，东部和南部高，西北部低，面积1272.3</w:t>
      </w:r>
      <w:r>
        <w:rPr>
          <w:rFonts w:hint="eastAsia"/>
        </w:rPr>
        <w:t xml:space="preserve"> km</w:t>
      </w:r>
      <w:r>
        <w:rPr>
          <w:rFonts w:hint="eastAsia"/>
          <w:vertAlign w:val="superscript"/>
        </w:rPr>
        <w:t>2</w:t>
      </w:r>
      <w:r>
        <w:t>，占旬阳市总面积的35.8%。地貌特征是：以中山为主，兼有低山、丘陵、河谷地形，境内重峦叠嶂，沟壑密布。</w:t>
      </w:r>
    </w:p>
    <w:p>
      <w:pPr>
        <w:ind w:firstLine="480"/>
      </w:pPr>
      <w:r>
        <w:t>本项目位于旬阳高新区吕河工业园，</w:t>
      </w:r>
      <w:r>
        <w:rPr>
          <w:rFonts w:hint="eastAsia"/>
        </w:rPr>
        <w:t>项目整体场地</w:t>
      </w:r>
      <w:r>
        <w:t>平整。</w:t>
      </w:r>
    </w:p>
    <w:p>
      <w:pPr>
        <w:pStyle w:val="4"/>
      </w:pPr>
      <w:r>
        <w:rPr>
          <w:rFonts w:hint="eastAsia"/>
        </w:rPr>
        <w:t>气候气象</w:t>
      </w:r>
    </w:p>
    <w:p>
      <w:pPr>
        <w:pStyle w:val="87"/>
        <w:ind w:firstLine="480"/>
      </w:pPr>
      <w:r>
        <w:t>旬阳市北居秦岭，南依大巴山，两山夹峙，阻住南下的冷空气，截挡溯汉江河谷上行的暖温气流，境内气候温暖湿润，四季分明，呈典型的南北过渡特征，形成特殊的北亚热带气候区。春季降水较少，占年降水量的22%，少雨之年3月以前常发生干旱</w:t>
      </w:r>
      <w:r>
        <w:rPr>
          <w:rFonts w:hint="eastAsia"/>
        </w:rPr>
        <w:t>；</w:t>
      </w:r>
      <w:r>
        <w:t>夏季降水多且多暴雨，降雨量占年总量的51%。一次暴雨最大降水量：6月为117.1</w:t>
      </w:r>
      <w:r>
        <w:rPr>
          <w:rFonts w:hint="eastAsia"/>
        </w:rPr>
        <w:t>mm</w:t>
      </w:r>
      <w:r>
        <w:t>，7月为123.1mm，8月为105.7mm。7、8月伏旱明显，严重伏旱期可长达55天，极端最高气温43.1</w:t>
      </w:r>
      <w:r>
        <w:rPr>
          <w:rFonts w:hint="eastAsia" w:ascii="宋体" w:hAnsi="宋体" w:cs="宋体"/>
        </w:rPr>
        <w:t>℃</w:t>
      </w:r>
      <w:r>
        <w:rPr>
          <w:rFonts w:hint="eastAsia"/>
        </w:rPr>
        <w:t>；</w:t>
      </w:r>
      <w:r>
        <w:t>入秋气温明显下降，最低气温最早从11月14日起低于0</w:t>
      </w:r>
      <w:r>
        <w:rPr>
          <w:rFonts w:hint="eastAsia" w:ascii="宋体" w:hAnsi="宋体" w:cs="宋体"/>
        </w:rPr>
        <w:t>℃</w:t>
      </w:r>
      <w:r>
        <w:t>。9月是全年第二个降水高峰月，占年总量的24%，时常造成滑坡</w:t>
      </w:r>
      <w:r>
        <w:rPr>
          <w:rFonts w:hint="eastAsia"/>
        </w:rPr>
        <w:t>；</w:t>
      </w:r>
      <w:r>
        <w:t>冬季最低气温小于0</w:t>
      </w:r>
      <w:r>
        <w:rPr>
          <w:rFonts w:hint="eastAsia" w:ascii="宋体" w:hAnsi="宋体" w:cs="宋体"/>
        </w:rPr>
        <w:t>℃</w:t>
      </w:r>
      <w:r>
        <w:t>的日数达39天，降雪期从11月30日至次年3月18日，南北高山区积雪厚度可达30厘米。旬阳市日照最少为2月，仅103.9</w:t>
      </w:r>
      <w:r>
        <w:rPr>
          <w:rFonts w:hint="eastAsia"/>
        </w:rPr>
        <w:t>h</w:t>
      </w:r>
      <w:r>
        <w:t>，7月最多为212.7</w:t>
      </w:r>
      <w:r>
        <w:rPr>
          <w:rFonts w:hint="eastAsia"/>
        </w:rPr>
        <w:t>h；</w:t>
      </w:r>
      <w:r>
        <w:t>年平均气温15.9</w:t>
      </w:r>
      <w:r>
        <w:rPr>
          <w:rFonts w:hint="eastAsia" w:ascii="宋体" w:hAnsi="宋体" w:cs="宋体"/>
        </w:rPr>
        <w:t>℃</w:t>
      </w:r>
      <w:r>
        <w:rPr>
          <w:rFonts w:hint="eastAsia"/>
        </w:rPr>
        <w:t>；</w:t>
      </w:r>
      <w:r>
        <w:t>平均初霜期出现在11月中旬，终霜期在3月中旬初，平均无霜期261天</w:t>
      </w:r>
      <w:r>
        <w:rPr>
          <w:rFonts w:hint="eastAsia"/>
        </w:rPr>
        <w:t>；</w:t>
      </w:r>
      <w:r>
        <w:t>多年平均降水量为805.0mm，降水总量为28.609亿</w:t>
      </w:r>
      <w:r>
        <w:rPr>
          <w:rFonts w:hint="eastAsia"/>
        </w:rPr>
        <w:t>m</w:t>
      </w:r>
      <w:r>
        <w:rPr>
          <w:rFonts w:hint="eastAsia"/>
          <w:vertAlign w:val="superscript"/>
        </w:rPr>
        <w:t>3</w:t>
      </w:r>
      <w:r>
        <w:rPr>
          <w:rFonts w:hint="eastAsia"/>
        </w:rPr>
        <w:t>；</w:t>
      </w:r>
      <w:r>
        <w:t>境内低山河谷地区，年平均相对湿度69%</w:t>
      </w:r>
      <w:r>
        <w:rPr>
          <w:rFonts w:hint="eastAsia"/>
        </w:rPr>
        <w:t>；</w:t>
      </w:r>
      <w:r>
        <w:t>全年盛行偏东风，占总数的38%，西北风次之，占总数的24%。</w:t>
      </w:r>
    </w:p>
    <w:p>
      <w:pPr>
        <w:pStyle w:val="4"/>
      </w:pPr>
      <w:r>
        <w:rPr>
          <w:rFonts w:hint="eastAsia"/>
        </w:rPr>
        <w:t>地表水系</w:t>
      </w:r>
    </w:p>
    <w:p>
      <w:pPr>
        <w:pStyle w:val="87"/>
        <w:ind w:firstLine="480"/>
      </w:pPr>
      <w:r>
        <w:rPr>
          <w:rFonts w:hint="eastAsia"/>
        </w:rPr>
        <w:t>旬阳地表水形成的河流及溪水均属长江流域汉江水系。发源和流经县境的河沟集水面积在2km</w:t>
      </w:r>
      <w:r>
        <w:rPr>
          <w:rFonts w:hint="eastAsia"/>
          <w:vertAlign w:val="superscript"/>
        </w:rPr>
        <w:t>2</w:t>
      </w:r>
      <w:r>
        <w:rPr>
          <w:rFonts w:hint="eastAsia"/>
        </w:rPr>
        <w:t>以上的有488条，其中，集水面积1000km</w:t>
      </w:r>
      <w:r>
        <w:rPr>
          <w:rFonts w:hint="eastAsia"/>
          <w:vertAlign w:val="superscript"/>
        </w:rPr>
        <w:t>2</w:t>
      </w:r>
      <w:r>
        <w:rPr>
          <w:rFonts w:hint="eastAsia"/>
        </w:rPr>
        <w:t>以上的有汉江、旬河、乾佑河、坝河，集水面积100-1000km</w:t>
      </w:r>
      <w:r>
        <w:rPr>
          <w:rFonts w:hint="eastAsia"/>
          <w:vertAlign w:val="superscript"/>
        </w:rPr>
        <w:t>2</w:t>
      </w:r>
      <w:r>
        <w:rPr>
          <w:rFonts w:hint="eastAsia"/>
        </w:rPr>
        <w:t>的有蜀河、仙河、达仁河、东三河、小河、洛驾河、冷水河和大棕溪，集水面积10km</w:t>
      </w:r>
      <w:r>
        <w:rPr>
          <w:rFonts w:hint="eastAsia"/>
          <w:vertAlign w:val="superscript"/>
        </w:rPr>
        <w:t>2</w:t>
      </w:r>
      <w:r>
        <w:rPr>
          <w:rFonts w:hint="eastAsia"/>
        </w:rPr>
        <w:t>以上的河沟有100条，集水面积5km</w:t>
      </w:r>
      <w:r>
        <w:rPr>
          <w:rFonts w:hint="eastAsia"/>
          <w:vertAlign w:val="superscript"/>
        </w:rPr>
        <w:t>2</w:t>
      </w:r>
      <w:r>
        <w:rPr>
          <w:rFonts w:hint="eastAsia"/>
        </w:rPr>
        <w:t>以上的河沟有196条。沟壑密度为1.06km/km</w:t>
      </w:r>
      <w:r>
        <w:rPr>
          <w:rFonts w:hint="eastAsia"/>
          <w:vertAlign w:val="superscript"/>
        </w:rPr>
        <w:t>2</w:t>
      </w:r>
      <w:r>
        <w:rPr>
          <w:rFonts w:hint="eastAsia"/>
        </w:rPr>
        <w:t>。</w:t>
      </w:r>
    </w:p>
    <w:p>
      <w:pPr>
        <w:pStyle w:val="87"/>
        <w:ind w:firstLine="480"/>
      </w:pPr>
      <w:r>
        <w:rPr>
          <w:rFonts w:hint="eastAsia"/>
        </w:rPr>
        <w:t>汉江古称沔水，由安康市汉滨区早阳乡入旬阳市段家河镇北庵村，沿西南至东北向流至吕河镇纳坝河，折向东流，至县城纳旬河、至蜀河镇纳蜀河，至仙河口纳仙河，至兰滩乡入白河县境。</w:t>
      </w:r>
      <w:r>
        <w:rPr>
          <w:rFonts w:hint="eastAsia"/>
          <w:szCs w:val="24"/>
        </w:rPr>
        <w:t>共流经段家河、吕河、城关、构元、棕溪、关口、蜀河、仙河等镇，属过境客水。</w:t>
      </w:r>
      <w:r>
        <w:rPr>
          <w:rFonts w:hint="eastAsia"/>
        </w:rPr>
        <w:t>境内流长84km，集水面积3554km</w:t>
      </w:r>
      <w:r>
        <w:rPr>
          <w:rFonts w:hint="eastAsia"/>
          <w:vertAlign w:val="superscript"/>
        </w:rPr>
        <w:t>2</w:t>
      </w:r>
      <w:r>
        <w:rPr>
          <w:rFonts w:hint="eastAsia"/>
        </w:rPr>
        <w:t>。</w:t>
      </w:r>
    </w:p>
    <w:p>
      <w:pPr>
        <w:pStyle w:val="87"/>
        <w:ind w:firstLine="480"/>
      </w:pPr>
      <w:r>
        <w:rPr>
          <w:rFonts w:hint="eastAsia"/>
        </w:rPr>
        <w:t>汉江在旬阳境内沿途接纳集水面积在5km</w:t>
      </w:r>
      <w:r>
        <w:rPr>
          <w:rFonts w:hint="eastAsia"/>
          <w:vertAlign w:val="superscript"/>
        </w:rPr>
        <w:t>2</w:t>
      </w:r>
      <w:r>
        <w:rPr>
          <w:rFonts w:hint="eastAsia"/>
        </w:rPr>
        <w:t>以上的河流86条。其中较大的河流有旬河、坝河、吕河、蜀河、仙河等。</w:t>
      </w:r>
    </w:p>
    <w:p>
      <w:pPr>
        <w:pStyle w:val="87"/>
        <w:ind w:firstLine="480"/>
      </w:pPr>
      <w:r>
        <w:rPr>
          <w:rFonts w:hint="eastAsia"/>
        </w:rPr>
        <w:t>旬河发源于宁陕县和长安县交界的秦岭垭南侧，经宁陕县、镇安县，流入旬阳市仁河口乡，至小河两河关纳乾佑河，再经赵湾、甘溪、白柳、城关等镇，在县城东南角汇入汉江，全长218km。</w:t>
      </w:r>
    </w:p>
    <w:p>
      <w:pPr>
        <w:pStyle w:val="87"/>
        <w:ind w:firstLine="480"/>
      </w:pPr>
      <w:r>
        <w:rPr>
          <w:rFonts w:hint="eastAsia"/>
        </w:rPr>
        <w:t>坝河 古称冲河，亦称界溪河，发源于平利县光头山，经平利县、汉滨区境，于菠萝滩入旬阳市桂花乡，在吕河镇西汇入汉江。全长128.2km。</w:t>
      </w:r>
    </w:p>
    <w:p>
      <w:pPr>
        <w:pStyle w:val="87"/>
        <w:ind w:firstLine="480"/>
      </w:pPr>
      <w:r>
        <w:rPr>
          <w:rFonts w:hint="eastAsia"/>
        </w:rPr>
        <w:t>吕河 古称驴川、闾河，发源于铜钱关镇铁桶寨，由水磨河、大金河、大神河等3条主要支流汇集而成，干流经铜钱关、金寨、神河、吕河等镇，于吕河镇梨河村汇入坝河。干流全长58.64km。</w:t>
      </w:r>
    </w:p>
    <w:p>
      <w:pPr>
        <w:pStyle w:val="87"/>
        <w:ind w:firstLine="480"/>
      </w:pPr>
      <w:r>
        <w:rPr>
          <w:rFonts w:hint="eastAsia"/>
        </w:rPr>
        <w:t>蜀河 古称淯溪，源于湖北省郧西胡家岩，全长67.1km，由郧西县入本县红军镇，流经红军、双河、蜀河等镇，于蜀河口汇入汉江。</w:t>
      </w:r>
    </w:p>
    <w:p>
      <w:pPr>
        <w:pStyle w:val="87"/>
        <w:ind w:firstLine="480"/>
      </w:pPr>
      <w:r>
        <w:rPr>
          <w:rFonts w:hint="eastAsia"/>
        </w:rPr>
        <w:t>仙河 发源于湖北省郧西县张子沟，由郧西县入仙河镇大龙王沟口，流经镇内尖山沟、黄泥沟、竹园河3个村，在仙河口汇入汉江，县境内流长26.35km。</w:t>
      </w:r>
    </w:p>
    <w:p>
      <w:pPr>
        <w:ind w:firstLine="480"/>
      </w:pPr>
      <w:r>
        <w:rPr>
          <w:rFonts w:hint="eastAsia"/>
        </w:rPr>
        <w:t>本项目位于</w:t>
      </w:r>
      <w:r>
        <w:t>旬阳高新区吕河工业园，距</w:t>
      </w:r>
      <w:r>
        <w:rPr>
          <w:rFonts w:hint="eastAsia"/>
        </w:rPr>
        <w:t>汉江</w:t>
      </w:r>
      <w:r>
        <w:t>支流</w:t>
      </w:r>
      <w:r>
        <w:rPr>
          <w:rFonts w:hint="eastAsia"/>
        </w:rPr>
        <w:t>平定河</w:t>
      </w:r>
      <w:r>
        <w:t>约920m</w:t>
      </w:r>
      <w:r>
        <w:rPr>
          <w:rFonts w:hint="eastAsia"/>
        </w:rPr>
        <w:t>（南侧）</w:t>
      </w:r>
      <w:r>
        <w:t>。</w:t>
      </w:r>
    </w:p>
    <w:p>
      <w:pPr>
        <w:pStyle w:val="4"/>
      </w:pPr>
      <w:r>
        <w:rPr>
          <w:rFonts w:hint="eastAsia"/>
        </w:rPr>
        <w:t>水文地质</w:t>
      </w:r>
    </w:p>
    <w:p>
      <w:pPr>
        <w:pStyle w:val="87"/>
        <w:ind w:firstLine="480"/>
      </w:pPr>
      <w:r>
        <w:rPr>
          <w:rFonts w:hint="eastAsia"/>
        </w:rPr>
        <w:t>旬阳市地下水补给模数为6.4259万m</w:t>
      </w:r>
      <w:r>
        <w:rPr>
          <w:rFonts w:hint="eastAsia"/>
          <w:vertAlign w:val="superscript"/>
        </w:rPr>
        <w:t>3</w:t>
      </w:r>
      <w:r>
        <w:rPr>
          <w:rFonts w:hint="eastAsia"/>
        </w:rPr>
        <w:t>/年·km</w:t>
      </w:r>
      <w:r>
        <w:rPr>
          <w:rFonts w:hint="eastAsia"/>
          <w:vertAlign w:val="superscript"/>
        </w:rPr>
        <w:t>2</w:t>
      </w:r>
      <w:r>
        <w:rPr>
          <w:rFonts w:hint="eastAsia"/>
        </w:rPr>
        <w:t>，地下水总量为22840万m</w:t>
      </w:r>
      <w:r>
        <w:rPr>
          <w:rFonts w:hint="eastAsia"/>
          <w:vertAlign w:val="superscript"/>
        </w:rPr>
        <w:t>3</w:t>
      </w:r>
      <w:r>
        <w:rPr>
          <w:rFonts w:hint="eastAsia"/>
        </w:rPr>
        <w:t>，占全县径流量的20.1%。一般属重碳酸型，弱矿化水，可为生活用水和农田灌溉供水，但在城区附近和居民较集中的地段，水质较差。</w:t>
      </w:r>
    </w:p>
    <w:p>
      <w:pPr>
        <w:pStyle w:val="87"/>
        <w:ind w:firstLine="480"/>
      </w:pPr>
      <w:r>
        <w:rPr>
          <w:rFonts w:hint="eastAsia"/>
        </w:rPr>
        <w:t>由于自然地理和地质条件的差异，县境内地下水分布极不均匀。按水文地质可分为三大含水岩系。</w:t>
      </w:r>
    </w:p>
    <w:p>
      <w:pPr>
        <w:pStyle w:val="87"/>
        <w:ind w:firstLine="480"/>
      </w:pPr>
      <w:r>
        <w:rPr>
          <w:rFonts w:hint="eastAsia"/>
        </w:rPr>
        <w:t>（1）层状基岩裂隙含水岩类。分布在汉江以北、旬河以东、仙河以西的广大地区，主要岩层是寒武一泥盆系的片岩、千枚岩夹薄层灰岩及结晶灰岩等类。此类岩层经多次构造运动，断层、裂隙较为发育，且多为碎屑或岩脉充填，故地下富水性较弱。</w:t>
      </w:r>
    </w:p>
    <w:p>
      <w:pPr>
        <w:pStyle w:val="87"/>
        <w:ind w:firstLine="480"/>
      </w:pPr>
      <w:r>
        <w:rPr>
          <w:rFonts w:hint="eastAsia"/>
        </w:rPr>
        <w:t>（2）岩溶化基岩岩溶裂隙含水岩类。主要分布在南羊山、北羊山及汉江以南大巴山地区。地下水为岩溶潜水或承压水，矿化度小于1g/</w:t>
      </w:r>
      <w:r>
        <w:t>L</w:t>
      </w:r>
      <w:r>
        <w:rPr>
          <w:rFonts w:hint="eastAsia"/>
        </w:rPr>
        <w:t>，埋深不一，泉流量2.5m</w:t>
      </w:r>
      <w:r>
        <w:rPr>
          <w:rFonts w:hint="eastAsia"/>
          <w:vertAlign w:val="superscript"/>
        </w:rPr>
        <w:t>3</w:t>
      </w:r>
      <w:r>
        <w:rPr>
          <w:rFonts w:hint="eastAsia"/>
        </w:rPr>
        <w:t>/</w:t>
      </w:r>
      <w:r>
        <w:t>h</w:t>
      </w:r>
      <w:r>
        <w:rPr>
          <w:rFonts w:hint="eastAsia"/>
        </w:rPr>
        <w:t>。南羊山地段岩溶（喀斯特）地形发育，在三里峡、南羊山断层下盘两裂隙交叉处有泉水出露，涌水量随季节变化(20—300L/</w:t>
      </w:r>
      <w:r>
        <w:t>S</w:t>
      </w:r>
      <w:r>
        <w:rPr>
          <w:rFonts w:hint="eastAsia"/>
        </w:rPr>
        <w:t>)，为公馆河主要水源。位处南羊山张坪乡的水帘洞，地下水出露较高，距沟心80多m，流量达0.0439m</w:t>
      </w:r>
      <w:r>
        <w:rPr>
          <w:rFonts w:hint="eastAsia"/>
          <w:vertAlign w:val="superscript"/>
        </w:rPr>
        <w:t>3</w:t>
      </w:r>
      <w:r>
        <w:rPr>
          <w:rFonts w:hint="eastAsia"/>
        </w:rPr>
        <w:t>/s，富水性较强。</w:t>
      </w:r>
    </w:p>
    <w:p>
      <w:pPr>
        <w:pStyle w:val="87"/>
        <w:ind w:firstLine="480"/>
      </w:pPr>
      <w:r>
        <w:rPr>
          <w:rFonts w:hint="eastAsia"/>
        </w:rPr>
        <w:t>（3）松散覆盖层孔隙含水岩类。主要分布在汉江、旬河、蜀河、吕河等河谷两岸，地下水较丰富，上部为冲积层潜水，下部为冲湖积层承压水，水位一般埋深数米至30m，矿化度小于1</w:t>
      </w:r>
      <w:r>
        <w:t>g</w:t>
      </w:r>
      <w:r>
        <w:rPr>
          <w:rFonts w:hint="eastAsia"/>
        </w:rPr>
        <w:t>/</w:t>
      </w:r>
      <w:r>
        <w:t>L</w:t>
      </w:r>
      <w:r>
        <w:rPr>
          <w:rFonts w:hint="eastAsia"/>
        </w:rPr>
        <w:t>，含水层为冲积沙卵石、粗沙、细纱、亚沙土及亚粘土。强富水带主要分布在上下菜湾、草坪、青泥湾一带。中等富水带为旬河的一、二级阶地和白柳的洪积扇。</w:t>
      </w:r>
    </w:p>
    <w:p>
      <w:pPr>
        <w:pStyle w:val="87"/>
        <w:ind w:firstLine="480"/>
      </w:pPr>
      <w:r>
        <w:rPr>
          <w:rFonts w:hint="eastAsia"/>
        </w:rPr>
        <w:t>地下水受地形控制作用强烈，地表分水岭大体上也是地下水的分水岭。山岭和山坡地段主要是地下水的补给径流区，河谷地段主要是地下水的排泄区，由分水岭向河谷，地下水位由深变浅，富水性由弱变强。地下水主要受大气降水补给，局部地区受地表水的侧向补给。</w:t>
      </w:r>
    </w:p>
    <w:p>
      <w:pPr>
        <w:pStyle w:val="4"/>
      </w:pPr>
      <w:r>
        <w:rPr>
          <w:rFonts w:hint="eastAsia"/>
        </w:rPr>
        <w:t>植被</w:t>
      </w:r>
    </w:p>
    <w:p>
      <w:pPr>
        <w:pStyle w:val="87"/>
        <w:ind w:firstLine="480"/>
      </w:pPr>
      <w:r>
        <w:rPr>
          <w:rFonts w:hint="eastAsia"/>
        </w:rPr>
        <w:t>旬阳市地处北亚热带北缘，北有秦岭阻挡寒流的侵袭，气候温暖湿润。</w:t>
      </w:r>
    </w:p>
    <w:p>
      <w:pPr>
        <w:pStyle w:val="87"/>
        <w:ind w:firstLine="480"/>
      </w:pPr>
      <w:r>
        <w:rPr>
          <w:rFonts w:hint="eastAsia"/>
        </w:rPr>
        <w:t>项目区植物属于山区零星野生灌木到少量森林过渡区，自然植被主要以杂草灌为主。乔木主要有山杨、栎树阔叶林、马尾松、侧柏针叶林；灌丛主要有马桑、黄荆条灌丛、胡枝子、毛黄栌灌丛。</w:t>
      </w:r>
    </w:p>
    <w:p>
      <w:pPr>
        <w:ind w:firstLine="480"/>
      </w:pPr>
      <w:r>
        <w:rPr>
          <w:bCs/>
        </w:rPr>
        <w:t>项目所在地周围以农业生态为主。</w:t>
      </w:r>
      <w:r>
        <w:t>未见有国家保护植物分布。</w:t>
      </w:r>
    </w:p>
    <w:p>
      <w:pPr>
        <w:pStyle w:val="4"/>
      </w:pPr>
      <w:r>
        <w:rPr>
          <w:rFonts w:hint="eastAsia"/>
        </w:rPr>
        <w:t>动物资源</w:t>
      </w:r>
    </w:p>
    <w:p>
      <w:pPr>
        <w:ind w:firstLine="480"/>
        <w:rPr>
          <w:szCs w:val="24"/>
        </w:rPr>
      </w:pPr>
      <w:r>
        <w:rPr>
          <w:rFonts w:hint="eastAsia"/>
          <w:szCs w:val="24"/>
        </w:rPr>
        <w:t>旬阳市动物资源主要有家畜和野生动物。境内野生动物资源种类繁多，分布较广。在境内的秦岭南羊山地区，脊椎动物居多。县域野生动物有</w:t>
      </w:r>
      <w:r>
        <w:rPr>
          <w:szCs w:val="24"/>
        </w:rPr>
        <w:t>15</w:t>
      </w:r>
      <w:r>
        <w:rPr>
          <w:rFonts w:hint="eastAsia"/>
          <w:szCs w:val="24"/>
        </w:rPr>
        <w:t>个目、</w:t>
      </w:r>
      <w:r>
        <w:rPr>
          <w:szCs w:val="24"/>
        </w:rPr>
        <w:t>34</w:t>
      </w:r>
      <w:r>
        <w:rPr>
          <w:rFonts w:hint="eastAsia"/>
          <w:szCs w:val="24"/>
        </w:rPr>
        <w:t>个科、</w:t>
      </w:r>
      <w:r>
        <w:rPr>
          <w:szCs w:val="24"/>
        </w:rPr>
        <w:t>108</w:t>
      </w:r>
      <w:r>
        <w:rPr>
          <w:rFonts w:hint="eastAsia"/>
          <w:szCs w:val="24"/>
        </w:rPr>
        <w:t>种，除列为国家保护对象的林麝、大鲵、苏门羚、金钱豹、青羊、原猫、大灵猫、红腹角雉、白冠长尾雉、金鸡、金雕等珍稀动物外，还有水獭、果子狸、獾、熊、野猪、豺狼、貂、麂子、獐子、兔、松鼠、黄鼬、龟、蛇、蟾蜍、豪猪等爬行动物和飞虎、飞鼠、啄木鸟、猫头鹰、蝙蝠、燕子、灰喜鹊、画眉、黄鹂、乌鸦、岩鸽、斑鸠、鹦鹉、野鸭、白鹭、鹳、鸢、莺等鸟类动物。</w:t>
      </w:r>
      <w:r>
        <w:rPr>
          <w:szCs w:val="24"/>
        </w:rPr>
        <w:t>1998</w:t>
      </w:r>
      <w:r>
        <w:rPr>
          <w:rFonts w:hint="eastAsia"/>
          <w:szCs w:val="24"/>
        </w:rPr>
        <w:t>年</w:t>
      </w:r>
      <w:r>
        <w:rPr>
          <w:szCs w:val="24"/>
        </w:rPr>
        <w:t>12</w:t>
      </w:r>
      <w:r>
        <w:rPr>
          <w:rFonts w:hint="eastAsia"/>
          <w:szCs w:val="24"/>
        </w:rPr>
        <w:t>月，对县境内野生动物再作调查，发现除上部县志记载的目、科、种外，新发现鸟类实体</w:t>
      </w:r>
      <w:r>
        <w:rPr>
          <w:szCs w:val="24"/>
        </w:rPr>
        <w:t>12</w:t>
      </w:r>
      <w:r>
        <w:rPr>
          <w:rFonts w:hint="eastAsia"/>
          <w:szCs w:val="24"/>
        </w:rPr>
        <w:t>目</w:t>
      </w:r>
      <w:r>
        <w:rPr>
          <w:szCs w:val="24"/>
        </w:rPr>
        <w:t>25</w:t>
      </w:r>
      <w:r>
        <w:rPr>
          <w:rFonts w:hint="eastAsia"/>
          <w:szCs w:val="24"/>
        </w:rPr>
        <w:t>科</w:t>
      </w:r>
      <w:r>
        <w:rPr>
          <w:szCs w:val="24"/>
        </w:rPr>
        <w:t>96</w:t>
      </w:r>
      <w:r>
        <w:rPr>
          <w:rFonts w:hint="eastAsia"/>
          <w:szCs w:val="24"/>
        </w:rPr>
        <w:t>种，兽类实体</w:t>
      </w:r>
      <w:r>
        <w:rPr>
          <w:szCs w:val="24"/>
        </w:rPr>
        <w:t>3</w:t>
      </w:r>
      <w:r>
        <w:rPr>
          <w:rFonts w:hint="eastAsia"/>
          <w:szCs w:val="24"/>
        </w:rPr>
        <w:t>目</w:t>
      </w:r>
      <w:r>
        <w:rPr>
          <w:szCs w:val="24"/>
        </w:rPr>
        <w:t>9</w:t>
      </w:r>
      <w:r>
        <w:rPr>
          <w:rFonts w:hint="eastAsia"/>
          <w:szCs w:val="24"/>
        </w:rPr>
        <w:t>科</w:t>
      </w:r>
      <w:r>
        <w:rPr>
          <w:szCs w:val="24"/>
        </w:rPr>
        <w:t>12</w:t>
      </w:r>
      <w:r>
        <w:rPr>
          <w:rFonts w:hint="eastAsia"/>
          <w:szCs w:val="24"/>
        </w:rPr>
        <w:t>种，其中一类保护动物有豹、云豹、金雕、白肩雕；二类保护动物有黑熊、林麝、毛冠鹿、羚、红腹锦鸡、勺鸡、大鲵等各类猛禽。</w:t>
      </w:r>
      <w:r>
        <w:rPr>
          <w:szCs w:val="24"/>
        </w:rPr>
        <w:t>40</w:t>
      </w:r>
      <w:r>
        <w:rPr>
          <w:rFonts w:hint="eastAsia"/>
          <w:szCs w:val="24"/>
        </w:rPr>
        <w:t>年前大量存在的狐狸、狼等野生动物已绝迹</w:t>
      </w:r>
      <w:r>
        <w:rPr>
          <w:szCs w:val="24"/>
        </w:rPr>
        <w:t>。</w:t>
      </w:r>
    </w:p>
    <w:p>
      <w:pPr>
        <w:ind w:firstLine="480"/>
        <w:rPr>
          <w:szCs w:val="24"/>
        </w:rPr>
      </w:pPr>
      <w:r>
        <w:rPr>
          <w:szCs w:val="24"/>
        </w:rPr>
        <w:t>经现场踏勘，</w:t>
      </w:r>
      <w:r>
        <w:t>项目所在区域，无需要特殊保护的动物类型</w:t>
      </w:r>
      <w:r>
        <w:rPr>
          <w:rFonts w:hint="eastAsia"/>
        </w:rPr>
        <w:t>，</w:t>
      </w:r>
      <w:r>
        <w:rPr>
          <w:szCs w:val="24"/>
        </w:rPr>
        <w:t>附近也没有野生动物栖息地和迁徙路线。</w:t>
      </w:r>
    </w:p>
    <w:p>
      <w:pPr>
        <w:pStyle w:val="4"/>
      </w:pPr>
      <w:r>
        <w:rPr>
          <w:rFonts w:hint="eastAsia"/>
        </w:rPr>
        <w:t>土壤</w:t>
      </w:r>
    </w:p>
    <w:p>
      <w:pPr>
        <w:ind w:firstLine="480"/>
      </w:pPr>
      <w:r>
        <w:rPr>
          <w:rFonts w:hint="eastAsia"/>
        </w:rPr>
        <w:t>评价区土壤以山地黄棕壤为主，又名普通黄浆壤亚类，主要分布在山坡地带，冬季有不稳定的冻土层，土体松泡，黄色（来源：陕西地情网——安康地区志）。成土过程以粘化和淋溶同时进行为主，无明显的粘化层，层次分化也无黄褐土明显。有机质含量在1.3～2.3%之间，比黄褐土高，pH值下降，是黄褐土向黄壤过渡的地带性土壤。质地均匀，中壤至重壤，土体黄色、层次分化不明显，土层厚77.5±75cm，耕层团粒结构，心土层块状或似柱状结构，土壤微酸性，耕层物理粘性42.14%，粘粒含量19.13%，阳离子代换量18.66me/100g，这些指标都低于黄泥土。但是，养分含量优于黄泥土和黄泥巴，耕层有机质1.74%，全氮0.125%，全磷0.152%，全钾3.02%。黄泡土如弃耕或森林被毁，便成为生草浆土；在森林植被下，有腐殖层者称腐殖黄泥土和腐殖含浆土。这一土壤的改良利用，应在防止水土流失的基础上，推广间套种植生产期短的作物，充分利用光照热量资源。</w:t>
      </w:r>
    </w:p>
    <w:p>
      <w:pPr>
        <w:pStyle w:val="3"/>
      </w:pPr>
      <w:bookmarkStart w:id="92" w:name="_Toc82502952"/>
      <w:r>
        <w:rPr>
          <w:rFonts w:hint="eastAsia"/>
        </w:rPr>
        <w:t>旬阳</w:t>
      </w:r>
      <w:r>
        <w:t>省级高新技术产业</w:t>
      </w:r>
      <w:r>
        <w:rPr>
          <w:rFonts w:hint="eastAsia"/>
        </w:rPr>
        <w:t>开发区</w:t>
      </w:r>
      <w:bookmarkEnd w:id="92"/>
    </w:p>
    <w:p>
      <w:pPr>
        <w:pStyle w:val="87"/>
        <w:ind w:firstLine="480"/>
      </w:pPr>
      <w:r>
        <w:t>旬阳省级高新技术产业开发区主要依托旬阳生态工业集中区和吕河现代工业集中区“一区两园”，规划总面积5.11km</w:t>
      </w:r>
      <w:r>
        <w:rPr>
          <w:vertAlign w:val="superscript"/>
        </w:rPr>
        <w:t>2</w:t>
      </w:r>
      <w:r>
        <w:t>。高新区按照“美丽园区、科技园区、循环园区、和谐园区”的战略定位，着力提升科技创新能力、经济发展能力、产业竞争能力和可持续发展能力，重点发展“生物制品、新型材料、先进制造”三大主导产业，以及“现代物流、生态环保、文化旅游”三大配套产业，着力构建“新型材料与先进制造、特色生物制品、现代新型服务”三大百亿产业集群，推动县改市的城市新区建设。旬阳高新区也是陕南创建的首个县域省级高新区。</w:t>
      </w:r>
    </w:p>
    <w:p>
      <w:pPr>
        <w:pStyle w:val="4"/>
      </w:pPr>
      <w:r>
        <w:rPr>
          <w:rFonts w:hint="eastAsia"/>
        </w:rPr>
        <w:t>高新</w:t>
      </w:r>
      <w:r>
        <w:t>区规划定位</w:t>
      </w:r>
    </w:p>
    <w:p>
      <w:pPr>
        <w:ind w:firstLine="480"/>
      </w:pPr>
      <w:r>
        <w:rPr>
          <w:rFonts w:hint="eastAsia"/>
        </w:rPr>
        <w:t>“十四五”，高新区功能定位为对标国家高新区标准，建成全省一流高新区、汉江生态经济示范区、秦巴区域发展先导区，积极参与国际国内产业和价值链分工，最大限度吸纳中省市政策红利和项目支持，形成核心竞争力。</w:t>
      </w:r>
    </w:p>
    <w:p>
      <w:pPr>
        <w:ind w:firstLine="480"/>
      </w:pPr>
      <w:r>
        <w:rPr>
          <w:rFonts w:hint="eastAsia"/>
        </w:rPr>
        <w:t>建设全省一流高新区。对标国家级综合型高新区标准，建立比较完善的科技创新平台，产学研用一体化产业基地和企业为主体的科技、金融融合发展体制机制。在战略性支柱产业和特色产业，培育壮大一批高新技术企业，科技型“小巨人”企业、“瞪羚”企业和硬科技、黑科技产品，着力把旬阳高新区建成全省一流高新区，主要发展指标达到国家高新区标准。</w:t>
      </w:r>
    </w:p>
    <w:p>
      <w:pPr>
        <w:ind w:firstLine="480"/>
      </w:pPr>
      <w:r>
        <w:rPr>
          <w:rFonts w:hint="eastAsia"/>
        </w:rPr>
        <w:t>汉江生态经济示范区。围绕国家《汉江生态经济带发展规划》，在低碳绿色产业发展、节能环保产品开发，新型建材、智能制造、富硒农产品和中药材深加工领域打造一批支柱产业和龙头企业，构建汉江流域园区和产业合作机制，推进旬阳特色产业与长三角、成渝、关天等经济区融合发展，释放汉江生态经济带融入“一带一路”大格局新优势。</w:t>
      </w:r>
    </w:p>
    <w:p>
      <w:pPr>
        <w:ind w:firstLine="480"/>
      </w:pPr>
      <w:r>
        <w:rPr>
          <w:rFonts w:hint="eastAsia"/>
        </w:rPr>
        <w:t>秦巴区域高质量发展先导区。围绕中省对安康经济社会发展的战略定位，促进科技、资金、人才等生产要素在旬阳高新区聚集，加快形成具有安康区域特色的战略性支柱产业，优化完善产业链、创新链、价值链体系，做大做强龙头企业，带动中小企业集群化发展，加快打造秦巴区域效益高、成本低、服务优创新发展高地。</w:t>
      </w:r>
    </w:p>
    <w:p>
      <w:pPr>
        <w:pStyle w:val="4"/>
      </w:pPr>
      <w:r>
        <w:rPr>
          <w:rFonts w:hint="eastAsia"/>
        </w:rPr>
        <w:t>高新区</w:t>
      </w:r>
      <w:r>
        <w:t>规划产业类型</w:t>
      </w:r>
    </w:p>
    <w:p>
      <w:pPr>
        <w:ind w:firstLine="480"/>
      </w:pPr>
      <w:r>
        <w:rPr>
          <w:rFonts w:hint="eastAsia"/>
        </w:rPr>
        <w:t>1、新型材料</w:t>
      </w:r>
    </w:p>
    <w:p>
      <w:pPr>
        <w:ind w:firstLine="480"/>
      </w:pPr>
      <w:r>
        <w:rPr>
          <w:rFonts w:hint="eastAsia"/>
        </w:rPr>
        <w:t>依托旬阳丰富的铅锌、铁铜、硅镁和石灰石等矿产资源优势，发展绿色采选，清洁能源，电矿结合，清洁生产、循环利用，加快新技术、新工艺、新设备、新业态创新应用。促进安康市尧柏水泥生产线智能化、循环化改造升级，发展水泥制品、建筑材料、组合式装配建筑等新型建材产业化。推进中科纳米、领盛材料向老龙沟工业小区北迁，形成年产5万吨纳米新材料产能；开发延伸硅微粉、树脂材料、硅基新料、稀有金属材料，运用智能制造、生物合成、3D打印等新技术，创新制造业态模式，集成一批科技含量高、产业链条长、市场竞争强、产品质量优、产业成长性好的新产品，建设一批引领型、补链型的产业项目，推动新型材料产业向高端化、绿色化、智能化和融合化方向发展。</w:t>
      </w:r>
    </w:p>
    <w:p>
      <w:pPr>
        <w:ind w:firstLine="480"/>
      </w:pPr>
      <w:r>
        <w:rPr>
          <w:rFonts w:hint="eastAsia"/>
        </w:rPr>
        <w:t>2、先进制造</w:t>
      </w:r>
    </w:p>
    <w:p>
      <w:pPr>
        <w:ind w:firstLine="480"/>
      </w:pPr>
      <w:r>
        <w:rPr>
          <w:rFonts w:hint="eastAsia"/>
        </w:rPr>
        <w:t>做大汽车组装及零部件。依托陕汽品牌和技术优势，以宝通与北京中创绿色城服公司合作为契机，加快宝通环卫汽车扩能升级，力促年产一体化环卫车达到1万台，配套小微环卫车、垃圾箱等环卫设备产销一体化。以宝通为龙头组建旬阳汽车制造零部件产业集团，建设省级汽车研发工程中心和青泥汽车配件产业园；抢抓陕西汽车零部件地产化机遇，做大亨通铸造基地，做强宝利精细加工，引进铸件稀有金属表处等新技术，提升零部件质量和效益。进一步做大汽车销售、4S店维修等售后服务，着力把汽车制造及配件加工产业发展到60亿元以上。</w:t>
      </w:r>
    </w:p>
    <w:p>
      <w:pPr>
        <w:ind w:firstLine="480"/>
      </w:pPr>
      <w:r>
        <w:rPr>
          <w:rFonts w:hint="eastAsia"/>
        </w:rPr>
        <w:t>做优农机、农具制造和电动平衡车、儿童电子玩具等微型器具制造。以小微企业园为载体，以扶贫后续产业扶持、社区工厂、苏陕扶贫协抓手，积极承接东部劳动密集型产业转移，扶持发展一批中小企业。围绕四海逸家等移民安置小区，发展社区工厂，培育电子玩具、毛绒玩具、小型灯具等产品集群，加强产销对接，理顺利益联接，带动农民就近就业。</w:t>
      </w:r>
    </w:p>
    <w:p>
      <w:pPr>
        <w:ind w:firstLine="480"/>
      </w:pPr>
      <w:r>
        <w:rPr>
          <w:rFonts w:hint="eastAsia"/>
        </w:rPr>
        <w:t>推进进制造与绿色矿产、新型材料融合发展。以先进制造终端产品引领，推进矿产原料生产向新型材料拓展，构建融合度高、关联强的循环产业链，培育科技创新、工艺设计、营销策划等创新平台，加快新技术新成果转化和智能化、数字化应用，促进制造向智造升级。</w:t>
      </w:r>
    </w:p>
    <w:p>
      <w:pPr>
        <w:ind w:firstLine="480"/>
      </w:pPr>
      <w:r>
        <w:rPr>
          <w:rFonts w:hint="eastAsia"/>
        </w:rPr>
        <w:t>3、生物医药</w:t>
      </w:r>
    </w:p>
    <w:p>
      <w:pPr>
        <w:ind w:firstLine="480"/>
      </w:pPr>
      <w:r>
        <w:rPr>
          <w:rFonts w:hint="eastAsia"/>
        </w:rPr>
        <w:t>发挥秦巴生物资源多样，地道中药材资源丰富的优势，依托广誉远中药饮片加工、新森林现代中药产业园和河源医药等龙头企业，加快林下中药材种植，建设标准化、规范化中药材生产基地，打造“中国秦巴中药材集散地”。以陕西康健生物、旬阳太极缘生物公司为重点，强力推进拐枣系列饮料、茶饮、营养物提取、护肝保健品等系列产品开发加工，建设中国最大的拐枣全产业链生产基地。加强黄姜皂素细胞破壁新技术转化，发展甾体激素药物原料和中间体生产，建设国内最大的黄姜皂素加工基地。积极应用超临界萃取、超微粉碎、生物发酵等生物工程技术，提取营养因子、功能成份和活性物质，开发系列化生物医药原料、中间体和营养保健品，把秦巴植物花草变成农民增收的宝库。</w:t>
      </w:r>
    </w:p>
    <w:p>
      <w:pPr>
        <w:ind w:firstLine="480"/>
      </w:pPr>
      <w:r>
        <w:rPr>
          <w:rFonts w:hint="eastAsia"/>
        </w:rPr>
        <w:t>4、富硒食品</w:t>
      </w:r>
    </w:p>
    <w:p>
      <w:pPr>
        <w:ind w:firstLine="480"/>
      </w:pPr>
      <w:r>
        <w:rPr>
          <w:rFonts w:hint="eastAsia"/>
        </w:rPr>
        <w:t>依托旬阳山清水秀、土壤富硒、空气富氧的生态环境，充分发掘特色农产品资源优势，以乡村振兴和扶贫后续产业建设为抓手，以一二三产融合发展、生产生活生态协调发展为路径，鼓励和支持龙头企业、农业合作社、家庭农场、专业大户、中小企业等市场主体，建立农产品种养基地，发展产地初加工。围绕粮油、果蔬、畜禽等鲜活农产品，发展预冷、冷冻、清洗、去杂、烘干、分级、分割、包装仓储设施和商品化处理，除污减损，促进农产品就地增值增效，带动农民就近就业。</w:t>
      </w:r>
    </w:p>
    <w:p>
      <w:pPr>
        <w:ind w:firstLine="480"/>
      </w:pPr>
      <w:r>
        <w:rPr>
          <w:rFonts w:hint="eastAsia"/>
        </w:rPr>
        <w:t>大力推进农产品精深加工向园区集中。高标准建设好吕河富硒食品产业园、北站现代物流产业园、冷水河扶贫产业加工园、白柳农产品加工综合园区和高新区农产品加工技术集成基地、实训基地等载体平台，通过政策集成、要素集聚、企业集中、功能集合，建成一批加销贯通、贸工农一体、三次产业融合发展的专业化、特色化、现代化的加工园区。强化园区科技研发、融资担保、招商引资等配套服务，完善仓储物流、供能供水，废物处理等共享设施配套。推进加工技术创新和加工设备创制，促进农产品精深加工和综合利用加工。积极应用新型外热加工、新型杀菌、高效分离、清洁生产、智能控制、形态识别、自动分选、超临界萃取、超微粉碎、生物发酵、蛋白质改性等新技术，开发类别多样的休闲食品、方便食品、净菜加工、餐饮外卖、中央厨房+冷链配送+物流终端、健康数据+营养配餐+私人订制等新型加工业态。全面推进加工副产品循环利用、全值利用、梯次利用，实现变废为宝、化害为利。运用先进的提取、分离和制备技术，推进壳糠、油饼、皮渣、畜禽毛骨血、植物纤维等副产物综合利用，开发新能源、新材料和新产品，促进农产品多次加工、多元开发、多次利用、多环节增值。着力培育旬阳公用“祝尔慷”驰名商标品牌，打造国家级旬阳“祝尔慷”百亿产业集群。</w:t>
      </w:r>
    </w:p>
    <w:p>
      <w:pPr>
        <w:pStyle w:val="3"/>
      </w:pPr>
      <w:bookmarkStart w:id="93" w:name="_Toc82502953"/>
      <w:r>
        <w:rPr>
          <w:rFonts w:hint="eastAsia"/>
        </w:rPr>
        <w:t>区域污染源调查</w:t>
      </w:r>
      <w:bookmarkEnd w:id="93"/>
    </w:p>
    <w:p>
      <w:pPr>
        <w:pStyle w:val="4"/>
      </w:pPr>
      <w:r>
        <w:rPr>
          <w:rFonts w:hint="eastAsia"/>
        </w:rPr>
        <w:t>大气污染源调查</w:t>
      </w:r>
    </w:p>
    <w:p>
      <w:pPr>
        <w:ind w:firstLine="480"/>
      </w:pPr>
      <w:r>
        <w:rPr>
          <w:rFonts w:hint="eastAsia"/>
        </w:rPr>
        <w:t>项目厂址位于旬阳高新区吕河工业园，评价范围内工业企业主要</w:t>
      </w:r>
      <w:r>
        <w:t>为南侧管道厂的</w:t>
      </w:r>
      <w:r>
        <w:rPr>
          <w:rFonts w:hint="eastAsia"/>
        </w:rPr>
        <w:t>污染源，</w:t>
      </w:r>
      <w:r>
        <w:t>主要污染物为非甲烷</w:t>
      </w:r>
      <w:r>
        <w:rPr>
          <w:rFonts w:hint="eastAsia"/>
        </w:rPr>
        <w:t>总烃。</w:t>
      </w:r>
    </w:p>
    <w:p>
      <w:pPr>
        <w:pStyle w:val="4"/>
      </w:pPr>
      <w:r>
        <w:rPr>
          <w:rFonts w:hint="eastAsia"/>
        </w:rPr>
        <w:t>水污染源调查</w:t>
      </w:r>
    </w:p>
    <w:p>
      <w:pPr>
        <w:ind w:firstLine="480"/>
      </w:pPr>
      <w:r>
        <w:rPr>
          <w:rFonts w:hint="eastAsia"/>
        </w:rPr>
        <w:t>评价区域内工业企业为南侧的</w:t>
      </w:r>
      <w:r>
        <w:t>管道厂</w:t>
      </w:r>
      <w:r>
        <w:rPr>
          <w:rFonts w:hint="eastAsia"/>
        </w:rPr>
        <w:t>污染源，主要水污染源为员工生活污水。</w:t>
      </w:r>
      <w:r>
        <w:t xml:space="preserve"> </w:t>
      </w:r>
    </w:p>
    <w:p>
      <w:pPr>
        <w:pStyle w:val="4"/>
      </w:pPr>
      <w:r>
        <w:rPr>
          <w:rFonts w:hint="eastAsia"/>
        </w:rPr>
        <w:t>噪声污染源调查</w:t>
      </w:r>
    </w:p>
    <w:p>
      <w:pPr>
        <w:ind w:firstLine="480"/>
      </w:pPr>
      <w:r>
        <w:t>本次评价噪声调查范围主要为厂址四周200m的范围，场址所在地为旬阳高新区吕河工业园，评价范围内</w:t>
      </w:r>
      <w:r>
        <w:rPr>
          <w:rFonts w:hint="eastAsia"/>
        </w:rPr>
        <w:t>的</w:t>
      </w:r>
      <w:r>
        <w:t>主要污染源为南侧</w:t>
      </w:r>
      <w:r>
        <w:rPr>
          <w:rFonts w:hint="eastAsia"/>
        </w:rPr>
        <w:t>PVC</w:t>
      </w:r>
      <w:r>
        <w:t>管道厂的设备噪声</w:t>
      </w:r>
      <w:r>
        <w:rPr>
          <w:rFonts w:hint="eastAsia"/>
        </w:rPr>
        <w:t>的</w:t>
      </w:r>
      <w:r>
        <w:t>污染源</w:t>
      </w:r>
      <w:r>
        <w:rPr>
          <w:rFonts w:hint="eastAsia"/>
        </w:rPr>
        <w:t>。</w:t>
      </w:r>
    </w:p>
    <w:p>
      <w:pPr>
        <w:pStyle w:val="3"/>
      </w:pPr>
      <w:bookmarkStart w:id="94" w:name="_Toc82502954"/>
      <w:bookmarkStart w:id="95" w:name="_Toc488102166"/>
      <w:r>
        <w:rPr>
          <w:rFonts w:hint="eastAsia"/>
        </w:rPr>
        <w:t>环境空气质量现状调查与评价</w:t>
      </w:r>
      <w:bookmarkEnd w:id="94"/>
      <w:bookmarkEnd w:id="95"/>
    </w:p>
    <w:p>
      <w:pPr>
        <w:pStyle w:val="4"/>
      </w:pPr>
      <w:r>
        <w:rPr>
          <w:rFonts w:hint="eastAsia"/>
        </w:rPr>
        <w:t>环境空气质量现状</w:t>
      </w:r>
    </w:p>
    <w:p>
      <w:pPr>
        <w:pStyle w:val="5"/>
      </w:pPr>
      <w:r>
        <w:rPr>
          <w:rFonts w:hint="eastAsia"/>
        </w:rPr>
        <w:t>基本</w:t>
      </w:r>
      <w:r>
        <w:t>污染物</w:t>
      </w:r>
    </w:p>
    <w:p>
      <w:pPr>
        <w:ind w:firstLine="480"/>
      </w:pPr>
      <w:r>
        <w:rPr>
          <w:rFonts w:hint="eastAsia"/>
        </w:rPr>
        <w:t>项目所在</w:t>
      </w:r>
      <w:r>
        <w:t>区域属于安康市旬阳市</w:t>
      </w:r>
      <w:r>
        <w:rPr>
          <w:rFonts w:hint="eastAsia"/>
        </w:rPr>
        <w:t>，</w:t>
      </w:r>
      <w:r>
        <w:t>本次环评引</w:t>
      </w:r>
      <w:r>
        <w:rPr>
          <w:rFonts w:hint="eastAsia"/>
        </w:rPr>
        <w:t>用</w:t>
      </w:r>
      <w:r>
        <w:t>陕西省环境保护厅</w:t>
      </w:r>
      <w:r>
        <w:rPr>
          <w:rFonts w:hint="eastAsia"/>
        </w:rPr>
        <w:t>办公室</w:t>
      </w:r>
      <w:r>
        <w:t>于2021年1月26日</w:t>
      </w:r>
      <w:r>
        <w:rPr>
          <w:rFonts w:hint="eastAsia"/>
        </w:rPr>
        <w:t>在</w:t>
      </w:r>
      <w:r>
        <w:t>陕西省生态环境厅官网发布</w:t>
      </w:r>
      <w:r>
        <w:rPr>
          <w:rFonts w:hint="eastAsia"/>
        </w:rPr>
        <w:t>《2020年12月</w:t>
      </w:r>
      <w:r>
        <w:t>暨</w:t>
      </w:r>
      <w:r>
        <w:rPr>
          <w:rFonts w:hint="eastAsia"/>
        </w:rPr>
        <w:t>1</w:t>
      </w:r>
      <w:r>
        <w:t>~12</w:t>
      </w:r>
      <w:r>
        <w:rPr>
          <w:rFonts w:hint="eastAsia"/>
        </w:rPr>
        <w:t>月</w:t>
      </w:r>
      <w:r>
        <w:t>全省环境空气质量状况</w:t>
      </w:r>
      <w:r>
        <w:rPr>
          <w:rFonts w:hint="eastAsia"/>
        </w:rPr>
        <w:t>》</w:t>
      </w:r>
      <w:r>
        <w:t>。</w:t>
      </w:r>
    </w:p>
    <w:p>
      <w:pPr>
        <w:ind w:firstLine="480"/>
      </w:pPr>
      <w:r>
        <w:t>2020年1-12月</w:t>
      </w:r>
      <w:r>
        <w:rPr>
          <w:rFonts w:hint="eastAsia"/>
        </w:rPr>
        <w:t>旬阳市</w:t>
      </w:r>
      <w:r>
        <w:t>的优良天数为352</w:t>
      </w:r>
      <w:r>
        <w:rPr>
          <w:rFonts w:hint="eastAsia"/>
        </w:rPr>
        <w:t>天</w:t>
      </w:r>
      <w:r>
        <w:t>，优良率为96.2%，重度及以上污染天数为0天，空气质量综合指数为3.04。空气质量状况</w:t>
      </w:r>
      <w:r>
        <w:rPr>
          <w:rFonts w:hint="eastAsia"/>
        </w:rPr>
        <w:t>统计</w:t>
      </w:r>
      <w:r>
        <w:t>及</w:t>
      </w:r>
      <w:r>
        <w:rPr>
          <w:rFonts w:hint="eastAsia"/>
        </w:rPr>
        <w:t>结果</w:t>
      </w:r>
      <w:r>
        <w:t>详见</w:t>
      </w:r>
      <w:r>
        <w:rPr>
          <w:rFonts w:hint="eastAsia"/>
        </w:rPr>
        <w:t>表4.4-1。</w:t>
      </w:r>
    </w:p>
    <w:p>
      <w:pPr>
        <w:pStyle w:val="93"/>
        <w:rPr>
          <w:rFonts w:hAnsi="Times New Roman"/>
        </w:rPr>
      </w:pPr>
      <w:bookmarkStart w:id="96" w:name="_Ref27042732"/>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4.4</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96"/>
      <w:r>
        <w:rPr>
          <w:rFonts w:hAnsi="Times New Roman"/>
        </w:rPr>
        <w:t xml:space="preserve">  区域环境质量现状评价表   </w:t>
      </w:r>
      <w:r>
        <w:rPr>
          <w:rFonts w:hAnsi="Times New Roman"/>
          <w:bCs/>
          <w:szCs w:val="21"/>
        </w:rPr>
        <w:t>单位：µg/m</w:t>
      </w:r>
      <w:r>
        <w:rPr>
          <w:rFonts w:hAnsi="Times New Roman"/>
          <w:bCs/>
          <w:szCs w:val="21"/>
          <w:vertAlign w:val="superscript"/>
        </w:rPr>
        <w:t>3</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896"/>
        <w:gridCol w:w="3255"/>
        <w:gridCol w:w="1050"/>
        <w:gridCol w:w="967"/>
        <w:gridCol w:w="929"/>
        <w:gridCol w:w="1005"/>
        <w:gridCol w:w="93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污染物</w:t>
            </w:r>
          </w:p>
        </w:tc>
        <w:tc>
          <w:tcPr>
            <w:tcW w:w="3255" w:type="dxa"/>
            <w:tcMar>
              <w:top w:w="0" w:type="dxa"/>
              <w:left w:w="51" w:type="dxa"/>
              <w:bottom w:w="0" w:type="dxa"/>
              <w:right w:w="51" w:type="dxa"/>
            </w:tcMar>
            <w:vAlign w:val="center"/>
          </w:tcPr>
          <w:p>
            <w:pPr>
              <w:pStyle w:val="97"/>
            </w:pPr>
            <w:r>
              <w:t>年评价指标</w:t>
            </w:r>
          </w:p>
        </w:tc>
        <w:tc>
          <w:tcPr>
            <w:tcW w:w="1050" w:type="dxa"/>
            <w:tcMar>
              <w:top w:w="0" w:type="dxa"/>
              <w:left w:w="51" w:type="dxa"/>
              <w:bottom w:w="0" w:type="dxa"/>
              <w:right w:w="51" w:type="dxa"/>
            </w:tcMar>
            <w:vAlign w:val="center"/>
          </w:tcPr>
          <w:p>
            <w:pPr>
              <w:pStyle w:val="97"/>
            </w:pPr>
            <w:r>
              <w:t>现状浓度</w:t>
            </w:r>
          </w:p>
        </w:tc>
        <w:tc>
          <w:tcPr>
            <w:tcW w:w="967" w:type="dxa"/>
            <w:tcMar>
              <w:top w:w="0" w:type="dxa"/>
              <w:left w:w="51" w:type="dxa"/>
              <w:bottom w:w="0" w:type="dxa"/>
              <w:right w:w="51" w:type="dxa"/>
            </w:tcMar>
            <w:vAlign w:val="center"/>
          </w:tcPr>
          <w:p>
            <w:pPr>
              <w:pStyle w:val="97"/>
            </w:pPr>
            <w:r>
              <w:t>标准值</w:t>
            </w:r>
          </w:p>
        </w:tc>
        <w:tc>
          <w:tcPr>
            <w:tcW w:w="929" w:type="dxa"/>
            <w:tcMar>
              <w:top w:w="0" w:type="dxa"/>
              <w:left w:w="51" w:type="dxa"/>
              <w:bottom w:w="0" w:type="dxa"/>
              <w:right w:w="51" w:type="dxa"/>
            </w:tcMar>
            <w:vAlign w:val="center"/>
          </w:tcPr>
          <w:p>
            <w:pPr>
              <w:pStyle w:val="97"/>
            </w:pPr>
            <w:r>
              <w:t>占标率</w:t>
            </w:r>
          </w:p>
          <w:p>
            <w:pPr>
              <w:pStyle w:val="97"/>
            </w:pPr>
            <w:r>
              <w:rPr>
                <w:rFonts w:hint="eastAsia"/>
              </w:rPr>
              <w:t>（%）</w:t>
            </w:r>
          </w:p>
        </w:tc>
        <w:tc>
          <w:tcPr>
            <w:tcW w:w="1005" w:type="dxa"/>
            <w:tcMar>
              <w:top w:w="0" w:type="dxa"/>
              <w:left w:w="51" w:type="dxa"/>
              <w:bottom w:w="0" w:type="dxa"/>
              <w:right w:w="51" w:type="dxa"/>
            </w:tcMar>
            <w:vAlign w:val="center"/>
          </w:tcPr>
          <w:p>
            <w:pPr>
              <w:pStyle w:val="97"/>
            </w:pPr>
            <w:r>
              <w:t>达标情况</w:t>
            </w:r>
          </w:p>
        </w:tc>
        <w:tc>
          <w:tcPr>
            <w:tcW w:w="938" w:type="dxa"/>
            <w:tcMar>
              <w:top w:w="0" w:type="dxa"/>
              <w:left w:w="51" w:type="dxa"/>
              <w:bottom w:w="0" w:type="dxa"/>
              <w:right w:w="51" w:type="dxa"/>
            </w:tcMar>
            <w:vAlign w:val="center"/>
          </w:tcPr>
          <w:p>
            <w:pPr>
              <w:pStyle w:val="97"/>
            </w:pPr>
            <w:r>
              <w:t>超标倍数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PM</w:t>
            </w:r>
            <w:r>
              <w:rPr>
                <w:vertAlign w:val="subscript"/>
              </w:rPr>
              <w:t>2.5</w:t>
            </w:r>
          </w:p>
        </w:tc>
        <w:tc>
          <w:tcPr>
            <w:tcW w:w="3255" w:type="dxa"/>
            <w:vMerge w:val="restart"/>
            <w:tcMar>
              <w:top w:w="0" w:type="dxa"/>
              <w:left w:w="51" w:type="dxa"/>
              <w:bottom w:w="0" w:type="dxa"/>
              <w:right w:w="51" w:type="dxa"/>
            </w:tcMar>
            <w:vAlign w:val="center"/>
          </w:tcPr>
          <w:p>
            <w:pPr>
              <w:pStyle w:val="97"/>
            </w:pPr>
            <w:r>
              <w:t>年平均质量浓度</w:t>
            </w:r>
          </w:p>
        </w:tc>
        <w:tc>
          <w:tcPr>
            <w:tcW w:w="1050" w:type="dxa"/>
            <w:tcMar>
              <w:top w:w="0" w:type="dxa"/>
              <w:left w:w="51" w:type="dxa"/>
              <w:bottom w:w="0" w:type="dxa"/>
              <w:right w:w="51" w:type="dxa"/>
            </w:tcMar>
            <w:vAlign w:val="center"/>
          </w:tcPr>
          <w:p>
            <w:pPr>
              <w:pStyle w:val="97"/>
            </w:pPr>
            <w:r>
              <w:rPr>
                <w:rFonts w:hint="eastAsia"/>
              </w:rPr>
              <w:t>32</w:t>
            </w:r>
          </w:p>
        </w:tc>
        <w:tc>
          <w:tcPr>
            <w:tcW w:w="967" w:type="dxa"/>
            <w:tcMar>
              <w:top w:w="0" w:type="dxa"/>
              <w:left w:w="51" w:type="dxa"/>
              <w:bottom w:w="0" w:type="dxa"/>
              <w:right w:w="51" w:type="dxa"/>
            </w:tcMar>
            <w:vAlign w:val="center"/>
          </w:tcPr>
          <w:p>
            <w:pPr>
              <w:pStyle w:val="97"/>
            </w:pPr>
            <w:r>
              <w:t>35</w:t>
            </w:r>
          </w:p>
        </w:tc>
        <w:tc>
          <w:tcPr>
            <w:tcW w:w="929" w:type="dxa"/>
            <w:tcMar>
              <w:top w:w="0" w:type="dxa"/>
              <w:left w:w="51" w:type="dxa"/>
              <w:bottom w:w="0" w:type="dxa"/>
              <w:right w:w="51" w:type="dxa"/>
            </w:tcMar>
            <w:vAlign w:val="center"/>
          </w:tcPr>
          <w:p>
            <w:pPr>
              <w:pStyle w:val="97"/>
            </w:pPr>
            <w:r>
              <w:t>91.4</w:t>
            </w:r>
          </w:p>
        </w:tc>
        <w:tc>
          <w:tcPr>
            <w:tcW w:w="1005" w:type="dxa"/>
            <w:tcMar>
              <w:top w:w="0" w:type="dxa"/>
              <w:left w:w="51" w:type="dxa"/>
              <w:bottom w:w="0" w:type="dxa"/>
              <w:right w:w="51" w:type="dxa"/>
            </w:tcMar>
            <w:vAlign w:val="center"/>
          </w:tcPr>
          <w:p>
            <w:pPr>
              <w:pStyle w:val="97"/>
            </w:pPr>
            <w:r>
              <w:rPr>
                <w:rFonts w:hint="eastAsia"/>
              </w:rPr>
              <w:t>达标</w:t>
            </w:r>
          </w:p>
        </w:tc>
        <w:tc>
          <w:tcPr>
            <w:tcW w:w="938" w:type="dxa"/>
            <w:tcMar>
              <w:top w:w="0" w:type="dxa"/>
              <w:left w:w="51" w:type="dxa"/>
              <w:bottom w:w="0" w:type="dxa"/>
              <w:right w:w="51" w:type="dxa"/>
            </w:tcMar>
            <w:vAlign w:val="center"/>
          </w:tcPr>
          <w:p>
            <w:pPr>
              <w:pStyle w:val="97"/>
            </w:pPr>
            <w: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PM</w:t>
            </w:r>
            <w:r>
              <w:rPr>
                <w:vertAlign w:val="subscript"/>
              </w:rPr>
              <w:t>10</w:t>
            </w:r>
          </w:p>
        </w:tc>
        <w:tc>
          <w:tcPr>
            <w:tcW w:w="3255" w:type="dxa"/>
            <w:vMerge w:val="continue"/>
            <w:tcMar>
              <w:top w:w="0" w:type="dxa"/>
              <w:left w:w="51" w:type="dxa"/>
              <w:bottom w:w="0" w:type="dxa"/>
              <w:right w:w="51" w:type="dxa"/>
            </w:tcMar>
            <w:vAlign w:val="center"/>
          </w:tcPr>
          <w:p>
            <w:pPr>
              <w:pStyle w:val="97"/>
            </w:pPr>
          </w:p>
        </w:tc>
        <w:tc>
          <w:tcPr>
            <w:tcW w:w="1050" w:type="dxa"/>
            <w:tcMar>
              <w:top w:w="0" w:type="dxa"/>
              <w:left w:w="51" w:type="dxa"/>
              <w:bottom w:w="0" w:type="dxa"/>
              <w:right w:w="51" w:type="dxa"/>
            </w:tcMar>
            <w:vAlign w:val="center"/>
          </w:tcPr>
          <w:p>
            <w:pPr>
              <w:pStyle w:val="97"/>
            </w:pPr>
            <w:r>
              <w:rPr>
                <w:rFonts w:hint="eastAsia"/>
              </w:rPr>
              <w:t>39</w:t>
            </w:r>
          </w:p>
        </w:tc>
        <w:tc>
          <w:tcPr>
            <w:tcW w:w="967" w:type="dxa"/>
            <w:tcMar>
              <w:top w:w="0" w:type="dxa"/>
              <w:left w:w="51" w:type="dxa"/>
              <w:bottom w:w="0" w:type="dxa"/>
              <w:right w:w="51" w:type="dxa"/>
            </w:tcMar>
            <w:vAlign w:val="center"/>
          </w:tcPr>
          <w:p>
            <w:pPr>
              <w:pStyle w:val="97"/>
            </w:pPr>
            <w:r>
              <w:t>70</w:t>
            </w:r>
          </w:p>
        </w:tc>
        <w:tc>
          <w:tcPr>
            <w:tcW w:w="929" w:type="dxa"/>
            <w:tcMar>
              <w:top w:w="0" w:type="dxa"/>
              <w:left w:w="51" w:type="dxa"/>
              <w:bottom w:w="0" w:type="dxa"/>
              <w:right w:w="51" w:type="dxa"/>
            </w:tcMar>
            <w:vAlign w:val="center"/>
          </w:tcPr>
          <w:p>
            <w:pPr>
              <w:pStyle w:val="97"/>
            </w:pPr>
            <w:r>
              <w:t>55.7</w:t>
            </w:r>
          </w:p>
        </w:tc>
        <w:tc>
          <w:tcPr>
            <w:tcW w:w="1005" w:type="dxa"/>
            <w:tcMar>
              <w:top w:w="0" w:type="dxa"/>
              <w:left w:w="51" w:type="dxa"/>
              <w:bottom w:w="0" w:type="dxa"/>
              <w:right w:w="51" w:type="dxa"/>
            </w:tcMar>
          </w:tcPr>
          <w:p>
            <w:pPr>
              <w:pStyle w:val="97"/>
            </w:pPr>
            <w:r>
              <w:rPr>
                <w:rFonts w:hint="eastAsia"/>
              </w:rPr>
              <w:t>达标</w:t>
            </w:r>
          </w:p>
        </w:tc>
        <w:tc>
          <w:tcPr>
            <w:tcW w:w="938" w:type="dxa"/>
            <w:tcMar>
              <w:top w:w="0" w:type="dxa"/>
              <w:left w:w="51" w:type="dxa"/>
              <w:bottom w:w="0" w:type="dxa"/>
              <w:right w:w="51" w:type="dxa"/>
            </w:tcMar>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SO</w:t>
            </w:r>
            <w:r>
              <w:rPr>
                <w:vertAlign w:val="subscript"/>
              </w:rPr>
              <w:t>2</w:t>
            </w:r>
          </w:p>
        </w:tc>
        <w:tc>
          <w:tcPr>
            <w:tcW w:w="3255" w:type="dxa"/>
            <w:vMerge w:val="continue"/>
            <w:tcMar>
              <w:top w:w="0" w:type="dxa"/>
              <w:left w:w="51" w:type="dxa"/>
              <w:bottom w:w="0" w:type="dxa"/>
              <w:right w:w="51" w:type="dxa"/>
            </w:tcMar>
            <w:vAlign w:val="center"/>
          </w:tcPr>
          <w:p>
            <w:pPr>
              <w:pStyle w:val="97"/>
            </w:pPr>
          </w:p>
        </w:tc>
        <w:tc>
          <w:tcPr>
            <w:tcW w:w="1050" w:type="dxa"/>
            <w:tcMar>
              <w:top w:w="0" w:type="dxa"/>
              <w:left w:w="51" w:type="dxa"/>
              <w:bottom w:w="0" w:type="dxa"/>
              <w:right w:w="51" w:type="dxa"/>
            </w:tcMar>
            <w:vAlign w:val="center"/>
          </w:tcPr>
          <w:p>
            <w:pPr>
              <w:pStyle w:val="97"/>
            </w:pPr>
            <w:r>
              <w:rPr>
                <w:rFonts w:hint="eastAsia"/>
              </w:rPr>
              <w:t>8</w:t>
            </w:r>
          </w:p>
        </w:tc>
        <w:tc>
          <w:tcPr>
            <w:tcW w:w="967" w:type="dxa"/>
            <w:tcMar>
              <w:top w:w="0" w:type="dxa"/>
              <w:left w:w="51" w:type="dxa"/>
              <w:bottom w:w="0" w:type="dxa"/>
              <w:right w:w="51" w:type="dxa"/>
            </w:tcMar>
            <w:vAlign w:val="center"/>
          </w:tcPr>
          <w:p>
            <w:pPr>
              <w:pStyle w:val="97"/>
            </w:pPr>
            <w:r>
              <w:t>60</w:t>
            </w:r>
          </w:p>
        </w:tc>
        <w:tc>
          <w:tcPr>
            <w:tcW w:w="929" w:type="dxa"/>
            <w:tcMar>
              <w:top w:w="0" w:type="dxa"/>
              <w:left w:w="51" w:type="dxa"/>
              <w:bottom w:w="0" w:type="dxa"/>
              <w:right w:w="51" w:type="dxa"/>
            </w:tcMar>
            <w:vAlign w:val="center"/>
          </w:tcPr>
          <w:p>
            <w:pPr>
              <w:pStyle w:val="97"/>
            </w:pPr>
            <w:r>
              <w:t>13.3</w:t>
            </w:r>
          </w:p>
        </w:tc>
        <w:tc>
          <w:tcPr>
            <w:tcW w:w="1005" w:type="dxa"/>
            <w:tcMar>
              <w:top w:w="0" w:type="dxa"/>
              <w:left w:w="51" w:type="dxa"/>
              <w:bottom w:w="0" w:type="dxa"/>
              <w:right w:w="51" w:type="dxa"/>
            </w:tcMar>
          </w:tcPr>
          <w:p>
            <w:pPr>
              <w:pStyle w:val="97"/>
            </w:pPr>
            <w:r>
              <w:rPr>
                <w:rFonts w:hint="eastAsia"/>
              </w:rPr>
              <w:t>达标</w:t>
            </w:r>
          </w:p>
        </w:tc>
        <w:tc>
          <w:tcPr>
            <w:tcW w:w="938" w:type="dxa"/>
            <w:tcMar>
              <w:top w:w="0" w:type="dxa"/>
              <w:left w:w="51" w:type="dxa"/>
              <w:bottom w:w="0" w:type="dxa"/>
              <w:right w:w="51" w:type="dxa"/>
            </w:tcMar>
            <w:vAlign w:val="center"/>
          </w:tcPr>
          <w:p>
            <w:pPr>
              <w:pStyle w:val="97"/>
            </w:pPr>
            <w: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NO</w:t>
            </w:r>
            <w:r>
              <w:rPr>
                <w:vertAlign w:val="subscript"/>
              </w:rPr>
              <w:t>2</w:t>
            </w:r>
          </w:p>
        </w:tc>
        <w:tc>
          <w:tcPr>
            <w:tcW w:w="3255" w:type="dxa"/>
            <w:vMerge w:val="continue"/>
            <w:tcMar>
              <w:top w:w="0" w:type="dxa"/>
              <w:left w:w="51" w:type="dxa"/>
              <w:bottom w:w="0" w:type="dxa"/>
              <w:right w:w="51" w:type="dxa"/>
            </w:tcMar>
            <w:vAlign w:val="center"/>
          </w:tcPr>
          <w:p>
            <w:pPr>
              <w:pStyle w:val="97"/>
            </w:pPr>
          </w:p>
        </w:tc>
        <w:tc>
          <w:tcPr>
            <w:tcW w:w="1050" w:type="dxa"/>
            <w:tcMar>
              <w:top w:w="0" w:type="dxa"/>
              <w:left w:w="51" w:type="dxa"/>
              <w:bottom w:w="0" w:type="dxa"/>
              <w:right w:w="51" w:type="dxa"/>
            </w:tcMar>
            <w:vAlign w:val="center"/>
          </w:tcPr>
          <w:p>
            <w:pPr>
              <w:pStyle w:val="97"/>
            </w:pPr>
            <w:r>
              <w:rPr>
                <w:rFonts w:hint="eastAsia"/>
              </w:rPr>
              <w:t>12</w:t>
            </w:r>
          </w:p>
        </w:tc>
        <w:tc>
          <w:tcPr>
            <w:tcW w:w="967" w:type="dxa"/>
            <w:tcMar>
              <w:top w:w="0" w:type="dxa"/>
              <w:left w:w="51" w:type="dxa"/>
              <w:bottom w:w="0" w:type="dxa"/>
              <w:right w:w="51" w:type="dxa"/>
            </w:tcMar>
            <w:vAlign w:val="center"/>
          </w:tcPr>
          <w:p>
            <w:pPr>
              <w:pStyle w:val="97"/>
            </w:pPr>
            <w:r>
              <w:t>40</w:t>
            </w:r>
          </w:p>
        </w:tc>
        <w:tc>
          <w:tcPr>
            <w:tcW w:w="929" w:type="dxa"/>
            <w:tcMar>
              <w:top w:w="0" w:type="dxa"/>
              <w:left w:w="51" w:type="dxa"/>
              <w:bottom w:w="0" w:type="dxa"/>
              <w:right w:w="51" w:type="dxa"/>
            </w:tcMar>
            <w:vAlign w:val="center"/>
          </w:tcPr>
          <w:p>
            <w:pPr>
              <w:pStyle w:val="97"/>
            </w:pPr>
            <w:r>
              <w:t>30.0</w:t>
            </w:r>
          </w:p>
        </w:tc>
        <w:tc>
          <w:tcPr>
            <w:tcW w:w="1005" w:type="dxa"/>
            <w:tcMar>
              <w:top w:w="0" w:type="dxa"/>
              <w:left w:w="51" w:type="dxa"/>
              <w:bottom w:w="0" w:type="dxa"/>
              <w:right w:w="51" w:type="dxa"/>
            </w:tcMar>
          </w:tcPr>
          <w:p>
            <w:pPr>
              <w:pStyle w:val="97"/>
            </w:pPr>
            <w:r>
              <w:rPr>
                <w:rFonts w:hint="eastAsia"/>
              </w:rPr>
              <w:t>达标</w:t>
            </w:r>
          </w:p>
        </w:tc>
        <w:tc>
          <w:tcPr>
            <w:tcW w:w="938" w:type="dxa"/>
            <w:tcMar>
              <w:top w:w="0" w:type="dxa"/>
              <w:left w:w="51" w:type="dxa"/>
              <w:bottom w:w="0" w:type="dxa"/>
              <w:right w:w="51" w:type="dxa"/>
            </w:tcMar>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CO</w:t>
            </w:r>
          </w:p>
        </w:tc>
        <w:tc>
          <w:tcPr>
            <w:tcW w:w="3255" w:type="dxa"/>
            <w:tcMar>
              <w:top w:w="0" w:type="dxa"/>
              <w:left w:w="51" w:type="dxa"/>
              <w:bottom w:w="0" w:type="dxa"/>
              <w:right w:w="51" w:type="dxa"/>
            </w:tcMar>
            <w:vAlign w:val="center"/>
          </w:tcPr>
          <w:p>
            <w:pPr>
              <w:pStyle w:val="97"/>
            </w:pPr>
            <w:r>
              <w:t>日均值的第95百分位数</w:t>
            </w:r>
          </w:p>
        </w:tc>
        <w:tc>
          <w:tcPr>
            <w:tcW w:w="1050" w:type="dxa"/>
            <w:tcMar>
              <w:top w:w="0" w:type="dxa"/>
              <w:left w:w="51" w:type="dxa"/>
              <w:bottom w:w="0" w:type="dxa"/>
              <w:right w:w="51" w:type="dxa"/>
            </w:tcMar>
            <w:vAlign w:val="center"/>
          </w:tcPr>
          <w:p>
            <w:pPr>
              <w:pStyle w:val="97"/>
            </w:pPr>
            <w:r>
              <w:t>1.1 mg/m</w:t>
            </w:r>
            <w:r>
              <w:rPr>
                <w:vertAlign w:val="superscript"/>
              </w:rPr>
              <w:t>3</w:t>
            </w:r>
          </w:p>
        </w:tc>
        <w:tc>
          <w:tcPr>
            <w:tcW w:w="967" w:type="dxa"/>
            <w:tcMar>
              <w:top w:w="0" w:type="dxa"/>
              <w:left w:w="51" w:type="dxa"/>
              <w:bottom w:w="0" w:type="dxa"/>
              <w:right w:w="51" w:type="dxa"/>
            </w:tcMar>
            <w:vAlign w:val="center"/>
          </w:tcPr>
          <w:p>
            <w:pPr>
              <w:pStyle w:val="97"/>
            </w:pPr>
            <w:r>
              <w:t>4 mg/m</w:t>
            </w:r>
            <w:r>
              <w:rPr>
                <w:vertAlign w:val="superscript"/>
              </w:rPr>
              <w:t>3</w:t>
            </w:r>
          </w:p>
        </w:tc>
        <w:tc>
          <w:tcPr>
            <w:tcW w:w="929" w:type="dxa"/>
            <w:tcMar>
              <w:top w:w="0" w:type="dxa"/>
              <w:left w:w="51" w:type="dxa"/>
              <w:bottom w:w="0" w:type="dxa"/>
              <w:right w:w="51" w:type="dxa"/>
            </w:tcMar>
            <w:vAlign w:val="center"/>
          </w:tcPr>
          <w:p>
            <w:pPr>
              <w:pStyle w:val="97"/>
            </w:pPr>
            <w:r>
              <w:t>27.5</w:t>
            </w:r>
          </w:p>
        </w:tc>
        <w:tc>
          <w:tcPr>
            <w:tcW w:w="1005" w:type="dxa"/>
            <w:tcMar>
              <w:top w:w="0" w:type="dxa"/>
              <w:left w:w="51" w:type="dxa"/>
              <w:bottom w:w="0" w:type="dxa"/>
              <w:right w:w="51" w:type="dxa"/>
            </w:tcMar>
          </w:tcPr>
          <w:p>
            <w:pPr>
              <w:pStyle w:val="97"/>
            </w:pPr>
            <w:r>
              <w:rPr>
                <w:rFonts w:hint="eastAsia"/>
              </w:rPr>
              <w:t>达标</w:t>
            </w:r>
          </w:p>
        </w:tc>
        <w:tc>
          <w:tcPr>
            <w:tcW w:w="938" w:type="dxa"/>
            <w:tcMar>
              <w:top w:w="0" w:type="dxa"/>
              <w:left w:w="51" w:type="dxa"/>
              <w:bottom w:w="0" w:type="dxa"/>
              <w:right w:w="51" w:type="dxa"/>
            </w:tcMar>
            <w:vAlign w:val="center"/>
          </w:tcPr>
          <w:p>
            <w:pPr>
              <w:pStyle w:val="97"/>
            </w:pPr>
            <w: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896" w:type="dxa"/>
            <w:vAlign w:val="center"/>
          </w:tcPr>
          <w:p>
            <w:pPr>
              <w:pStyle w:val="97"/>
            </w:pPr>
            <w:r>
              <w:t>O</w:t>
            </w:r>
            <w:r>
              <w:rPr>
                <w:vertAlign w:val="subscript"/>
              </w:rPr>
              <w:t>3</w:t>
            </w:r>
          </w:p>
        </w:tc>
        <w:tc>
          <w:tcPr>
            <w:tcW w:w="3255" w:type="dxa"/>
            <w:tcMar>
              <w:top w:w="0" w:type="dxa"/>
              <w:left w:w="51" w:type="dxa"/>
              <w:bottom w:w="0" w:type="dxa"/>
              <w:right w:w="51" w:type="dxa"/>
            </w:tcMar>
            <w:vAlign w:val="center"/>
          </w:tcPr>
          <w:p>
            <w:pPr>
              <w:pStyle w:val="97"/>
            </w:pPr>
            <w:r>
              <w:t>日最大8小时值的第90百分位数</w:t>
            </w:r>
          </w:p>
        </w:tc>
        <w:tc>
          <w:tcPr>
            <w:tcW w:w="1050" w:type="dxa"/>
            <w:tcMar>
              <w:top w:w="0" w:type="dxa"/>
              <w:left w:w="51" w:type="dxa"/>
              <w:bottom w:w="0" w:type="dxa"/>
              <w:right w:w="51" w:type="dxa"/>
            </w:tcMar>
            <w:vAlign w:val="center"/>
          </w:tcPr>
          <w:p>
            <w:pPr>
              <w:pStyle w:val="97"/>
            </w:pPr>
            <w:r>
              <w:t>116</w:t>
            </w:r>
          </w:p>
        </w:tc>
        <w:tc>
          <w:tcPr>
            <w:tcW w:w="967" w:type="dxa"/>
            <w:tcMar>
              <w:top w:w="0" w:type="dxa"/>
              <w:left w:w="51" w:type="dxa"/>
              <w:bottom w:w="0" w:type="dxa"/>
              <w:right w:w="51" w:type="dxa"/>
            </w:tcMar>
            <w:vAlign w:val="center"/>
          </w:tcPr>
          <w:p>
            <w:pPr>
              <w:pStyle w:val="97"/>
            </w:pPr>
            <w:r>
              <w:t>160</w:t>
            </w:r>
          </w:p>
        </w:tc>
        <w:tc>
          <w:tcPr>
            <w:tcW w:w="929" w:type="dxa"/>
            <w:tcMar>
              <w:top w:w="0" w:type="dxa"/>
              <w:left w:w="51" w:type="dxa"/>
              <w:bottom w:w="0" w:type="dxa"/>
              <w:right w:w="51" w:type="dxa"/>
            </w:tcMar>
            <w:vAlign w:val="center"/>
          </w:tcPr>
          <w:p>
            <w:pPr>
              <w:pStyle w:val="97"/>
            </w:pPr>
            <w:r>
              <w:t>72.5</w:t>
            </w:r>
          </w:p>
        </w:tc>
        <w:tc>
          <w:tcPr>
            <w:tcW w:w="1005" w:type="dxa"/>
            <w:tcMar>
              <w:top w:w="0" w:type="dxa"/>
              <w:left w:w="51" w:type="dxa"/>
              <w:bottom w:w="0" w:type="dxa"/>
              <w:right w:w="51" w:type="dxa"/>
            </w:tcMar>
          </w:tcPr>
          <w:p>
            <w:pPr>
              <w:pStyle w:val="97"/>
            </w:pPr>
            <w:r>
              <w:rPr>
                <w:rFonts w:hint="eastAsia"/>
              </w:rPr>
              <w:t>达标</w:t>
            </w:r>
          </w:p>
        </w:tc>
        <w:tc>
          <w:tcPr>
            <w:tcW w:w="938" w:type="dxa"/>
            <w:tcMar>
              <w:top w:w="0" w:type="dxa"/>
              <w:left w:w="51" w:type="dxa"/>
              <w:bottom w:w="0" w:type="dxa"/>
              <w:right w:w="51" w:type="dxa"/>
            </w:tcMar>
            <w:vAlign w:val="center"/>
          </w:tcPr>
          <w:p>
            <w:pPr>
              <w:pStyle w:val="97"/>
            </w:pPr>
            <w:r>
              <w:rPr>
                <w:rFonts w:hint="eastAsia"/>
              </w:rPr>
              <w:t>/</w:t>
            </w:r>
          </w:p>
        </w:tc>
      </w:tr>
    </w:tbl>
    <w:p>
      <w:pPr>
        <w:ind w:firstLine="480"/>
      </w:pPr>
      <w:r>
        <w:rPr>
          <w:rFonts w:hint="eastAsia"/>
        </w:rPr>
        <w:t>根据</w:t>
      </w:r>
      <w:r>
        <w:t>陕西省</w:t>
      </w:r>
      <w:r>
        <w:rPr>
          <w:rFonts w:hint="eastAsia"/>
        </w:rPr>
        <w:t>20</w:t>
      </w:r>
      <w:r>
        <w:t>20</w:t>
      </w:r>
      <w:r>
        <w:rPr>
          <w:rFonts w:hint="eastAsia"/>
        </w:rPr>
        <w:t>年</w:t>
      </w:r>
      <w:r>
        <w:t>全省环境质量状况报告，</w:t>
      </w:r>
      <w:r>
        <w:rPr>
          <w:rFonts w:hint="eastAsia"/>
        </w:rPr>
        <w:t>项目</w:t>
      </w:r>
      <w:r>
        <w:t>所在区域</w:t>
      </w:r>
      <w:r>
        <w:rPr>
          <w:rFonts w:hint="eastAsia"/>
        </w:rPr>
        <w:t>旬阳市基本污染物</w:t>
      </w:r>
      <w:r>
        <w:t>均满足《环境空气质量标准》（GB3095-2012）中二级标准</w:t>
      </w:r>
      <w:r>
        <w:rPr>
          <w:rFonts w:hint="eastAsia"/>
        </w:rPr>
        <w:t>，</w:t>
      </w:r>
      <w:r>
        <w:t>项目所在区域为</w:t>
      </w:r>
      <w:r>
        <w:rPr>
          <w:rFonts w:hint="eastAsia"/>
        </w:rPr>
        <w:t>达标</w:t>
      </w:r>
      <w:r>
        <w:t>区域。</w:t>
      </w:r>
    </w:p>
    <w:p>
      <w:pPr>
        <w:pStyle w:val="5"/>
      </w:pPr>
      <w:r>
        <w:rPr>
          <w:rFonts w:hint="eastAsia"/>
        </w:rPr>
        <w:t>特征污染物</w:t>
      </w:r>
    </w:p>
    <w:p>
      <w:pPr>
        <w:pStyle w:val="87"/>
        <w:ind w:firstLine="480"/>
        <w:rPr>
          <w:rFonts w:cs="Times New Roman"/>
        </w:rPr>
      </w:pPr>
      <w:r>
        <w:rPr>
          <w:rFonts w:cs="Times New Roman"/>
        </w:rPr>
        <w:t>本次环评委托</w:t>
      </w:r>
      <w:r>
        <w:rPr>
          <w:rFonts w:hint="eastAsia" w:cs="Times New Roman"/>
        </w:rPr>
        <w:t>陕西泽希</w:t>
      </w:r>
      <w:r>
        <w:rPr>
          <w:rFonts w:cs="Times New Roman"/>
        </w:rPr>
        <w:t>检测</w:t>
      </w:r>
      <w:r>
        <w:rPr>
          <w:rFonts w:hint="eastAsia" w:cs="Times New Roman"/>
        </w:rPr>
        <w:t>服务</w:t>
      </w:r>
      <w:r>
        <w:rPr>
          <w:rFonts w:cs="Times New Roman"/>
        </w:rPr>
        <w:t>有限公司对项目所在地</w:t>
      </w:r>
      <w:r>
        <w:rPr>
          <w:rFonts w:hint="eastAsia" w:cs="Times New Roman"/>
        </w:rPr>
        <w:t>特征</w:t>
      </w:r>
      <w:r>
        <w:rPr>
          <w:rFonts w:cs="Times New Roman"/>
        </w:rPr>
        <w:t>污染物进行了监测。</w:t>
      </w:r>
    </w:p>
    <w:p>
      <w:pPr>
        <w:pStyle w:val="87"/>
        <w:ind w:firstLine="480"/>
        <w:rPr>
          <w:rFonts w:cs="Times New Roman"/>
        </w:rPr>
      </w:pPr>
      <w:r>
        <w:rPr>
          <w:rFonts w:cs="Times New Roman"/>
        </w:rPr>
        <w:t>（1）监测点位、项目及时间</w:t>
      </w:r>
    </w:p>
    <w:p>
      <w:pPr>
        <w:pStyle w:val="87"/>
        <w:ind w:firstLine="480"/>
        <w:rPr>
          <w:rFonts w:cs="Times New Roman"/>
        </w:rPr>
      </w:pPr>
      <w:r>
        <w:rPr>
          <w:rFonts w:cs="Times New Roman"/>
        </w:rPr>
        <w:t>根据《环境影响评价技术导则  大气环境》（HJ2.2-2018），本次监测</w:t>
      </w:r>
      <w:r>
        <w:rPr>
          <w:rFonts w:hint="eastAsia" w:cs="Times New Roman"/>
        </w:rPr>
        <w:t>特征</w:t>
      </w:r>
      <w:r>
        <w:rPr>
          <w:rFonts w:cs="Times New Roman"/>
        </w:rPr>
        <w:t>污染物监测布点设置1个，项目监测点位见</w:t>
      </w:r>
      <w:r>
        <w:rPr>
          <w:rFonts w:hint="eastAsia" w:cs="Times New Roman"/>
        </w:rPr>
        <w:t>表4.</w:t>
      </w:r>
      <w:r>
        <w:rPr>
          <w:rFonts w:cs="Times New Roman"/>
        </w:rPr>
        <w:t>4</w:t>
      </w:r>
      <w:r>
        <w:rPr>
          <w:rFonts w:hint="eastAsia" w:cs="Times New Roman"/>
        </w:rPr>
        <w:t>-2，</w:t>
      </w:r>
      <w:r>
        <w:rPr>
          <w:rFonts w:cs="Times New Roman"/>
        </w:rPr>
        <w:t xml:space="preserve">监测点位图见图4.4-1。 </w:t>
      </w:r>
    </w:p>
    <w:p>
      <w:pPr>
        <w:pStyle w:val="93"/>
        <w:rPr>
          <w:rFonts w:hAnsi="Times New Roman"/>
        </w:rPr>
      </w:pPr>
      <w:bookmarkStart w:id="97" w:name="_Ref26373971"/>
      <w:r>
        <w:rPr>
          <w:rFonts w:hAnsi="Times New Roman"/>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4.4</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2</w:t>
      </w:r>
      <w:r>
        <w:rPr>
          <w:rFonts w:hAnsi="Times New Roman"/>
        </w:rPr>
        <w:fldChar w:fldCharType="end"/>
      </w:r>
      <w:bookmarkEnd w:id="97"/>
      <w:r>
        <w:rPr>
          <w:rFonts w:hAnsi="Times New Roman"/>
        </w:rPr>
        <w:t xml:space="preserve">  </w:t>
      </w:r>
      <w:r>
        <w:rPr>
          <w:rFonts w:hAnsi="Times New Roman"/>
          <w:snapToGrid w:val="0"/>
        </w:rPr>
        <w:t>环境空气</w:t>
      </w:r>
      <w:r>
        <w:rPr>
          <w:rFonts w:hint="eastAsia" w:hAnsi="Times New Roman"/>
          <w:snapToGrid w:val="0"/>
        </w:rPr>
        <w:t>特征</w:t>
      </w:r>
      <w:r>
        <w:rPr>
          <w:rFonts w:hAnsi="Times New Roman"/>
          <w:snapToGrid w:val="0"/>
        </w:rPr>
        <w:t>污染物监测点位置及监测项目</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182"/>
        <w:gridCol w:w="2012"/>
        <w:gridCol w:w="1573"/>
        <w:gridCol w:w="2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5" w:type="dxa"/>
            <w:shd w:val="clear" w:color="auto" w:fill="auto"/>
            <w:vAlign w:val="center"/>
          </w:tcPr>
          <w:p>
            <w:pPr>
              <w:pStyle w:val="97"/>
            </w:pPr>
            <w:r>
              <w:t>编号</w:t>
            </w:r>
          </w:p>
        </w:tc>
        <w:tc>
          <w:tcPr>
            <w:tcW w:w="2182" w:type="dxa"/>
            <w:shd w:val="clear" w:color="auto" w:fill="auto"/>
            <w:vAlign w:val="center"/>
          </w:tcPr>
          <w:p>
            <w:pPr>
              <w:pStyle w:val="97"/>
            </w:pPr>
            <w:r>
              <w:t>监测点位置</w:t>
            </w:r>
          </w:p>
        </w:tc>
        <w:tc>
          <w:tcPr>
            <w:tcW w:w="2012" w:type="dxa"/>
            <w:vAlign w:val="center"/>
          </w:tcPr>
          <w:p>
            <w:pPr>
              <w:pStyle w:val="97"/>
            </w:pPr>
            <w:r>
              <w:t>坐标</w:t>
            </w:r>
          </w:p>
        </w:tc>
        <w:tc>
          <w:tcPr>
            <w:tcW w:w="1573" w:type="dxa"/>
            <w:shd w:val="clear" w:color="auto" w:fill="auto"/>
            <w:vAlign w:val="center"/>
          </w:tcPr>
          <w:p>
            <w:pPr>
              <w:pStyle w:val="97"/>
            </w:pPr>
            <w:r>
              <w:t>监测项目</w:t>
            </w:r>
          </w:p>
        </w:tc>
        <w:tc>
          <w:tcPr>
            <w:tcW w:w="2528" w:type="dxa"/>
            <w:shd w:val="clear" w:color="auto" w:fill="auto"/>
            <w:vAlign w:val="center"/>
          </w:tcPr>
          <w:p>
            <w:pPr>
              <w:pStyle w:val="97"/>
            </w:pPr>
            <w:r>
              <w:t>采样时间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745" w:type="dxa"/>
            <w:shd w:val="clear" w:color="auto" w:fill="auto"/>
            <w:vAlign w:val="center"/>
          </w:tcPr>
          <w:p>
            <w:pPr>
              <w:pStyle w:val="97"/>
            </w:pPr>
            <w:r>
              <w:rPr>
                <w:rFonts w:hint="eastAsia"/>
              </w:rPr>
              <w:t>1</w:t>
            </w:r>
            <w:r>
              <w:t>#</w:t>
            </w:r>
          </w:p>
        </w:tc>
        <w:tc>
          <w:tcPr>
            <w:tcW w:w="2182" w:type="dxa"/>
            <w:shd w:val="clear" w:color="auto" w:fill="auto"/>
            <w:vAlign w:val="center"/>
          </w:tcPr>
          <w:p>
            <w:pPr>
              <w:pStyle w:val="97"/>
            </w:pPr>
            <w:r>
              <w:rPr>
                <w:rFonts w:hint="eastAsia"/>
              </w:rPr>
              <w:t>项目</w:t>
            </w:r>
            <w:r>
              <w:t>所在地</w:t>
            </w:r>
          </w:p>
        </w:tc>
        <w:tc>
          <w:tcPr>
            <w:tcW w:w="2012" w:type="dxa"/>
            <w:vAlign w:val="center"/>
          </w:tcPr>
          <w:p>
            <w:pPr>
              <w:pStyle w:val="97"/>
            </w:pPr>
            <w:r>
              <w:t>32°46'18.532"</w:t>
            </w:r>
          </w:p>
          <w:p>
            <w:pPr>
              <w:pStyle w:val="97"/>
            </w:pPr>
            <w:r>
              <w:t>109°22'2.832</w:t>
            </w:r>
          </w:p>
        </w:tc>
        <w:tc>
          <w:tcPr>
            <w:tcW w:w="1573" w:type="dxa"/>
            <w:shd w:val="clear" w:color="auto" w:fill="auto"/>
            <w:vAlign w:val="center"/>
          </w:tcPr>
          <w:p>
            <w:pPr>
              <w:pStyle w:val="97"/>
            </w:pPr>
            <w:r>
              <w:rPr>
                <w:rFonts w:hint="eastAsia"/>
              </w:rPr>
              <w:t>非甲烷</w:t>
            </w:r>
            <w:r>
              <w:t>总烃、NO</w:t>
            </w:r>
            <w:r>
              <w:rPr>
                <w:vertAlign w:val="subscript"/>
              </w:rPr>
              <w:t>X</w:t>
            </w:r>
            <w:r>
              <w:t>、硫酸雾</w:t>
            </w:r>
            <w:r>
              <w:rPr>
                <w:rFonts w:hint="eastAsia"/>
              </w:rPr>
              <w:t>、</w:t>
            </w:r>
            <w:r>
              <w:t>甲醇</w:t>
            </w:r>
          </w:p>
        </w:tc>
        <w:tc>
          <w:tcPr>
            <w:tcW w:w="2528" w:type="dxa"/>
            <w:shd w:val="clear" w:color="auto" w:fill="auto"/>
            <w:vAlign w:val="center"/>
          </w:tcPr>
          <w:p>
            <w:pPr>
              <w:pStyle w:val="97"/>
            </w:pPr>
            <w:r>
              <w:t>2021.5.21-2021.5.26</w:t>
            </w:r>
          </w:p>
        </w:tc>
      </w:tr>
    </w:tbl>
    <w:p>
      <w:pPr>
        <w:pStyle w:val="87"/>
        <w:ind w:firstLine="480"/>
        <w:rPr>
          <w:rFonts w:cs="Times New Roman"/>
        </w:rPr>
      </w:pPr>
      <w:r>
        <w:rPr>
          <w:rFonts w:cs="Times New Roman"/>
        </w:rPr>
        <w:t>（2）监测频次</w:t>
      </w:r>
    </w:p>
    <w:p>
      <w:pPr>
        <w:pStyle w:val="87"/>
        <w:ind w:firstLine="480"/>
        <w:rPr>
          <w:rFonts w:cs="Times New Roman"/>
        </w:rPr>
      </w:pPr>
      <w:r>
        <w:rPr>
          <w:rFonts w:cs="Times New Roman"/>
        </w:rPr>
        <w:t>连续监测7天，每天4次，每次至少有45min的采样时间。</w:t>
      </w:r>
    </w:p>
    <w:p>
      <w:pPr>
        <w:pStyle w:val="87"/>
        <w:ind w:firstLine="480"/>
        <w:rPr>
          <w:rFonts w:cs="Times New Roman"/>
        </w:rPr>
      </w:pPr>
      <w:r>
        <w:rPr>
          <w:rFonts w:cs="Times New Roman"/>
        </w:rPr>
        <w:t>（3）监测及分析方法</w:t>
      </w:r>
    </w:p>
    <w:p>
      <w:pPr>
        <w:pStyle w:val="87"/>
        <w:ind w:firstLine="480"/>
        <w:rPr>
          <w:rFonts w:cs="Times New Roman"/>
        </w:rPr>
      </w:pPr>
      <w:r>
        <w:rPr>
          <w:rFonts w:cs="Times New Roman"/>
        </w:rPr>
        <w:t>按按</w:t>
      </w:r>
      <w:r>
        <w:rPr>
          <w:rFonts w:hint="eastAsia" w:cs="Times New Roman"/>
        </w:rPr>
        <w:t>《环境</w:t>
      </w:r>
      <w:r>
        <w:rPr>
          <w:rFonts w:cs="Times New Roman"/>
        </w:rPr>
        <w:t>空气质量手工</w:t>
      </w:r>
      <w:r>
        <w:rPr>
          <w:rFonts w:hint="eastAsia" w:cs="Times New Roman"/>
        </w:rPr>
        <w:t>监测</w:t>
      </w:r>
      <w:r>
        <w:rPr>
          <w:rFonts w:cs="Times New Roman"/>
        </w:rPr>
        <w:t>技术规范</w:t>
      </w:r>
      <w:r>
        <w:rPr>
          <w:rFonts w:hint="eastAsia" w:cs="Times New Roman"/>
        </w:rPr>
        <w:t>》（HJ</w:t>
      </w:r>
      <w:r>
        <w:rPr>
          <w:rFonts w:cs="Times New Roman"/>
        </w:rPr>
        <w:t>194-2017</w:t>
      </w:r>
      <w:r>
        <w:rPr>
          <w:rFonts w:hint="eastAsia" w:cs="Times New Roman"/>
        </w:rPr>
        <w:t>）及</w:t>
      </w:r>
      <w:r>
        <w:rPr>
          <w:rFonts w:cs="Times New Roman"/>
        </w:rPr>
        <w:t>修改单的有关规定和要求执行。具体检测方法见</w:t>
      </w:r>
      <w:r>
        <w:rPr>
          <w:rFonts w:cs="Times New Roman"/>
        </w:rPr>
        <w:fldChar w:fldCharType="begin"/>
      </w:r>
      <w:r>
        <w:rPr>
          <w:rFonts w:cs="Times New Roman"/>
        </w:rPr>
        <w:instrText xml:space="preserve"> REF _Ref26374478 \h  \* MERGEFORMAT </w:instrText>
      </w:r>
      <w:r>
        <w:rPr>
          <w:rFonts w:cs="Times New Roman"/>
        </w:rPr>
        <w:fldChar w:fldCharType="separate"/>
      </w:r>
      <w:r>
        <w:rPr>
          <w:rFonts w:cs="Times New Roman"/>
        </w:rPr>
        <w:t>表4.4</w:t>
      </w:r>
      <w:r>
        <w:rPr>
          <w:rFonts w:cs="Times New Roman"/>
        </w:rPr>
        <w:noBreakHyphen/>
      </w:r>
      <w:r>
        <w:rPr>
          <w:rFonts w:cs="Times New Roman"/>
        </w:rPr>
        <w:t>3</w:t>
      </w:r>
      <w:r>
        <w:rPr>
          <w:rFonts w:cs="Times New Roman"/>
        </w:rPr>
        <w:fldChar w:fldCharType="end"/>
      </w:r>
      <w:r>
        <w:rPr>
          <w:rFonts w:cs="Times New Roman"/>
        </w:rPr>
        <w:t>。</w:t>
      </w:r>
    </w:p>
    <w:p>
      <w:pPr>
        <w:pStyle w:val="93"/>
        <w:rPr>
          <w:rFonts w:hAnsi="Times New Roman"/>
        </w:rPr>
      </w:pPr>
      <w:bookmarkStart w:id="98" w:name="_Ref26374478"/>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4.4</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3</w:t>
      </w:r>
      <w:r>
        <w:rPr>
          <w:rFonts w:hAnsi="Times New Roman"/>
        </w:rPr>
        <w:fldChar w:fldCharType="end"/>
      </w:r>
      <w:bookmarkEnd w:id="98"/>
      <w:r>
        <w:rPr>
          <w:rFonts w:hAnsi="Times New Roman"/>
        </w:rPr>
        <w:t xml:space="preserve">  环境空气监测分析方法及来源</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4019"/>
        <w:gridCol w:w="1275"/>
        <w:gridCol w:w="2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211" w:type="dxa"/>
            <w:vAlign w:val="center"/>
          </w:tcPr>
          <w:p>
            <w:pPr>
              <w:pStyle w:val="97"/>
            </w:pPr>
            <w:r>
              <w:t>监测项目</w:t>
            </w:r>
          </w:p>
        </w:tc>
        <w:tc>
          <w:tcPr>
            <w:tcW w:w="4019" w:type="dxa"/>
            <w:vAlign w:val="center"/>
          </w:tcPr>
          <w:p>
            <w:pPr>
              <w:pStyle w:val="97"/>
            </w:pPr>
            <w:r>
              <w:t>检测方法</w:t>
            </w:r>
          </w:p>
        </w:tc>
        <w:tc>
          <w:tcPr>
            <w:tcW w:w="1275" w:type="dxa"/>
            <w:vAlign w:val="center"/>
          </w:tcPr>
          <w:p>
            <w:pPr>
              <w:pStyle w:val="97"/>
            </w:pPr>
            <w:r>
              <w:t>检出限（mg/m</w:t>
            </w:r>
            <w:r>
              <w:rPr>
                <w:vertAlign w:val="superscript"/>
              </w:rPr>
              <w:t>3</w:t>
            </w:r>
            <w:r>
              <w:t>）</w:t>
            </w:r>
          </w:p>
        </w:tc>
        <w:tc>
          <w:tcPr>
            <w:tcW w:w="2535" w:type="dxa"/>
            <w:vAlign w:val="center"/>
          </w:tcPr>
          <w:p>
            <w:pPr>
              <w:pStyle w:val="97"/>
            </w:pPr>
            <w:r>
              <w:t>监测仪器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1" w:type="dxa"/>
            <w:vAlign w:val="center"/>
          </w:tcPr>
          <w:p>
            <w:pPr>
              <w:pStyle w:val="97"/>
            </w:pPr>
            <w:r>
              <w:rPr>
                <w:rFonts w:hint="eastAsia"/>
              </w:rPr>
              <w:t>非甲烷</w:t>
            </w:r>
            <w:r>
              <w:t>总烃</w:t>
            </w:r>
          </w:p>
        </w:tc>
        <w:tc>
          <w:tcPr>
            <w:tcW w:w="4019" w:type="dxa"/>
            <w:vAlign w:val="center"/>
          </w:tcPr>
          <w:p>
            <w:pPr>
              <w:pStyle w:val="97"/>
            </w:pPr>
            <w:r>
              <w:rPr>
                <w:rFonts w:hint="eastAsia"/>
              </w:rPr>
              <w:t>环境空气总烃、甲烷和非甲烷总烃的测定</w:t>
            </w:r>
          </w:p>
          <w:p>
            <w:pPr>
              <w:pStyle w:val="97"/>
            </w:pPr>
            <w:r>
              <w:rPr>
                <w:rFonts w:hint="eastAsia"/>
              </w:rPr>
              <w:t>直接进样-气相色谱法</w:t>
            </w:r>
          </w:p>
          <w:p>
            <w:pPr>
              <w:pStyle w:val="97"/>
            </w:pPr>
            <w:r>
              <w:t>HJ604-2017</w:t>
            </w:r>
          </w:p>
        </w:tc>
        <w:tc>
          <w:tcPr>
            <w:tcW w:w="1275" w:type="dxa"/>
            <w:vAlign w:val="center"/>
          </w:tcPr>
          <w:p>
            <w:pPr>
              <w:pStyle w:val="97"/>
            </w:pPr>
            <w:r>
              <w:t>0.07</w:t>
            </w:r>
          </w:p>
        </w:tc>
        <w:tc>
          <w:tcPr>
            <w:tcW w:w="2535" w:type="dxa"/>
            <w:vAlign w:val="center"/>
          </w:tcPr>
          <w:p>
            <w:pPr>
              <w:pStyle w:val="97"/>
            </w:pPr>
            <w:r>
              <w:rPr>
                <w:rFonts w:hint="eastAsia"/>
              </w:rPr>
              <w:t>气相色谱仪/</w:t>
            </w:r>
          </w:p>
          <w:p>
            <w:pPr>
              <w:pStyle w:val="97"/>
            </w:pPr>
            <w:r>
              <w:rPr>
                <w:rFonts w:hint="eastAsia"/>
              </w:rPr>
              <w:t>GC97901Ⅱ/</w:t>
            </w:r>
          </w:p>
          <w:p>
            <w:pPr>
              <w:pStyle w:val="97"/>
            </w:pPr>
            <w:r>
              <w:t>ZXJC-YQ-051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1" w:type="dxa"/>
            <w:vAlign w:val="center"/>
          </w:tcPr>
          <w:p>
            <w:pPr>
              <w:pStyle w:val="97"/>
            </w:pPr>
            <w:r>
              <w:rPr>
                <w:rFonts w:hint="eastAsia"/>
              </w:rPr>
              <w:t>氮氧化物</w:t>
            </w:r>
          </w:p>
        </w:tc>
        <w:tc>
          <w:tcPr>
            <w:tcW w:w="4019" w:type="dxa"/>
            <w:vAlign w:val="center"/>
          </w:tcPr>
          <w:p>
            <w:pPr>
              <w:pStyle w:val="97"/>
            </w:pPr>
            <w:r>
              <w:rPr>
                <w:rFonts w:hint="eastAsia"/>
              </w:rPr>
              <w:t>环境空气氮氧化物的测定</w:t>
            </w:r>
          </w:p>
          <w:p>
            <w:pPr>
              <w:pStyle w:val="97"/>
            </w:pPr>
            <w:r>
              <w:rPr>
                <w:rFonts w:hint="eastAsia"/>
              </w:rPr>
              <w:t>盐酸萘乙二胺分光光度法</w:t>
            </w:r>
          </w:p>
          <w:p>
            <w:pPr>
              <w:pStyle w:val="97"/>
            </w:pPr>
            <w:r>
              <w:rPr>
                <w:rFonts w:hint="eastAsia"/>
              </w:rPr>
              <w:t>HJ479-2019及修改单</w:t>
            </w:r>
          </w:p>
          <w:p>
            <w:pPr>
              <w:pStyle w:val="97"/>
            </w:pPr>
            <w:r>
              <w:rPr>
                <w:rFonts w:hint="eastAsia"/>
              </w:rPr>
              <w:t>生态环境部公告2018年第31号</w:t>
            </w:r>
          </w:p>
        </w:tc>
        <w:tc>
          <w:tcPr>
            <w:tcW w:w="1275" w:type="dxa"/>
            <w:vAlign w:val="center"/>
          </w:tcPr>
          <w:p>
            <w:pPr>
              <w:pStyle w:val="97"/>
            </w:pPr>
            <w:r>
              <w:rPr>
                <w:rFonts w:hint="eastAsia"/>
              </w:rPr>
              <w:t>0.005</w:t>
            </w:r>
          </w:p>
        </w:tc>
        <w:tc>
          <w:tcPr>
            <w:tcW w:w="2535" w:type="dxa"/>
            <w:vAlign w:val="center"/>
          </w:tcPr>
          <w:p>
            <w:pPr>
              <w:pStyle w:val="97"/>
            </w:pPr>
            <w:r>
              <w:rPr>
                <w:rFonts w:hint="eastAsia"/>
              </w:rPr>
              <w:t>可见分光光度计/</w:t>
            </w:r>
          </w:p>
          <w:p>
            <w:pPr>
              <w:pStyle w:val="97"/>
            </w:pPr>
            <w:r>
              <w:t>N2S/</w:t>
            </w:r>
          </w:p>
          <w:p>
            <w:pPr>
              <w:pStyle w:val="97"/>
            </w:pPr>
            <w:r>
              <w:t>ZXJC-YQ-021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1" w:type="dxa"/>
            <w:vAlign w:val="center"/>
          </w:tcPr>
          <w:p>
            <w:pPr>
              <w:pStyle w:val="97"/>
            </w:pPr>
            <w:r>
              <w:rPr>
                <w:rFonts w:hint="eastAsia"/>
              </w:rPr>
              <w:t>硫酸雾</w:t>
            </w:r>
          </w:p>
        </w:tc>
        <w:tc>
          <w:tcPr>
            <w:tcW w:w="4019" w:type="dxa"/>
            <w:vAlign w:val="center"/>
          </w:tcPr>
          <w:p>
            <w:pPr>
              <w:pStyle w:val="97"/>
            </w:pPr>
            <w:r>
              <w:rPr>
                <w:rFonts w:hint="eastAsia"/>
              </w:rPr>
              <w:t>固定污染源废气硫酸雾的测定</w:t>
            </w:r>
          </w:p>
          <w:p>
            <w:pPr>
              <w:pStyle w:val="97"/>
            </w:pPr>
            <w:r>
              <w:rPr>
                <w:rFonts w:hint="eastAsia"/>
              </w:rPr>
              <w:t xml:space="preserve">离子色谱法 </w:t>
            </w:r>
            <w:r>
              <w:t>HJ544-2016</w:t>
            </w:r>
          </w:p>
        </w:tc>
        <w:tc>
          <w:tcPr>
            <w:tcW w:w="1275" w:type="dxa"/>
            <w:vAlign w:val="center"/>
          </w:tcPr>
          <w:p>
            <w:pPr>
              <w:pStyle w:val="97"/>
            </w:pPr>
            <w:r>
              <w:rPr>
                <w:rFonts w:hint="eastAsia"/>
              </w:rPr>
              <w:t>0.005</w:t>
            </w:r>
          </w:p>
        </w:tc>
        <w:tc>
          <w:tcPr>
            <w:tcW w:w="2535" w:type="dxa"/>
            <w:vAlign w:val="center"/>
          </w:tcPr>
          <w:p>
            <w:pPr>
              <w:pStyle w:val="97"/>
            </w:pPr>
            <w:r>
              <w:rPr>
                <w:rFonts w:hint="eastAsia"/>
              </w:rPr>
              <w:t>离子色谱仪/</w:t>
            </w:r>
          </w:p>
          <w:p>
            <w:pPr>
              <w:pStyle w:val="97"/>
            </w:pPr>
            <w:r>
              <w:t>IC-2800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11" w:type="dxa"/>
            <w:vAlign w:val="center"/>
          </w:tcPr>
          <w:p>
            <w:pPr>
              <w:pStyle w:val="97"/>
            </w:pPr>
            <w:r>
              <w:rPr>
                <w:rFonts w:hint="eastAsia"/>
              </w:rPr>
              <w:t>甲醇</w:t>
            </w:r>
          </w:p>
        </w:tc>
        <w:tc>
          <w:tcPr>
            <w:tcW w:w="4019" w:type="dxa"/>
            <w:vAlign w:val="center"/>
          </w:tcPr>
          <w:p>
            <w:pPr>
              <w:pStyle w:val="97"/>
            </w:pPr>
            <w:r>
              <w:rPr>
                <w:rFonts w:hint="eastAsia"/>
              </w:rPr>
              <w:t>环境空气甲醇的测定</w:t>
            </w:r>
          </w:p>
          <w:p>
            <w:pPr>
              <w:pStyle w:val="97"/>
            </w:pPr>
            <w:r>
              <w:rPr>
                <w:rFonts w:hint="eastAsia"/>
              </w:rPr>
              <w:t>变色酸比色法</w:t>
            </w:r>
          </w:p>
          <w:p>
            <w:pPr>
              <w:pStyle w:val="97"/>
            </w:pPr>
            <w:r>
              <w:rPr>
                <w:rFonts w:hint="eastAsia"/>
              </w:rPr>
              <w:t>《空气和废气监测分析方法》</w:t>
            </w:r>
          </w:p>
          <w:p>
            <w:pPr>
              <w:pStyle w:val="97"/>
            </w:pPr>
            <w:r>
              <w:rPr>
                <w:rFonts w:hint="eastAsia"/>
              </w:rPr>
              <w:t>第四版（增补版）国家环境保护总局（2003）</w:t>
            </w:r>
          </w:p>
        </w:tc>
        <w:tc>
          <w:tcPr>
            <w:tcW w:w="1275" w:type="dxa"/>
            <w:vAlign w:val="center"/>
          </w:tcPr>
          <w:p>
            <w:pPr>
              <w:pStyle w:val="97"/>
            </w:pPr>
            <w:r>
              <w:rPr>
                <w:rFonts w:hint="eastAsia"/>
              </w:rPr>
              <w:t>0.3</w:t>
            </w:r>
          </w:p>
        </w:tc>
        <w:tc>
          <w:tcPr>
            <w:tcW w:w="2535" w:type="dxa"/>
            <w:vAlign w:val="center"/>
          </w:tcPr>
          <w:p>
            <w:pPr>
              <w:pStyle w:val="97"/>
            </w:pPr>
            <w:r>
              <w:rPr>
                <w:rFonts w:hint="eastAsia"/>
              </w:rPr>
              <w:t>SP-756P型</w:t>
            </w:r>
          </w:p>
          <w:p>
            <w:pPr>
              <w:pStyle w:val="97"/>
            </w:pPr>
            <w:r>
              <w:rPr>
                <w:rFonts w:hint="eastAsia"/>
              </w:rPr>
              <w:t>紫外可见分光光度计</w:t>
            </w:r>
          </w:p>
        </w:tc>
      </w:tr>
    </w:tbl>
    <w:p>
      <w:pPr>
        <w:pStyle w:val="87"/>
        <w:ind w:firstLine="480"/>
        <w:rPr>
          <w:rFonts w:cs="Times New Roman"/>
        </w:rPr>
      </w:pPr>
      <w:r>
        <w:rPr>
          <w:rFonts w:cs="Times New Roman"/>
        </w:rPr>
        <w:t>（4）评价方法</w:t>
      </w:r>
    </w:p>
    <w:p>
      <w:pPr>
        <w:pStyle w:val="87"/>
        <w:ind w:firstLine="480"/>
        <w:rPr>
          <w:rFonts w:cs="Times New Roman"/>
          <w:bCs/>
        </w:rPr>
      </w:pPr>
      <w:r>
        <w:rPr>
          <w:rFonts w:cs="Times New Roman"/>
          <w:bCs/>
        </w:rPr>
        <w:t>采用单因子指数法对评价区各污染物进行评价，公式如下：</w:t>
      </w:r>
    </w:p>
    <w:p>
      <w:pPr>
        <w:pStyle w:val="87"/>
        <w:ind w:firstLine="480"/>
        <w:jc w:val="center"/>
        <w:rPr>
          <w:rFonts w:cs="Times New Roman"/>
          <w:bCs/>
        </w:rPr>
      </w:pPr>
      <w:r>
        <w:rPr>
          <w:rFonts w:cs="Times New Roman"/>
          <w:bCs/>
        </w:rPr>
        <w:t>P</w:t>
      </w:r>
      <w:r>
        <w:rPr>
          <w:rFonts w:cs="Times New Roman"/>
          <w:bCs/>
          <w:vertAlign w:val="subscript"/>
        </w:rPr>
        <w:t>i</w:t>
      </w:r>
      <w:r>
        <w:rPr>
          <w:rFonts w:cs="Times New Roman"/>
          <w:bCs/>
        </w:rPr>
        <w:t>=C</w:t>
      </w:r>
      <w:r>
        <w:rPr>
          <w:rFonts w:cs="Times New Roman"/>
          <w:bCs/>
          <w:vertAlign w:val="subscript"/>
        </w:rPr>
        <w:t>i</w:t>
      </w:r>
      <w:r>
        <w:rPr>
          <w:rFonts w:cs="Times New Roman"/>
          <w:bCs/>
        </w:rPr>
        <w:t>/S</w:t>
      </w:r>
      <w:r>
        <w:rPr>
          <w:rFonts w:cs="Times New Roman"/>
          <w:bCs/>
          <w:vertAlign w:val="subscript"/>
        </w:rPr>
        <w:t>i</w:t>
      </w:r>
    </w:p>
    <w:p>
      <w:pPr>
        <w:pStyle w:val="87"/>
        <w:ind w:firstLine="480"/>
        <w:rPr>
          <w:rFonts w:cs="Times New Roman"/>
          <w:bCs/>
        </w:rPr>
      </w:pPr>
      <w:r>
        <w:rPr>
          <w:rFonts w:cs="Times New Roman"/>
          <w:bCs/>
        </w:rPr>
        <w:t>式中：P</w:t>
      </w:r>
      <w:r>
        <w:rPr>
          <w:rFonts w:cs="Times New Roman"/>
          <w:bCs/>
          <w:vertAlign w:val="subscript"/>
        </w:rPr>
        <w:t>i</w:t>
      </w:r>
      <w:r>
        <w:rPr>
          <w:rFonts w:cs="Times New Roman"/>
          <w:bCs/>
        </w:rPr>
        <w:t>——污染物i的单项质量指数；</w:t>
      </w:r>
    </w:p>
    <w:p>
      <w:pPr>
        <w:pStyle w:val="87"/>
        <w:ind w:firstLine="1200" w:firstLineChars="500"/>
        <w:rPr>
          <w:rFonts w:cs="Times New Roman"/>
          <w:bCs/>
        </w:rPr>
      </w:pPr>
      <w:r>
        <w:rPr>
          <w:rFonts w:cs="Times New Roman"/>
          <w:bCs/>
        </w:rPr>
        <w:t>C</w:t>
      </w:r>
      <w:r>
        <w:rPr>
          <w:rFonts w:cs="Times New Roman"/>
          <w:bCs/>
          <w:vertAlign w:val="subscript"/>
        </w:rPr>
        <w:t>i</w:t>
      </w:r>
      <w:r>
        <w:rPr>
          <w:rFonts w:cs="Times New Roman"/>
          <w:bCs/>
        </w:rPr>
        <w:t>——污染物i的实测浓度平均值，mg/m</w:t>
      </w:r>
      <w:r>
        <w:rPr>
          <w:rFonts w:cs="Times New Roman"/>
          <w:bCs/>
          <w:vertAlign w:val="superscript"/>
        </w:rPr>
        <w:t>3</w:t>
      </w:r>
      <w:r>
        <w:rPr>
          <w:rFonts w:cs="Times New Roman"/>
          <w:bCs/>
        </w:rPr>
        <w:t>；</w:t>
      </w:r>
    </w:p>
    <w:p>
      <w:pPr>
        <w:pStyle w:val="87"/>
        <w:ind w:firstLine="1200" w:firstLineChars="500"/>
        <w:rPr>
          <w:rFonts w:cs="Times New Roman"/>
          <w:bCs/>
        </w:rPr>
      </w:pPr>
      <w:r>
        <w:rPr>
          <w:rFonts w:cs="Times New Roman"/>
          <w:bCs/>
        </w:rPr>
        <w:t>S</w:t>
      </w:r>
      <w:r>
        <w:rPr>
          <w:rFonts w:cs="Times New Roman"/>
          <w:bCs/>
          <w:vertAlign w:val="subscript"/>
        </w:rPr>
        <w:t>i</w:t>
      </w:r>
      <w:r>
        <w:rPr>
          <w:rFonts w:cs="Times New Roman"/>
          <w:bCs/>
        </w:rPr>
        <w:t>——污染物i的浓度标准值，mg/m</w:t>
      </w:r>
      <w:r>
        <w:rPr>
          <w:rFonts w:cs="Times New Roman"/>
          <w:bCs/>
          <w:vertAlign w:val="superscript"/>
        </w:rPr>
        <w:t>3</w:t>
      </w:r>
      <w:r>
        <w:rPr>
          <w:rFonts w:cs="Times New Roman"/>
          <w:bCs/>
        </w:rPr>
        <w:t>。</w:t>
      </w:r>
    </w:p>
    <w:p>
      <w:pPr>
        <w:pStyle w:val="87"/>
        <w:ind w:firstLine="480"/>
        <w:rPr>
          <w:rFonts w:cs="Times New Roman"/>
        </w:rPr>
      </w:pPr>
      <w:r>
        <w:rPr>
          <w:rFonts w:cs="Times New Roman"/>
        </w:rPr>
        <w:t>（5）监测结果及评价结果</w:t>
      </w:r>
    </w:p>
    <w:p>
      <w:pPr>
        <w:pStyle w:val="87"/>
        <w:ind w:firstLine="480"/>
        <w:rPr>
          <w:rFonts w:cs="Times New Roman"/>
        </w:rPr>
      </w:pPr>
      <w:r>
        <w:rPr>
          <w:rFonts w:cs="Times New Roman"/>
        </w:rPr>
        <w:t>监测结果见</w:t>
      </w:r>
      <w:r>
        <w:rPr>
          <w:rFonts w:hint="eastAsia" w:cs="Times New Roman"/>
        </w:rPr>
        <w:t>表4.4-4。</w:t>
      </w:r>
    </w:p>
    <w:p>
      <w:pPr>
        <w:pStyle w:val="93"/>
        <w:rPr>
          <w:rFonts w:hAnsi="Times New Roman"/>
        </w:rPr>
      </w:pPr>
      <w:bookmarkStart w:id="99" w:name="_Ref26430909"/>
      <w:r>
        <w:rPr>
          <w:rFonts w:hAnsi="Times New Roman"/>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4.4</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4</w:t>
      </w:r>
      <w:r>
        <w:rPr>
          <w:rFonts w:hAnsi="Times New Roman"/>
        </w:rPr>
        <w:fldChar w:fldCharType="end"/>
      </w:r>
      <w:bookmarkEnd w:id="99"/>
      <w:r>
        <w:rPr>
          <w:rFonts w:hAnsi="Times New Roman"/>
        </w:rPr>
        <w:t xml:space="preserve">  项目</w:t>
      </w:r>
      <w:r>
        <w:rPr>
          <w:rFonts w:hint="eastAsia" w:hAnsi="Times New Roman"/>
        </w:rPr>
        <w:t>特征</w:t>
      </w:r>
      <w:r>
        <w:rPr>
          <w:rFonts w:hAnsi="Times New Roman"/>
        </w:rPr>
        <w:t>污染物监测结果统计表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266"/>
        <w:gridCol w:w="1407"/>
        <w:gridCol w:w="985"/>
        <w:gridCol w:w="1264"/>
        <w:gridCol w:w="1546"/>
        <w:gridCol w:w="1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118" w:type="dxa"/>
            <w:vAlign w:val="center"/>
          </w:tcPr>
          <w:p>
            <w:pPr>
              <w:pStyle w:val="97"/>
            </w:pPr>
            <w:r>
              <w:t>监测点位</w:t>
            </w:r>
          </w:p>
        </w:tc>
        <w:tc>
          <w:tcPr>
            <w:tcW w:w="1266" w:type="dxa"/>
            <w:vAlign w:val="center"/>
          </w:tcPr>
          <w:p>
            <w:pPr>
              <w:pStyle w:val="97"/>
            </w:pPr>
            <w:r>
              <w:t>监测项目</w:t>
            </w:r>
          </w:p>
        </w:tc>
        <w:tc>
          <w:tcPr>
            <w:tcW w:w="1407" w:type="dxa"/>
            <w:vAlign w:val="center"/>
          </w:tcPr>
          <w:p>
            <w:pPr>
              <w:pStyle w:val="97"/>
            </w:pPr>
            <w:r>
              <w:t>浓度范围</w:t>
            </w:r>
          </w:p>
          <w:p>
            <w:pPr>
              <w:pStyle w:val="97"/>
            </w:pPr>
            <w:r>
              <w:t>（mg/m</w:t>
            </w:r>
            <w:r>
              <w:rPr>
                <w:vertAlign w:val="superscript"/>
              </w:rPr>
              <w:t>3</w:t>
            </w:r>
            <w:r>
              <w:t>）</w:t>
            </w:r>
          </w:p>
        </w:tc>
        <w:tc>
          <w:tcPr>
            <w:tcW w:w="985" w:type="dxa"/>
            <w:vAlign w:val="center"/>
          </w:tcPr>
          <w:p>
            <w:pPr>
              <w:pStyle w:val="97"/>
            </w:pPr>
            <w:r>
              <w:t>超标率（%）</w:t>
            </w:r>
          </w:p>
        </w:tc>
        <w:tc>
          <w:tcPr>
            <w:tcW w:w="1264" w:type="dxa"/>
            <w:vAlign w:val="center"/>
          </w:tcPr>
          <w:p>
            <w:pPr>
              <w:pStyle w:val="97"/>
            </w:pPr>
            <w:r>
              <w:t>最大</w:t>
            </w:r>
          </w:p>
          <w:p>
            <w:pPr>
              <w:pStyle w:val="97"/>
            </w:pPr>
            <w:r>
              <w:t>超标倍数</w:t>
            </w:r>
          </w:p>
        </w:tc>
        <w:tc>
          <w:tcPr>
            <w:tcW w:w="1546" w:type="dxa"/>
            <w:vAlign w:val="center"/>
          </w:tcPr>
          <w:p>
            <w:pPr>
              <w:pStyle w:val="97"/>
            </w:pPr>
            <w:r>
              <w:t>标准指数</w:t>
            </w:r>
          </w:p>
          <w:p>
            <w:pPr>
              <w:pStyle w:val="97"/>
            </w:pPr>
            <w:r>
              <w:t>Pi</w:t>
            </w:r>
          </w:p>
        </w:tc>
        <w:tc>
          <w:tcPr>
            <w:tcW w:w="1454" w:type="dxa"/>
            <w:vAlign w:val="center"/>
          </w:tcPr>
          <w:p>
            <w:pPr>
              <w:pStyle w:val="97"/>
            </w:pPr>
            <w:r>
              <w:t>评价标准（mg/m</w:t>
            </w:r>
            <w:r>
              <w:rPr>
                <w:vertAlign w:val="superscript"/>
              </w:rPr>
              <w:t>3</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8" w:type="dxa"/>
            <w:vMerge w:val="restart"/>
            <w:vAlign w:val="center"/>
          </w:tcPr>
          <w:p>
            <w:pPr>
              <w:pStyle w:val="97"/>
            </w:pPr>
            <w:r>
              <w:rPr>
                <w:rFonts w:hint="eastAsia"/>
              </w:rPr>
              <w:t>项目</w:t>
            </w:r>
            <w:r>
              <w:t>所在地</w:t>
            </w:r>
          </w:p>
        </w:tc>
        <w:tc>
          <w:tcPr>
            <w:tcW w:w="1266" w:type="dxa"/>
            <w:vAlign w:val="center"/>
          </w:tcPr>
          <w:p>
            <w:pPr>
              <w:pStyle w:val="97"/>
            </w:pPr>
            <w:r>
              <w:rPr>
                <w:rFonts w:hint="eastAsia"/>
              </w:rPr>
              <w:t>非甲烷</w:t>
            </w:r>
            <w:r>
              <w:t>总烃</w:t>
            </w:r>
          </w:p>
        </w:tc>
        <w:tc>
          <w:tcPr>
            <w:tcW w:w="1407" w:type="dxa"/>
            <w:vAlign w:val="center"/>
          </w:tcPr>
          <w:p>
            <w:pPr>
              <w:pStyle w:val="97"/>
            </w:pPr>
            <w:r>
              <w:rPr>
                <w:rFonts w:hint="eastAsia"/>
              </w:rPr>
              <w:t>0.31</w:t>
            </w:r>
            <w:r>
              <w:t>~0.41</w:t>
            </w:r>
          </w:p>
        </w:tc>
        <w:tc>
          <w:tcPr>
            <w:tcW w:w="985" w:type="dxa"/>
            <w:vAlign w:val="center"/>
          </w:tcPr>
          <w:p>
            <w:pPr>
              <w:pStyle w:val="97"/>
            </w:pPr>
            <w:r>
              <w:rPr>
                <w:rFonts w:hint="eastAsia"/>
              </w:rPr>
              <w:t>0</w:t>
            </w:r>
          </w:p>
        </w:tc>
        <w:tc>
          <w:tcPr>
            <w:tcW w:w="1264" w:type="dxa"/>
            <w:vAlign w:val="center"/>
          </w:tcPr>
          <w:p>
            <w:pPr>
              <w:pStyle w:val="97"/>
            </w:pPr>
            <w:r>
              <w:rPr>
                <w:rFonts w:hint="eastAsia"/>
              </w:rPr>
              <w:t>0</w:t>
            </w:r>
          </w:p>
        </w:tc>
        <w:tc>
          <w:tcPr>
            <w:tcW w:w="1546" w:type="dxa"/>
            <w:vAlign w:val="center"/>
          </w:tcPr>
          <w:p>
            <w:pPr>
              <w:pStyle w:val="97"/>
            </w:pPr>
            <w:r>
              <w:rPr>
                <w:rFonts w:hint="eastAsia"/>
              </w:rPr>
              <w:t>0.</w:t>
            </w:r>
            <w:r>
              <w:t>155~0.205</w:t>
            </w:r>
          </w:p>
        </w:tc>
        <w:tc>
          <w:tcPr>
            <w:tcW w:w="1454" w:type="dxa"/>
            <w:vAlign w:val="center"/>
          </w:tcPr>
          <w:p>
            <w:pPr>
              <w:pStyle w:val="97"/>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8" w:type="dxa"/>
            <w:vMerge w:val="continue"/>
            <w:vAlign w:val="center"/>
          </w:tcPr>
          <w:p>
            <w:pPr>
              <w:pStyle w:val="97"/>
            </w:pPr>
          </w:p>
        </w:tc>
        <w:tc>
          <w:tcPr>
            <w:tcW w:w="1266" w:type="dxa"/>
            <w:vAlign w:val="center"/>
          </w:tcPr>
          <w:p>
            <w:pPr>
              <w:pStyle w:val="97"/>
            </w:pPr>
            <w:r>
              <w:rPr>
                <w:rFonts w:hint="eastAsia"/>
              </w:rPr>
              <w:t>氮氧化物</w:t>
            </w:r>
          </w:p>
        </w:tc>
        <w:tc>
          <w:tcPr>
            <w:tcW w:w="1407" w:type="dxa"/>
            <w:vAlign w:val="center"/>
          </w:tcPr>
          <w:p>
            <w:pPr>
              <w:pStyle w:val="97"/>
            </w:pPr>
            <w:r>
              <w:rPr>
                <w:rFonts w:hint="eastAsia"/>
              </w:rPr>
              <w:t>0.012</w:t>
            </w:r>
            <w:r>
              <w:t>~0.022</w:t>
            </w:r>
          </w:p>
        </w:tc>
        <w:tc>
          <w:tcPr>
            <w:tcW w:w="985" w:type="dxa"/>
            <w:vAlign w:val="center"/>
          </w:tcPr>
          <w:p>
            <w:pPr>
              <w:pStyle w:val="97"/>
            </w:pPr>
            <w:r>
              <w:rPr>
                <w:rFonts w:hint="eastAsia"/>
              </w:rPr>
              <w:t>0</w:t>
            </w:r>
          </w:p>
        </w:tc>
        <w:tc>
          <w:tcPr>
            <w:tcW w:w="1264" w:type="dxa"/>
            <w:vAlign w:val="center"/>
          </w:tcPr>
          <w:p>
            <w:pPr>
              <w:pStyle w:val="97"/>
            </w:pPr>
            <w:r>
              <w:rPr>
                <w:rFonts w:hint="eastAsia"/>
              </w:rPr>
              <w:t>0</w:t>
            </w:r>
          </w:p>
        </w:tc>
        <w:tc>
          <w:tcPr>
            <w:tcW w:w="1546" w:type="dxa"/>
            <w:vAlign w:val="center"/>
          </w:tcPr>
          <w:p>
            <w:pPr>
              <w:pStyle w:val="97"/>
            </w:pPr>
            <w:r>
              <w:t>0.12~0.22</w:t>
            </w:r>
          </w:p>
        </w:tc>
        <w:tc>
          <w:tcPr>
            <w:tcW w:w="1454" w:type="dxa"/>
            <w:vAlign w:val="center"/>
          </w:tcPr>
          <w:p>
            <w:pPr>
              <w:pStyle w:val="97"/>
            </w:pPr>
            <w:r>
              <w:rPr>
                <w:rFonts w:hint="eastAsia"/>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8" w:type="dxa"/>
            <w:vMerge w:val="continue"/>
            <w:vAlign w:val="center"/>
          </w:tcPr>
          <w:p>
            <w:pPr>
              <w:pStyle w:val="97"/>
            </w:pPr>
          </w:p>
        </w:tc>
        <w:tc>
          <w:tcPr>
            <w:tcW w:w="1266" w:type="dxa"/>
            <w:vAlign w:val="center"/>
          </w:tcPr>
          <w:p>
            <w:pPr>
              <w:pStyle w:val="97"/>
            </w:pPr>
            <w:r>
              <w:rPr>
                <w:rFonts w:hint="eastAsia"/>
              </w:rPr>
              <w:t>硫酸雾</w:t>
            </w:r>
          </w:p>
        </w:tc>
        <w:tc>
          <w:tcPr>
            <w:tcW w:w="1407" w:type="dxa"/>
            <w:vAlign w:val="center"/>
          </w:tcPr>
          <w:p>
            <w:pPr>
              <w:pStyle w:val="97"/>
            </w:pPr>
            <w:r>
              <w:rPr>
                <w:rFonts w:hint="eastAsia"/>
              </w:rPr>
              <w:t>0.005</w:t>
            </w:r>
            <w:r>
              <w:t>ND</w:t>
            </w:r>
          </w:p>
        </w:tc>
        <w:tc>
          <w:tcPr>
            <w:tcW w:w="985" w:type="dxa"/>
            <w:vAlign w:val="center"/>
          </w:tcPr>
          <w:p>
            <w:pPr>
              <w:pStyle w:val="97"/>
            </w:pPr>
            <w:r>
              <w:rPr>
                <w:rFonts w:hint="eastAsia"/>
              </w:rPr>
              <w:t>0</w:t>
            </w:r>
          </w:p>
        </w:tc>
        <w:tc>
          <w:tcPr>
            <w:tcW w:w="1264" w:type="dxa"/>
          </w:tcPr>
          <w:p>
            <w:pPr>
              <w:pStyle w:val="97"/>
            </w:pPr>
            <w:r>
              <w:rPr>
                <w:rFonts w:hint="eastAsia"/>
              </w:rPr>
              <w:t>0</w:t>
            </w:r>
          </w:p>
        </w:tc>
        <w:tc>
          <w:tcPr>
            <w:tcW w:w="1546" w:type="dxa"/>
            <w:vAlign w:val="center"/>
          </w:tcPr>
          <w:p>
            <w:pPr>
              <w:pStyle w:val="97"/>
            </w:pPr>
            <w:r>
              <w:rPr>
                <w:rFonts w:hint="eastAsia"/>
              </w:rPr>
              <w:t>/</w:t>
            </w:r>
          </w:p>
        </w:tc>
        <w:tc>
          <w:tcPr>
            <w:tcW w:w="1454" w:type="dxa"/>
            <w:vAlign w:val="center"/>
          </w:tcPr>
          <w:p>
            <w:pPr>
              <w:pStyle w:val="97"/>
            </w:pPr>
            <w: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18" w:type="dxa"/>
            <w:vMerge w:val="continue"/>
            <w:vAlign w:val="center"/>
          </w:tcPr>
          <w:p>
            <w:pPr>
              <w:pStyle w:val="97"/>
            </w:pPr>
          </w:p>
        </w:tc>
        <w:tc>
          <w:tcPr>
            <w:tcW w:w="1266" w:type="dxa"/>
            <w:vAlign w:val="center"/>
          </w:tcPr>
          <w:p>
            <w:pPr>
              <w:pStyle w:val="97"/>
            </w:pPr>
            <w:r>
              <w:rPr>
                <w:rFonts w:hint="eastAsia"/>
              </w:rPr>
              <w:t>甲醇</w:t>
            </w:r>
          </w:p>
        </w:tc>
        <w:tc>
          <w:tcPr>
            <w:tcW w:w="1407" w:type="dxa"/>
            <w:vAlign w:val="center"/>
          </w:tcPr>
          <w:p>
            <w:pPr>
              <w:pStyle w:val="97"/>
            </w:pPr>
            <w:r>
              <w:rPr>
                <w:rFonts w:hint="eastAsia"/>
              </w:rPr>
              <w:t>0.3</w:t>
            </w:r>
            <w:r>
              <w:t>ND</w:t>
            </w:r>
          </w:p>
        </w:tc>
        <w:tc>
          <w:tcPr>
            <w:tcW w:w="985" w:type="dxa"/>
            <w:vAlign w:val="center"/>
          </w:tcPr>
          <w:p>
            <w:pPr>
              <w:pStyle w:val="97"/>
            </w:pPr>
            <w:r>
              <w:rPr>
                <w:rFonts w:hint="eastAsia"/>
              </w:rPr>
              <w:t>0</w:t>
            </w:r>
          </w:p>
        </w:tc>
        <w:tc>
          <w:tcPr>
            <w:tcW w:w="1264" w:type="dxa"/>
          </w:tcPr>
          <w:p>
            <w:pPr>
              <w:pStyle w:val="97"/>
            </w:pPr>
            <w:r>
              <w:rPr>
                <w:rFonts w:hint="eastAsia"/>
              </w:rPr>
              <w:t>0</w:t>
            </w:r>
          </w:p>
        </w:tc>
        <w:tc>
          <w:tcPr>
            <w:tcW w:w="1546" w:type="dxa"/>
            <w:vAlign w:val="center"/>
          </w:tcPr>
          <w:p>
            <w:pPr>
              <w:pStyle w:val="97"/>
            </w:pPr>
            <w:r>
              <w:rPr>
                <w:rFonts w:hint="eastAsia"/>
              </w:rPr>
              <w:t>/</w:t>
            </w:r>
          </w:p>
        </w:tc>
        <w:tc>
          <w:tcPr>
            <w:tcW w:w="1454" w:type="dxa"/>
            <w:vAlign w:val="center"/>
          </w:tcPr>
          <w:p>
            <w:pPr>
              <w:pStyle w:val="97"/>
            </w:pPr>
            <w:r>
              <w:rPr>
                <w:rFonts w:hint="eastAsia"/>
              </w:rPr>
              <w:t>3</w:t>
            </w:r>
          </w:p>
        </w:tc>
      </w:tr>
    </w:tbl>
    <w:p>
      <w:pPr>
        <w:pStyle w:val="87"/>
        <w:ind w:firstLine="480"/>
        <w:rPr>
          <w:rFonts w:cs="Times New Roman"/>
        </w:rPr>
      </w:pPr>
      <w:r>
        <w:rPr>
          <w:rFonts w:cs="Times New Roman"/>
        </w:rPr>
        <w:t>由监测统计结果可以看出，监测点位</w:t>
      </w:r>
      <w:r>
        <w:rPr>
          <w:rFonts w:hint="eastAsia" w:cs="Times New Roman"/>
        </w:rPr>
        <w:t>非甲烷</w:t>
      </w:r>
      <w:r>
        <w:rPr>
          <w:rFonts w:cs="Times New Roman"/>
        </w:rPr>
        <w:t>总烃</w:t>
      </w:r>
      <w:r>
        <w:rPr>
          <w:rFonts w:hint="eastAsia" w:cs="Times New Roman"/>
        </w:rPr>
        <w:t>满足《大气污染物综合排放标准详解》推荐标准，</w:t>
      </w:r>
      <w:r>
        <w:rPr>
          <w:rFonts w:cs="Times New Roman"/>
        </w:rPr>
        <w:t>氮氧化物满足</w:t>
      </w:r>
      <w:r>
        <w:rPr>
          <w:rFonts w:hint="eastAsia" w:cs="Times New Roman"/>
        </w:rPr>
        <w:t>《环境空气质量标准》（GB3095-2012）及其修改单中二级标准，硫酸雾、</w:t>
      </w:r>
      <w:r>
        <w:rPr>
          <w:rFonts w:cs="Times New Roman"/>
        </w:rPr>
        <w:t>甲醇满足《环境影响评价技术导则 大气环境》（HJ2.2-2018）表D.1中其他污染物空气质量浓度参考限值。项目建址地周边特征污染物环境背景值现状质量良好。</w:t>
      </w:r>
    </w:p>
    <w:p>
      <w:pPr>
        <w:pStyle w:val="4"/>
      </w:pPr>
      <w:bookmarkStart w:id="100" w:name="_Toc488102168"/>
      <w:r>
        <w:rPr>
          <w:rFonts w:hint="eastAsia"/>
        </w:rPr>
        <w:t>地下水环境质量现状调查与评价</w:t>
      </w:r>
      <w:bookmarkEnd w:id="100"/>
    </w:p>
    <w:p>
      <w:pPr>
        <w:pStyle w:val="5"/>
      </w:pPr>
      <w:r>
        <w:t>监测点位</w:t>
      </w:r>
    </w:p>
    <w:p>
      <w:pPr>
        <w:ind w:firstLine="480"/>
      </w:pPr>
      <w:r>
        <w:rPr>
          <w:rFonts w:hint="eastAsia"/>
        </w:rPr>
        <w:t>根据项目</w:t>
      </w:r>
      <w:r>
        <w:t>特点，项目周围</w:t>
      </w:r>
      <w:r>
        <w:rPr>
          <w:rFonts w:hint="eastAsia"/>
        </w:rPr>
        <w:t>无</w:t>
      </w:r>
      <w:r>
        <w:t>地下水饮用水水井，</w:t>
      </w:r>
      <w:r>
        <w:rPr>
          <w:rFonts w:hint="eastAsia"/>
        </w:rPr>
        <w:t>周围</w:t>
      </w:r>
      <w:r>
        <w:t>居民用水为市政供水或山泉水井。</w:t>
      </w:r>
      <w:r>
        <w:rPr>
          <w:rFonts w:hint="eastAsia"/>
        </w:rPr>
        <w:t>调查走访周边仅</w:t>
      </w:r>
      <w:r>
        <w:t>有三口</w:t>
      </w:r>
      <w:r>
        <w:rPr>
          <w:rFonts w:hint="eastAsia"/>
        </w:rPr>
        <w:t>山泉水</w:t>
      </w:r>
      <w:r>
        <w:t>井，本次监测对山泉水井进行了监测，</w:t>
      </w:r>
      <w:r>
        <w:rPr>
          <w:rFonts w:hint="eastAsia"/>
        </w:rPr>
        <w:t>监测</w:t>
      </w:r>
      <w:r>
        <w:t>点位见</w:t>
      </w:r>
      <w:r>
        <w:rPr>
          <w:rFonts w:hint="eastAsia"/>
        </w:rPr>
        <w:t>表4.4-5。</w:t>
      </w:r>
    </w:p>
    <w:p>
      <w:pPr>
        <w:spacing w:line="240" w:lineRule="auto"/>
        <w:ind w:firstLine="0" w:firstLineChars="0"/>
        <w:jc w:val="center"/>
        <w:rPr>
          <w:b/>
          <w:sz w:val="21"/>
          <w:szCs w:val="20"/>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4.4</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5</w:t>
      </w:r>
      <w:r>
        <w:rPr>
          <w:b/>
          <w:sz w:val="21"/>
          <w:szCs w:val="24"/>
        </w:rPr>
        <w:fldChar w:fldCharType="end"/>
      </w:r>
      <w:r>
        <w:rPr>
          <w:b/>
          <w:sz w:val="21"/>
          <w:szCs w:val="24"/>
        </w:rPr>
        <w:t xml:space="preserve">  项目地下水监测布点</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2321"/>
        <w:gridCol w:w="2038"/>
        <w:gridCol w:w="3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编号</w:t>
            </w:r>
          </w:p>
        </w:tc>
        <w:tc>
          <w:tcPr>
            <w:tcW w:w="2321"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监测</w:t>
            </w:r>
            <w:r>
              <w:rPr>
                <w:rFonts w:hAnsi="宋体"/>
                <w:kern w:val="0"/>
                <w:sz w:val="21"/>
                <w:szCs w:val="20"/>
              </w:rPr>
              <w:t>点位</w:t>
            </w:r>
          </w:p>
        </w:tc>
        <w:tc>
          <w:tcPr>
            <w:tcW w:w="203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监测内容</w:t>
            </w:r>
          </w:p>
        </w:tc>
        <w:tc>
          <w:tcPr>
            <w:tcW w:w="314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w:t>
            </w:r>
          </w:p>
        </w:tc>
        <w:tc>
          <w:tcPr>
            <w:tcW w:w="2321" w:type="dxa"/>
            <w:shd w:val="clear" w:color="auto" w:fill="auto"/>
            <w:vAlign w:val="center"/>
          </w:tcPr>
          <w:p>
            <w:pPr>
              <w:tabs>
                <w:tab w:val="left" w:pos="2340"/>
              </w:tabs>
              <w:adjustRightInd/>
              <w:spacing w:line="240" w:lineRule="auto"/>
              <w:ind w:firstLine="0" w:firstLineChars="0"/>
              <w:jc w:val="center"/>
              <w:rPr>
                <w:kern w:val="0"/>
                <w:sz w:val="21"/>
                <w:szCs w:val="20"/>
              </w:rPr>
            </w:pPr>
            <w:r>
              <w:rPr>
                <w:kern w:val="0"/>
                <w:sz w:val="21"/>
                <w:szCs w:val="20"/>
              </w:rPr>
              <w:t>E</w:t>
            </w:r>
            <w:r>
              <w:t xml:space="preserve"> </w:t>
            </w:r>
            <w:r>
              <w:rPr>
                <w:kern w:val="0"/>
                <w:sz w:val="21"/>
                <w:szCs w:val="20"/>
              </w:rPr>
              <w:t>109°22'20.62"</w:t>
            </w:r>
          </w:p>
          <w:p>
            <w:pPr>
              <w:tabs>
                <w:tab w:val="left" w:pos="2340"/>
              </w:tabs>
              <w:adjustRightInd/>
              <w:spacing w:line="240" w:lineRule="auto"/>
              <w:ind w:firstLine="0" w:firstLineChars="0"/>
              <w:jc w:val="center"/>
              <w:rPr>
                <w:kern w:val="0"/>
                <w:sz w:val="21"/>
                <w:szCs w:val="20"/>
              </w:rPr>
            </w:pPr>
            <w:r>
              <w:rPr>
                <w:kern w:val="0"/>
                <w:sz w:val="21"/>
                <w:szCs w:val="20"/>
              </w:rPr>
              <w:t>N 32°45'47.02"；</w:t>
            </w:r>
          </w:p>
        </w:tc>
        <w:tc>
          <w:tcPr>
            <w:tcW w:w="203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水质</w:t>
            </w:r>
          </w:p>
        </w:tc>
        <w:tc>
          <w:tcPr>
            <w:tcW w:w="3148" w:type="dxa"/>
            <w:shd w:val="clear" w:color="auto" w:fill="auto"/>
            <w:vAlign w:val="center"/>
          </w:tcPr>
          <w:p>
            <w:pPr>
              <w:tabs>
                <w:tab w:val="left" w:pos="2340"/>
              </w:tabs>
              <w:adjustRightInd/>
              <w:spacing w:line="240" w:lineRule="auto"/>
              <w:ind w:firstLine="0" w:firstLineChars="0"/>
              <w:jc w:val="center"/>
              <w:rPr>
                <w:kern w:val="0"/>
                <w:sz w:val="21"/>
                <w:szCs w:val="20"/>
              </w:rPr>
            </w:pPr>
            <w:r>
              <w:rPr>
                <w:rFonts w:hint="eastAsia"/>
                <w:kern w:val="0"/>
                <w:sz w:val="21"/>
                <w:szCs w:val="20"/>
              </w:rPr>
              <w:t>海拔262</w:t>
            </w:r>
            <w:r>
              <w:rPr>
                <w:kern w:val="0"/>
                <w:sz w:val="21"/>
                <w:szCs w:val="20"/>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2</w:t>
            </w:r>
            <w:r>
              <w:rPr>
                <w:rFonts w:hAnsi="宋体"/>
                <w:kern w:val="0"/>
                <w:sz w:val="21"/>
                <w:szCs w:val="20"/>
              </w:rPr>
              <w:t>#</w:t>
            </w:r>
          </w:p>
        </w:tc>
        <w:tc>
          <w:tcPr>
            <w:tcW w:w="2321" w:type="dxa"/>
            <w:shd w:val="clear" w:color="auto" w:fill="auto"/>
            <w:vAlign w:val="center"/>
          </w:tcPr>
          <w:p>
            <w:pPr>
              <w:tabs>
                <w:tab w:val="left" w:pos="2340"/>
              </w:tabs>
              <w:adjustRightInd/>
              <w:spacing w:line="240" w:lineRule="auto"/>
              <w:ind w:firstLine="0" w:firstLineChars="0"/>
              <w:jc w:val="center"/>
              <w:rPr>
                <w:kern w:val="0"/>
                <w:sz w:val="21"/>
                <w:szCs w:val="20"/>
              </w:rPr>
            </w:pPr>
            <w:r>
              <w:rPr>
                <w:kern w:val="0"/>
                <w:sz w:val="21"/>
                <w:szCs w:val="20"/>
              </w:rPr>
              <w:t>E</w:t>
            </w:r>
            <w:r>
              <w:t xml:space="preserve"> </w:t>
            </w:r>
            <w:r>
              <w:rPr>
                <w:kern w:val="0"/>
                <w:sz w:val="21"/>
                <w:szCs w:val="20"/>
              </w:rPr>
              <w:t>109°22'48.66"</w:t>
            </w:r>
          </w:p>
          <w:p>
            <w:pPr>
              <w:tabs>
                <w:tab w:val="left" w:pos="2340"/>
              </w:tabs>
              <w:adjustRightInd/>
              <w:spacing w:line="240" w:lineRule="auto"/>
              <w:ind w:firstLine="0" w:firstLineChars="0"/>
              <w:jc w:val="center"/>
              <w:rPr>
                <w:rFonts w:hAnsi="宋体"/>
                <w:kern w:val="0"/>
                <w:sz w:val="21"/>
                <w:szCs w:val="20"/>
              </w:rPr>
            </w:pPr>
            <w:r>
              <w:rPr>
                <w:kern w:val="0"/>
                <w:sz w:val="21"/>
                <w:szCs w:val="20"/>
              </w:rPr>
              <w:t>N 32°45'50.61"；</w:t>
            </w:r>
          </w:p>
        </w:tc>
        <w:tc>
          <w:tcPr>
            <w:tcW w:w="203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水质</w:t>
            </w:r>
          </w:p>
        </w:tc>
        <w:tc>
          <w:tcPr>
            <w:tcW w:w="3148" w:type="dxa"/>
            <w:shd w:val="clear" w:color="auto" w:fill="auto"/>
            <w:vAlign w:val="center"/>
          </w:tcPr>
          <w:p>
            <w:pPr>
              <w:tabs>
                <w:tab w:val="left" w:pos="2340"/>
              </w:tabs>
              <w:adjustRightInd/>
              <w:spacing w:line="240" w:lineRule="auto"/>
              <w:ind w:firstLine="0" w:firstLineChars="0"/>
              <w:jc w:val="center"/>
              <w:rPr>
                <w:kern w:val="0"/>
                <w:sz w:val="21"/>
                <w:szCs w:val="20"/>
              </w:rPr>
            </w:pPr>
            <w:r>
              <w:rPr>
                <w:rFonts w:hint="eastAsia"/>
                <w:kern w:val="0"/>
                <w:sz w:val="21"/>
                <w:szCs w:val="20"/>
              </w:rPr>
              <w:t>海拔258</w:t>
            </w:r>
            <w:r>
              <w:rPr>
                <w:kern w:val="0"/>
                <w:sz w:val="21"/>
                <w:szCs w:val="20"/>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33"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3</w:t>
            </w:r>
            <w:r>
              <w:rPr>
                <w:rFonts w:hAnsi="宋体"/>
                <w:kern w:val="0"/>
                <w:sz w:val="21"/>
                <w:szCs w:val="20"/>
              </w:rPr>
              <w:t>#</w:t>
            </w:r>
          </w:p>
        </w:tc>
        <w:tc>
          <w:tcPr>
            <w:tcW w:w="2321" w:type="dxa"/>
            <w:shd w:val="clear" w:color="auto" w:fill="auto"/>
            <w:vAlign w:val="center"/>
          </w:tcPr>
          <w:p>
            <w:pPr>
              <w:tabs>
                <w:tab w:val="left" w:pos="2340"/>
              </w:tabs>
              <w:adjustRightInd/>
              <w:spacing w:line="240" w:lineRule="auto"/>
              <w:ind w:firstLine="0" w:firstLineChars="0"/>
              <w:jc w:val="center"/>
              <w:rPr>
                <w:kern w:val="0"/>
                <w:sz w:val="21"/>
                <w:szCs w:val="20"/>
              </w:rPr>
            </w:pPr>
            <w:r>
              <w:rPr>
                <w:kern w:val="0"/>
                <w:sz w:val="21"/>
                <w:szCs w:val="20"/>
              </w:rPr>
              <w:t>E</w:t>
            </w:r>
            <w:r>
              <w:t xml:space="preserve"> </w:t>
            </w:r>
            <w:r>
              <w:rPr>
                <w:kern w:val="0"/>
                <w:sz w:val="21"/>
                <w:szCs w:val="20"/>
              </w:rPr>
              <w:t>109°22'42.67"</w:t>
            </w:r>
          </w:p>
          <w:p>
            <w:pPr>
              <w:tabs>
                <w:tab w:val="left" w:pos="2340"/>
              </w:tabs>
              <w:adjustRightInd/>
              <w:spacing w:line="240" w:lineRule="auto"/>
              <w:ind w:firstLine="0" w:firstLineChars="0"/>
              <w:jc w:val="center"/>
              <w:rPr>
                <w:rFonts w:hAnsi="宋体"/>
                <w:kern w:val="0"/>
                <w:sz w:val="21"/>
                <w:szCs w:val="20"/>
              </w:rPr>
            </w:pPr>
            <w:r>
              <w:rPr>
                <w:kern w:val="0"/>
                <w:sz w:val="21"/>
                <w:szCs w:val="20"/>
              </w:rPr>
              <w:t>N 32°45'53.64"；</w:t>
            </w:r>
          </w:p>
        </w:tc>
        <w:tc>
          <w:tcPr>
            <w:tcW w:w="2038" w:type="dxa"/>
            <w:shd w:val="clear" w:color="auto" w:fill="auto"/>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水质</w:t>
            </w:r>
          </w:p>
        </w:tc>
        <w:tc>
          <w:tcPr>
            <w:tcW w:w="3148" w:type="dxa"/>
            <w:shd w:val="clear" w:color="auto" w:fill="auto"/>
            <w:vAlign w:val="center"/>
          </w:tcPr>
          <w:p>
            <w:pPr>
              <w:tabs>
                <w:tab w:val="left" w:pos="2340"/>
              </w:tabs>
              <w:adjustRightInd/>
              <w:spacing w:line="240" w:lineRule="auto"/>
              <w:ind w:firstLine="0" w:firstLineChars="0"/>
              <w:jc w:val="center"/>
              <w:rPr>
                <w:kern w:val="0"/>
                <w:sz w:val="21"/>
                <w:szCs w:val="20"/>
              </w:rPr>
            </w:pPr>
            <w:r>
              <w:rPr>
                <w:rFonts w:hint="eastAsia"/>
                <w:kern w:val="0"/>
                <w:sz w:val="21"/>
                <w:szCs w:val="20"/>
              </w:rPr>
              <w:t>海拔274</w:t>
            </w:r>
            <w:r>
              <w:rPr>
                <w:kern w:val="0"/>
                <w:sz w:val="21"/>
                <w:szCs w:val="20"/>
              </w:rPr>
              <w:t>m</w:t>
            </w:r>
          </w:p>
        </w:tc>
      </w:tr>
    </w:tbl>
    <w:p>
      <w:pPr>
        <w:pStyle w:val="5"/>
      </w:pPr>
      <w:r>
        <w:t>监测时间和频率</w:t>
      </w:r>
    </w:p>
    <w:p>
      <w:pPr>
        <w:ind w:firstLine="480"/>
      </w:pPr>
      <w:r>
        <w:t>监测时间为20120年5月2</w:t>
      </w:r>
      <w:r>
        <w:rPr>
          <w:rFonts w:hint="eastAsia"/>
        </w:rPr>
        <w:t>1</w:t>
      </w:r>
      <w:r>
        <w:t>，每天采样1次。</w:t>
      </w:r>
    </w:p>
    <w:p>
      <w:pPr>
        <w:pStyle w:val="5"/>
      </w:pPr>
      <w:r>
        <w:t>监测项目</w:t>
      </w:r>
    </w:p>
    <w:p>
      <w:pPr>
        <w:ind w:firstLine="496"/>
      </w:pPr>
      <w:r>
        <w:rPr>
          <w:spacing w:val="4"/>
        </w:rPr>
        <w:t>监测项目为</w:t>
      </w:r>
      <w:r>
        <w:t>pH值、氨氮、硝酸盐、亚硝酸盐、挥发性酚类、氰化物、砷、汞、铬（六价）、总硬度、铅、</w:t>
      </w:r>
      <w:r>
        <w:rPr>
          <w:rFonts w:hint="eastAsia"/>
        </w:rPr>
        <w:t>氟化物</w:t>
      </w:r>
      <w:r>
        <w:t>、镉、铁、锰、溶解性总固体、总大肠菌群</w:t>
      </w:r>
      <w:r>
        <w:rPr>
          <w:spacing w:val="4"/>
        </w:rPr>
        <w:t>，</w:t>
      </w:r>
      <w:r>
        <w:t>K</w:t>
      </w:r>
      <w:r>
        <w:rPr>
          <w:vertAlign w:val="superscript"/>
        </w:rPr>
        <w:t>+</w:t>
      </w:r>
      <w:r>
        <w:t>、Na</w:t>
      </w:r>
      <w:r>
        <w:rPr>
          <w:vertAlign w:val="superscript"/>
        </w:rPr>
        <w:t>+</w:t>
      </w:r>
      <w:r>
        <w:t>、Ca</w:t>
      </w:r>
      <w:r>
        <w:rPr>
          <w:vertAlign w:val="superscript"/>
        </w:rPr>
        <w:t>2+</w:t>
      </w:r>
      <w:r>
        <w:t>、Mg</w:t>
      </w:r>
      <w:r>
        <w:rPr>
          <w:vertAlign w:val="superscript"/>
        </w:rPr>
        <w:t>2+</w:t>
      </w:r>
      <w:r>
        <w:t>、CO</w:t>
      </w:r>
      <w:r>
        <w:rPr>
          <w:vertAlign w:val="subscript"/>
        </w:rPr>
        <w:t>3</w:t>
      </w:r>
      <w:r>
        <w:rPr>
          <w:vertAlign w:val="superscript"/>
        </w:rPr>
        <w:t>2-</w:t>
      </w:r>
      <w:r>
        <w:t>、HCO</w:t>
      </w:r>
      <w:r>
        <w:rPr>
          <w:vertAlign w:val="subscript"/>
        </w:rPr>
        <w:t>3</w:t>
      </w:r>
      <w:r>
        <w:rPr>
          <w:vertAlign w:val="superscript"/>
        </w:rPr>
        <w:t>-</w:t>
      </w:r>
      <w:r>
        <w:t>、Cl</w:t>
      </w:r>
      <w:r>
        <w:rPr>
          <w:vertAlign w:val="superscript"/>
        </w:rPr>
        <w:t>-</w:t>
      </w:r>
      <w:r>
        <w:t>、SO</w:t>
      </w:r>
      <w:r>
        <w:rPr>
          <w:vertAlign w:val="subscript"/>
        </w:rPr>
        <w:t>4</w:t>
      </w:r>
      <w:r>
        <w:rPr>
          <w:vertAlign w:val="superscript"/>
        </w:rPr>
        <w:t>2-</w:t>
      </w:r>
      <w:r>
        <w:t>的常规离子浓度</w:t>
      </w:r>
      <w:r>
        <w:rPr>
          <w:spacing w:val="4"/>
        </w:rPr>
        <w:t>。</w:t>
      </w:r>
    </w:p>
    <w:p>
      <w:pPr>
        <w:pStyle w:val="5"/>
      </w:pPr>
      <w:r>
        <w:rPr>
          <w:rFonts w:hint="eastAsia"/>
        </w:rPr>
        <w:t>采样</w:t>
      </w:r>
      <w:r>
        <w:t>及分析方法</w:t>
      </w:r>
    </w:p>
    <w:p>
      <w:pPr>
        <w:pStyle w:val="87"/>
        <w:ind w:firstLine="480"/>
        <w:rPr>
          <w:rFonts w:cs="Times New Roman"/>
        </w:rPr>
      </w:pPr>
      <w:r>
        <w:rPr>
          <w:rFonts w:cs="Times New Roman"/>
        </w:rPr>
        <w:t>按照《地下水环境监测技术规范》（HJ/T164-2004）有关规定进行，具体见</w:t>
      </w:r>
      <w:r>
        <w:rPr>
          <w:rFonts w:hint="eastAsia" w:cs="Times New Roman"/>
        </w:rPr>
        <w:t>表4.4-6。</w:t>
      </w:r>
    </w:p>
    <w:p>
      <w:pPr>
        <w:pStyle w:val="93"/>
        <w:rPr>
          <w:rFonts w:hAnsi="Times New Roman"/>
        </w:rPr>
      </w:pPr>
      <w:bookmarkStart w:id="101" w:name="_Ref26434721"/>
      <w:r>
        <w:rPr>
          <w:rFonts w:hAnsi="Times New Roman"/>
        </w:rPr>
        <w:br w:type="column"/>
      </w: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4.4</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6</w:t>
      </w:r>
      <w:r>
        <w:rPr>
          <w:rFonts w:hAnsi="Times New Roman"/>
        </w:rPr>
        <w:fldChar w:fldCharType="end"/>
      </w:r>
      <w:bookmarkEnd w:id="101"/>
      <w:r>
        <w:rPr>
          <w:rFonts w:hAnsi="Times New Roman"/>
        </w:rPr>
        <w:t xml:space="preserve">  地下水质分析方法</w:t>
      </w:r>
    </w:p>
    <w:tbl>
      <w:tblPr>
        <w:tblStyle w:val="35"/>
        <w:tblpPr w:leftFromText="180" w:rightFromText="180" w:vertAnchor="text" w:tblpY="1"/>
        <w:tblOverlap w:val="never"/>
        <w:tblW w:w="927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148"/>
        <w:gridCol w:w="3603"/>
        <w:gridCol w:w="2549"/>
        <w:gridCol w:w="1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721" w:type="dxa"/>
            <w:shd w:val="clear" w:color="auto" w:fill="auto"/>
            <w:vAlign w:val="center"/>
          </w:tcPr>
          <w:p>
            <w:pPr>
              <w:pStyle w:val="97"/>
              <w:snapToGrid w:val="0"/>
            </w:pPr>
            <w:r>
              <w:t>序号</w:t>
            </w:r>
          </w:p>
        </w:tc>
        <w:tc>
          <w:tcPr>
            <w:tcW w:w="1148" w:type="dxa"/>
            <w:shd w:val="clear" w:color="auto" w:fill="auto"/>
            <w:vAlign w:val="center"/>
          </w:tcPr>
          <w:p>
            <w:pPr>
              <w:pStyle w:val="97"/>
              <w:snapToGrid w:val="0"/>
            </w:pPr>
            <w:r>
              <w:t>参数</w:t>
            </w:r>
          </w:p>
        </w:tc>
        <w:tc>
          <w:tcPr>
            <w:tcW w:w="3603" w:type="dxa"/>
            <w:shd w:val="clear" w:color="auto" w:fill="auto"/>
            <w:vAlign w:val="center"/>
          </w:tcPr>
          <w:p>
            <w:pPr>
              <w:pStyle w:val="97"/>
              <w:snapToGrid w:val="0"/>
            </w:pPr>
            <w:r>
              <w:t>测定方法</w:t>
            </w:r>
            <w:r>
              <w:rPr>
                <w:rFonts w:hint="eastAsia"/>
              </w:rPr>
              <w:t>及</w:t>
            </w:r>
            <w:r>
              <w:t>来源</w:t>
            </w:r>
          </w:p>
        </w:tc>
        <w:tc>
          <w:tcPr>
            <w:tcW w:w="2549" w:type="dxa"/>
            <w:shd w:val="clear" w:color="auto" w:fill="auto"/>
            <w:vAlign w:val="center"/>
          </w:tcPr>
          <w:p>
            <w:pPr>
              <w:pStyle w:val="97"/>
              <w:snapToGrid w:val="0"/>
            </w:pPr>
            <w:r>
              <w:rPr>
                <w:rFonts w:hint="eastAsia"/>
              </w:rPr>
              <w:t>仪器名称/型号/管理</w:t>
            </w:r>
            <w:r>
              <w:t>编号</w:t>
            </w:r>
          </w:p>
        </w:tc>
        <w:tc>
          <w:tcPr>
            <w:tcW w:w="1256" w:type="dxa"/>
            <w:shd w:val="clear" w:color="auto" w:fill="auto"/>
            <w:vAlign w:val="center"/>
          </w:tcPr>
          <w:p>
            <w:pPr>
              <w:pStyle w:val="97"/>
              <w:snapToGrid w:val="0"/>
            </w:pPr>
            <w: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w:t>
            </w:r>
          </w:p>
        </w:tc>
        <w:tc>
          <w:tcPr>
            <w:tcW w:w="1148" w:type="dxa"/>
            <w:shd w:val="clear" w:color="auto" w:fill="auto"/>
            <w:vAlign w:val="center"/>
          </w:tcPr>
          <w:p>
            <w:pPr>
              <w:pStyle w:val="97"/>
              <w:snapToGrid w:val="0"/>
            </w:pPr>
            <w:r>
              <w:t>K</w:t>
            </w:r>
            <w:r>
              <w:rPr>
                <w:vertAlign w:val="superscript"/>
              </w:rPr>
              <w:t>+</w:t>
            </w:r>
          </w:p>
        </w:tc>
        <w:tc>
          <w:tcPr>
            <w:tcW w:w="3603" w:type="dxa"/>
            <w:vMerge w:val="restart"/>
            <w:shd w:val="clear" w:color="auto" w:fill="auto"/>
            <w:vAlign w:val="center"/>
          </w:tcPr>
          <w:p>
            <w:pPr>
              <w:pStyle w:val="97"/>
              <w:snapToGrid w:val="0"/>
            </w:pPr>
            <w:r>
              <w:rPr>
                <w:rFonts w:hint="eastAsia"/>
              </w:rPr>
              <w:t>水质钾和钠的测定</w:t>
            </w:r>
          </w:p>
          <w:p>
            <w:pPr>
              <w:pStyle w:val="97"/>
              <w:snapToGrid w:val="0"/>
            </w:pPr>
            <w:r>
              <w:t>火焰原子吸收分光光度法 GB/T 11904-1989</w:t>
            </w:r>
          </w:p>
        </w:tc>
        <w:tc>
          <w:tcPr>
            <w:tcW w:w="2549" w:type="dxa"/>
            <w:vMerge w:val="restart"/>
            <w:shd w:val="clear" w:color="auto" w:fill="auto"/>
            <w:vAlign w:val="center"/>
          </w:tcPr>
          <w:p>
            <w:pPr>
              <w:pStyle w:val="97"/>
              <w:snapToGrid w:val="0"/>
            </w:pPr>
            <w:r>
              <w:rPr>
                <w:rFonts w:hint="eastAsia"/>
              </w:rPr>
              <w:t>原子吸收分光光度计</w:t>
            </w:r>
          </w:p>
          <w:p>
            <w:pPr>
              <w:pStyle w:val="97"/>
            </w:pPr>
            <w:r>
              <w:t>SP-3500AA(4AT)</w:t>
            </w:r>
          </w:p>
          <w:p>
            <w:pPr>
              <w:pStyle w:val="97"/>
              <w:snapToGrid w:val="0"/>
            </w:pPr>
            <w:r>
              <w:t>ZXJC-YQ-083</w:t>
            </w:r>
          </w:p>
        </w:tc>
        <w:tc>
          <w:tcPr>
            <w:tcW w:w="1256" w:type="dxa"/>
            <w:shd w:val="clear" w:color="auto" w:fill="auto"/>
            <w:vAlign w:val="center"/>
          </w:tcPr>
          <w:p>
            <w:pPr>
              <w:pStyle w:val="97"/>
              <w:snapToGrid w:val="0"/>
            </w:pPr>
            <w:r>
              <w:t>0.05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w:t>
            </w:r>
          </w:p>
        </w:tc>
        <w:tc>
          <w:tcPr>
            <w:tcW w:w="1148" w:type="dxa"/>
            <w:shd w:val="clear" w:color="auto" w:fill="auto"/>
            <w:vAlign w:val="center"/>
          </w:tcPr>
          <w:p>
            <w:pPr>
              <w:pStyle w:val="97"/>
              <w:snapToGrid w:val="0"/>
            </w:pPr>
            <w:r>
              <w:t>Na</w:t>
            </w:r>
            <w:r>
              <w:rPr>
                <w:vertAlign w:val="superscript"/>
              </w:rPr>
              <w:t>+</w:t>
            </w:r>
          </w:p>
        </w:tc>
        <w:tc>
          <w:tcPr>
            <w:tcW w:w="3603" w:type="dxa"/>
            <w:vMerge w:val="continue"/>
            <w:shd w:val="clear" w:color="auto" w:fill="auto"/>
            <w:vAlign w:val="center"/>
          </w:tcPr>
          <w:p>
            <w:pPr>
              <w:pStyle w:val="97"/>
              <w:snapToGrid w:val="0"/>
            </w:pPr>
          </w:p>
        </w:tc>
        <w:tc>
          <w:tcPr>
            <w:tcW w:w="2549" w:type="dxa"/>
            <w:vMerge w:val="continue"/>
            <w:shd w:val="clear" w:color="auto" w:fill="auto"/>
            <w:vAlign w:val="center"/>
          </w:tcPr>
          <w:p>
            <w:pPr>
              <w:pStyle w:val="97"/>
              <w:snapToGrid w:val="0"/>
            </w:pPr>
          </w:p>
        </w:tc>
        <w:tc>
          <w:tcPr>
            <w:tcW w:w="1256" w:type="dxa"/>
            <w:shd w:val="clear" w:color="auto" w:fill="auto"/>
            <w:vAlign w:val="center"/>
          </w:tcPr>
          <w:p>
            <w:pPr>
              <w:pStyle w:val="97"/>
              <w:snapToGrid w:val="0"/>
            </w:pPr>
            <w:r>
              <w:t>0.01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3</w:t>
            </w:r>
          </w:p>
        </w:tc>
        <w:tc>
          <w:tcPr>
            <w:tcW w:w="1148" w:type="dxa"/>
            <w:shd w:val="clear" w:color="auto" w:fill="auto"/>
            <w:vAlign w:val="center"/>
          </w:tcPr>
          <w:p>
            <w:pPr>
              <w:pStyle w:val="97"/>
              <w:snapToGrid w:val="0"/>
            </w:pPr>
            <w:r>
              <w:t>Ca</w:t>
            </w:r>
            <w:r>
              <w:rPr>
                <w:vertAlign w:val="superscript"/>
              </w:rPr>
              <w:t>2+</w:t>
            </w:r>
          </w:p>
        </w:tc>
        <w:tc>
          <w:tcPr>
            <w:tcW w:w="3603" w:type="dxa"/>
            <w:vMerge w:val="restart"/>
            <w:shd w:val="clear" w:color="auto" w:fill="auto"/>
            <w:vAlign w:val="center"/>
          </w:tcPr>
          <w:p>
            <w:pPr>
              <w:pStyle w:val="97"/>
              <w:snapToGrid w:val="0"/>
            </w:pPr>
            <w:r>
              <w:rPr>
                <w:rFonts w:hint="eastAsia"/>
              </w:rPr>
              <w:t xml:space="preserve">水质钙和镁的测定 </w:t>
            </w:r>
            <w:r>
              <w:t>原子吸收分光光度法</w:t>
            </w:r>
            <w:r>
              <w:rPr>
                <w:rFonts w:hint="eastAsia"/>
              </w:rPr>
              <w:t xml:space="preserve">  </w:t>
            </w:r>
            <w:r>
              <w:t>GB/T 11905-1989</w:t>
            </w:r>
          </w:p>
        </w:tc>
        <w:tc>
          <w:tcPr>
            <w:tcW w:w="2549" w:type="dxa"/>
            <w:vMerge w:val="continue"/>
            <w:shd w:val="clear" w:color="auto" w:fill="auto"/>
            <w:vAlign w:val="center"/>
          </w:tcPr>
          <w:p>
            <w:pPr>
              <w:pStyle w:val="97"/>
              <w:snapToGrid w:val="0"/>
            </w:pPr>
          </w:p>
        </w:tc>
        <w:tc>
          <w:tcPr>
            <w:tcW w:w="1256" w:type="dxa"/>
            <w:shd w:val="clear" w:color="auto" w:fill="auto"/>
            <w:vAlign w:val="center"/>
          </w:tcPr>
          <w:p>
            <w:pPr>
              <w:pStyle w:val="97"/>
              <w:snapToGrid w:val="0"/>
            </w:pPr>
            <w:r>
              <w:t>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4</w:t>
            </w:r>
          </w:p>
        </w:tc>
        <w:tc>
          <w:tcPr>
            <w:tcW w:w="1148" w:type="dxa"/>
            <w:shd w:val="clear" w:color="auto" w:fill="auto"/>
            <w:vAlign w:val="center"/>
          </w:tcPr>
          <w:p>
            <w:pPr>
              <w:pStyle w:val="97"/>
              <w:snapToGrid w:val="0"/>
            </w:pPr>
            <w:r>
              <w:t>Mg</w:t>
            </w:r>
            <w:r>
              <w:rPr>
                <w:vertAlign w:val="superscript"/>
              </w:rPr>
              <w:t>2+</w:t>
            </w:r>
          </w:p>
        </w:tc>
        <w:tc>
          <w:tcPr>
            <w:tcW w:w="3603" w:type="dxa"/>
            <w:vMerge w:val="continue"/>
            <w:shd w:val="clear" w:color="auto" w:fill="auto"/>
            <w:vAlign w:val="center"/>
          </w:tcPr>
          <w:p>
            <w:pPr>
              <w:pStyle w:val="97"/>
              <w:snapToGrid w:val="0"/>
            </w:pPr>
          </w:p>
        </w:tc>
        <w:tc>
          <w:tcPr>
            <w:tcW w:w="2549" w:type="dxa"/>
            <w:vMerge w:val="continue"/>
            <w:shd w:val="clear" w:color="auto" w:fill="auto"/>
            <w:vAlign w:val="center"/>
          </w:tcPr>
          <w:p>
            <w:pPr>
              <w:pStyle w:val="97"/>
              <w:snapToGrid w:val="0"/>
            </w:pPr>
          </w:p>
        </w:tc>
        <w:tc>
          <w:tcPr>
            <w:tcW w:w="1256" w:type="dxa"/>
            <w:shd w:val="clear" w:color="auto" w:fill="auto"/>
            <w:vAlign w:val="center"/>
          </w:tcPr>
          <w:p>
            <w:pPr>
              <w:pStyle w:val="97"/>
              <w:snapToGrid w:val="0"/>
            </w:pPr>
            <w:r>
              <w:t>0.002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5</w:t>
            </w:r>
          </w:p>
        </w:tc>
        <w:tc>
          <w:tcPr>
            <w:tcW w:w="1148" w:type="dxa"/>
            <w:shd w:val="clear" w:color="auto" w:fill="auto"/>
            <w:vAlign w:val="center"/>
          </w:tcPr>
          <w:p>
            <w:pPr>
              <w:pStyle w:val="97"/>
              <w:snapToGrid w:val="0"/>
            </w:pPr>
            <w:r>
              <w:t>CO</w:t>
            </w:r>
            <w:r>
              <w:rPr>
                <w:vertAlign w:val="subscript"/>
              </w:rPr>
              <w:t>3</w:t>
            </w:r>
            <w:r>
              <w:rPr>
                <w:vertAlign w:val="superscript"/>
              </w:rPr>
              <w:t>2-</w:t>
            </w:r>
          </w:p>
        </w:tc>
        <w:tc>
          <w:tcPr>
            <w:tcW w:w="3603" w:type="dxa"/>
            <w:vMerge w:val="restart"/>
            <w:shd w:val="clear" w:color="auto" w:fill="auto"/>
            <w:vAlign w:val="center"/>
          </w:tcPr>
          <w:p>
            <w:pPr>
              <w:pStyle w:val="97"/>
              <w:snapToGrid w:val="0"/>
            </w:pPr>
            <w:r>
              <w:rPr>
                <w:rFonts w:hint="eastAsia"/>
              </w:rPr>
              <w:t>地下水质检测方法滴定法测定碳酸根、重碳酸根和氢氧根</w:t>
            </w:r>
            <w:r>
              <w:t>DZ/T 0064.49-1993</w:t>
            </w:r>
          </w:p>
        </w:tc>
        <w:tc>
          <w:tcPr>
            <w:tcW w:w="2549" w:type="dxa"/>
            <w:vMerge w:val="restart"/>
            <w:shd w:val="clear" w:color="auto" w:fill="auto"/>
            <w:vAlign w:val="center"/>
          </w:tcPr>
          <w:p>
            <w:pPr>
              <w:pStyle w:val="97"/>
            </w:pPr>
            <w:r>
              <w:rPr>
                <w:rFonts w:hint="eastAsia"/>
              </w:rPr>
              <w:t>50ml滴定管</w:t>
            </w:r>
          </w:p>
          <w:p>
            <w:pPr>
              <w:pStyle w:val="97"/>
              <w:snapToGrid w:val="0"/>
            </w:pPr>
            <w:r>
              <w:rPr>
                <w:rFonts w:hint="eastAsia"/>
              </w:rPr>
              <w:t>A级</w:t>
            </w:r>
          </w:p>
        </w:tc>
        <w:tc>
          <w:tcPr>
            <w:tcW w:w="1256" w:type="dxa"/>
            <w:shd w:val="clear" w:color="auto" w:fill="auto"/>
            <w:vAlign w:val="center"/>
          </w:tcPr>
          <w:p>
            <w:pPr>
              <w:pStyle w:val="97"/>
              <w:snapToGrid w:val="0"/>
            </w:pPr>
            <w:r>
              <w:t>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6</w:t>
            </w:r>
          </w:p>
        </w:tc>
        <w:tc>
          <w:tcPr>
            <w:tcW w:w="1148" w:type="dxa"/>
            <w:shd w:val="clear" w:color="auto" w:fill="auto"/>
            <w:vAlign w:val="center"/>
          </w:tcPr>
          <w:p>
            <w:pPr>
              <w:pStyle w:val="97"/>
              <w:snapToGrid w:val="0"/>
            </w:pPr>
            <w:r>
              <w:t>HCO</w:t>
            </w:r>
            <w:r>
              <w:rPr>
                <w:vertAlign w:val="subscript"/>
              </w:rPr>
              <w:t>3</w:t>
            </w:r>
            <w:r>
              <w:rPr>
                <w:vertAlign w:val="superscript"/>
              </w:rPr>
              <w:t>-</w:t>
            </w:r>
          </w:p>
        </w:tc>
        <w:tc>
          <w:tcPr>
            <w:tcW w:w="3603" w:type="dxa"/>
            <w:vMerge w:val="continue"/>
            <w:shd w:val="clear" w:color="auto" w:fill="auto"/>
            <w:vAlign w:val="center"/>
          </w:tcPr>
          <w:p>
            <w:pPr>
              <w:pStyle w:val="97"/>
              <w:snapToGrid w:val="0"/>
            </w:pPr>
          </w:p>
        </w:tc>
        <w:tc>
          <w:tcPr>
            <w:tcW w:w="2549" w:type="dxa"/>
            <w:vMerge w:val="continue"/>
            <w:shd w:val="clear" w:color="auto" w:fill="auto"/>
            <w:vAlign w:val="center"/>
          </w:tcPr>
          <w:p>
            <w:pPr>
              <w:pStyle w:val="97"/>
              <w:snapToGrid w:val="0"/>
            </w:pPr>
          </w:p>
        </w:tc>
        <w:tc>
          <w:tcPr>
            <w:tcW w:w="1256" w:type="dxa"/>
            <w:shd w:val="clear" w:color="auto" w:fill="auto"/>
            <w:vAlign w:val="center"/>
          </w:tcPr>
          <w:p>
            <w:pPr>
              <w:pStyle w:val="97"/>
              <w:snapToGrid w:val="0"/>
            </w:pPr>
            <w:r>
              <w:t>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7</w:t>
            </w:r>
          </w:p>
        </w:tc>
        <w:tc>
          <w:tcPr>
            <w:tcW w:w="1148" w:type="dxa"/>
            <w:shd w:val="clear" w:color="auto" w:fill="auto"/>
            <w:vAlign w:val="center"/>
          </w:tcPr>
          <w:p>
            <w:pPr>
              <w:pStyle w:val="97"/>
              <w:snapToGrid w:val="0"/>
            </w:pPr>
            <w:r>
              <w:t>SO</w:t>
            </w:r>
            <w:r>
              <w:rPr>
                <w:vertAlign w:val="subscript"/>
              </w:rPr>
              <w:t>4</w:t>
            </w:r>
            <w:r>
              <w:rPr>
                <w:vertAlign w:val="superscript"/>
              </w:rPr>
              <w:t>2-</w:t>
            </w:r>
          </w:p>
        </w:tc>
        <w:tc>
          <w:tcPr>
            <w:tcW w:w="3603" w:type="dxa"/>
            <w:shd w:val="clear" w:color="auto" w:fill="auto"/>
            <w:vAlign w:val="center"/>
          </w:tcPr>
          <w:p>
            <w:pPr>
              <w:pStyle w:val="97"/>
            </w:pPr>
            <w:r>
              <w:rPr>
                <w:rFonts w:hint="eastAsia"/>
              </w:rPr>
              <w:t>生活饮用水标准检验方法</w:t>
            </w:r>
          </w:p>
          <w:p>
            <w:pPr>
              <w:pStyle w:val="97"/>
            </w:pPr>
            <w:r>
              <w:rPr>
                <w:rFonts w:hint="eastAsia"/>
              </w:rPr>
              <w:t>无机非金属指标</w:t>
            </w:r>
          </w:p>
          <w:p>
            <w:pPr>
              <w:pStyle w:val="97"/>
            </w:pPr>
            <w:r>
              <w:rPr>
                <w:rFonts w:hint="eastAsia"/>
              </w:rPr>
              <w:t>1.3铬酸钡分光光度法（热法）</w:t>
            </w:r>
          </w:p>
          <w:p>
            <w:pPr>
              <w:pStyle w:val="97"/>
              <w:snapToGrid w:val="0"/>
            </w:pPr>
            <w:r>
              <w:t>GB/T 5750.5-2006</w:t>
            </w:r>
          </w:p>
        </w:tc>
        <w:tc>
          <w:tcPr>
            <w:tcW w:w="2549" w:type="dxa"/>
            <w:shd w:val="clear" w:color="auto" w:fill="auto"/>
            <w:vAlign w:val="center"/>
          </w:tcPr>
          <w:p>
            <w:pPr>
              <w:pStyle w:val="97"/>
            </w:pPr>
            <w:r>
              <w:rPr>
                <w:rFonts w:hint="eastAsia"/>
              </w:rPr>
              <w:t>可见分光光度计/</w:t>
            </w:r>
          </w:p>
          <w:p>
            <w:pPr>
              <w:pStyle w:val="97"/>
            </w:pPr>
            <w:r>
              <w:t>N2S/</w:t>
            </w:r>
          </w:p>
          <w:p>
            <w:pPr>
              <w:pStyle w:val="97"/>
              <w:snapToGrid w:val="0"/>
            </w:pPr>
            <w:r>
              <w:t>ZXJC-YQ-021</w:t>
            </w:r>
          </w:p>
        </w:tc>
        <w:tc>
          <w:tcPr>
            <w:tcW w:w="1256" w:type="dxa"/>
            <w:shd w:val="clear" w:color="auto" w:fill="auto"/>
            <w:vAlign w:val="center"/>
          </w:tcPr>
          <w:p>
            <w:pPr>
              <w:pStyle w:val="97"/>
              <w:snapToGrid w:val="0"/>
            </w:pPr>
            <w:r>
              <w:t>5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8</w:t>
            </w:r>
          </w:p>
        </w:tc>
        <w:tc>
          <w:tcPr>
            <w:tcW w:w="1148" w:type="dxa"/>
            <w:shd w:val="clear" w:color="auto" w:fill="auto"/>
            <w:vAlign w:val="center"/>
          </w:tcPr>
          <w:p>
            <w:pPr>
              <w:pStyle w:val="97"/>
              <w:snapToGrid w:val="0"/>
            </w:pPr>
            <w:r>
              <w:t>Cl</w:t>
            </w:r>
            <w:r>
              <w:rPr>
                <w:vertAlign w:val="superscript"/>
              </w:rPr>
              <w:t>-</w:t>
            </w:r>
          </w:p>
        </w:tc>
        <w:tc>
          <w:tcPr>
            <w:tcW w:w="3603" w:type="dxa"/>
            <w:shd w:val="clear" w:color="auto" w:fill="auto"/>
            <w:vAlign w:val="center"/>
          </w:tcPr>
          <w:p>
            <w:pPr>
              <w:pStyle w:val="97"/>
            </w:pPr>
            <w:r>
              <w:rPr>
                <w:rFonts w:hint="eastAsia"/>
              </w:rPr>
              <w:t>生活饮用水标准检验方法</w:t>
            </w:r>
          </w:p>
          <w:p>
            <w:pPr>
              <w:pStyle w:val="97"/>
            </w:pPr>
            <w:r>
              <w:rPr>
                <w:rFonts w:hint="eastAsia"/>
              </w:rPr>
              <w:t>无机非金属指标硝酸银容量法</w:t>
            </w:r>
          </w:p>
          <w:p>
            <w:pPr>
              <w:pStyle w:val="97"/>
              <w:snapToGrid w:val="0"/>
            </w:pPr>
            <w:r>
              <w:rPr>
                <w:rFonts w:hint="eastAsia"/>
              </w:rPr>
              <w:t>GB/T 5750.5-2006（2.1）</w:t>
            </w:r>
          </w:p>
        </w:tc>
        <w:tc>
          <w:tcPr>
            <w:tcW w:w="2549" w:type="dxa"/>
            <w:shd w:val="clear" w:color="auto" w:fill="auto"/>
            <w:vAlign w:val="center"/>
          </w:tcPr>
          <w:p>
            <w:pPr>
              <w:pStyle w:val="97"/>
            </w:pPr>
            <w:r>
              <w:rPr>
                <w:rFonts w:hint="eastAsia"/>
              </w:rPr>
              <w:t>50ml滴定管</w:t>
            </w:r>
          </w:p>
          <w:p>
            <w:pPr>
              <w:pStyle w:val="97"/>
              <w:snapToGrid w:val="0"/>
            </w:pPr>
            <w:r>
              <w:rPr>
                <w:rFonts w:hint="eastAsia"/>
              </w:rPr>
              <w:t>A级</w:t>
            </w:r>
          </w:p>
        </w:tc>
        <w:tc>
          <w:tcPr>
            <w:tcW w:w="1256" w:type="dxa"/>
            <w:shd w:val="clear" w:color="auto" w:fill="auto"/>
            <w:vAlign w:val="center"/>
          </w:tcPr>
          <w:p>
            <w:pPr>
              <w:pStyle w:val="97"/>
              <w:snapToGrid w:val="0"/>
            </w:pPr>
            <w:r>
              <w:t>1.0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9</w:t>
            </w:r>
          </w:p>
        </w:tc>
        <w:tc>
          <w:tcPr>
            <w:tcW w:w="1148" w:type="dxa"/>
            <w:shd w:val="clear" w:color="auto" w:fill="auto"/>
            <w:vAlign w:val="center"/>
          </w:tcPr>
          <w:p>
            <w:pPr>
              <w:pStyle w:val="97"/>
              <w:snapToGrid w:val="0"/>
            </w:pPr>
            <w:r>
              <w:t>pH</w:t>
            </w:r>
          </w:p>
        </w:tc>
        <w:tc>
          <w:tcPr>
            <w:tcW w:w="3603" w:type="dxa"/>
            <w:shd w:val="clear" w:color="auto" w:fill="auto"/>
            <w:vAlign w:val="center"/>
          </w:tcPr>
          <w:p>
            <w:pPr>
              <w:pStyle w:val="97"/>
            </w:pPr>
            <w:r>
              <w:rPr>
                <w:rFonts w:hint="eastAsia"/>
              </w:rPr>
              <w:t>生活饮用水标准检验方法</w:t>
            </w:r>
          </w:p>
          <w:p>
            <w:pPr>
              <w:pStyle w:val="97"/>
            </w:pPr>
            <w:r>
              <w:rPr>
                <w:rFonts w:hint="eastAsia"/>
              </w:rPr>
              <w:t>感官性状和物理指标玻璃电极法</w:t>
            </w:r>
          </w:p>
          <w:p>
            <w:pPr>
              <w:pStyle w:val="97"/>
              <w:snapToGrid w:val="0"/>
            </w:pPr>
            <w:r>
              <w:rPr>
                <w:rFonts w:hint="eastAsia"/>
              </w:rPr>
              <w:t>GB/T 5750.4-2006（5.1）</w:t>
            </w:r>
          </w:p>
        </w:tc>
        <w:tc>
          <w:tcPr>
            <w:tcW w:w="2549" w:type="dxa"/>
            <w:shd w:val="clear" w:color="auto" w:fill="auto"/>
            <w:vAlign w:val="center"/>
          </w:tcPr>
          <w:p>
            <w:pPr>
              <w:pStyle w:val="97"/>
              <w:snapToGrid w:val="0"/>
            </w:pPr>
            <w:r>
              <w:t>PH计/</w:t>
            </w:r>
          </w:p>
          <w:p>
            <w:pPr>
              <w:pStyle w:val="97"/>
              <w:snapToGrid w:val="0"/>
            </w:pPr>
            <w:r>
              <w:t>PHS-3C/</w:t>
            </w:r>
          </w:p>
          <w:p>
            <w:pPr>
              <w:pStyle w:val="97"/>
              <w:snapToGrid w:val="0"/>
            </w:pPr>
            <w:r>
              <w:t>ZXJC-YO-019</w:t>
            </w:r>
          </w:p>
        </w:tc>
        <w:tc>
          <w:tcPr>
            <w:tcW w:w="1256" w:type="dxa"/>
            <w:shd w:val="clear" w:color="auto" w:fill="auto"/>
            <w:vAlign w:val="center"/>
          </w:tcPr>
          <w:p>
            <w:pPr>
              <w:pStyle w:val="97"/>
              <w:snapToGrid w:val="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10</w:t>
            </w:r>
          </w:p>
        </w:tc>
        <w:tc>
          <w:tcPr>
            <w:tcW w:w="1148" w:type="dxa"/>
            <w:shd w:val="clear" w:color="auto" w:fill="auto"/>
            <w:vAlign w:val="center"/>
          </w:tcPr>
          <w:p>
            <w:pPr>
              <w:pStyle w:val="97"/>
              <w:snapToGrid w:val="0"/>
            </w:pPr>
            <w:r>
              <w:t>氨氮</w:t>
            </w:r>
          </w:p>
        </w:tc>
        <w:tc>
          <w:tcPr>
            <w:tcW w:w="3603" w:type="dxa"/>
            <w:shd w:val="clear" w:color="auto" w:fill="auto"/>
            <w:vAlign w:val="center"/>
          </w:tcPr>
          <w:p>
            <w:pPr>
              <w:pStyle w:val="97"/>
            </w:pPr>
            <w:r>
              <w:rPr>
                <w:rFonts w:hint="eastAsia"/>
              </w:rPr>
              <w:t>生活饮用水标准检验方法无机非金属指标</w:t>
            </w:r>
          </w:p>
          <w:p>
            <w:pPr>
              <w:pStyle w:val="97"/>
            </w:pPr>
            <w:r>
              <w:rPr>
                <w:rFonts w:hint="eastAsia"/>
              </w:rPr>
              <w:t>9.1纳氏试剂分光光度法</w:t>
            </w:r>
          </w:p>
          <w:p>
            <w:pPr>
              <w:pStyle w:val="97"/>
              <w:snapToGrid w:val="0"/>
            </w:pPr>
            <w:r>
              <w:t>GB/T 5750.5-2006</w:t>
            </w:r>
          </w:p>
        </w:tc>
        <w:tc>
          <w:tcPr>
            <w:tcW w:w="2549" w:type="dxa"/>
            <w:shd w:val="clear" w:color="auto" w:fill="auto"/>
            <w:vAlign w:val="center"/>
          </w:tcPr>
          <w:p>
            <w:pPr>
              <w:pStyle w:val="97"/>
              <w:snapToGrid w:val="0"/>
            </w:pPr>
            <w:r>
              <w:t>可见分光光度计/</w:t>
            </w:r>
          </w:p>
          <w:p>
            <w:pPr>
              <w:pStyle w:val="97"/>
              <w:snapToGrid w:val="0"/>
            </w:pPr>
            <w:r>
              <w:t>N2S/</w:t>
            </w:r>
          </w:p>
          <w:p>
            <w:pPr>
              <w:pStyle w:val="97"/>
              <w:snapToGrid w:val="0"/>
            </w:pPr>
            <w:r>
              <w:t>ZXJC-YQ-021</w:t>
            </w:r>
          </w:p>
        </w:tc>
        <w:tc>
          <w:tcPr>
            <w:tcW w:w="1256" w:type="dxa"/>
            <w:shd w:val="clear" w:color="auto" w:fill="auto"/>
            <w:vAlign w:val="center"/>
          </w:tcPr>
          <w:p>
            <w:pPr>
              <w:pStyle w:val="97"/>
              <w:snapToGrid w:val="0"/>
            </w:pPr>
            <w:r>
              <w:t>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11</w:t>
            </w:r>
          </w:p>
        </w:tc>
        <w:tc>
          <w:tcPr>
            <w:tcW w:w="1148" w:type="dxa"/>
            <w:shd w:val="clear" w:color="auto" w:fill="auto"/>
            <w:vAlign w:val="center"/>
          </w:tcPr>
          <w:p>
            <w:pPr>
              <w:pStyle w:val="97"/>
              <w:snapToGrid w:val="0"/>
            </w:pPr>
            <w:r>
              <w:t>硝酸盐氮</w:t>
            </w:r>
          </w:p>
        </w:tc>
        <w:tc>
          <w:tcPr>
            <w:tcW w:w="3603" w:type="dxa"/>
            <w:shd w:val="clear" w:color="auto" w:fill="auto"/>
            <w:vAlign w:val="center"/>
          </w:tcPr>
          <w:p>
            <w:pPr>
              <w:pStyle w:val="97"/>
              <w:snapToGrid w:val="0"/>
            </w:pPr>
            <w:r>
              <w:rPr>
                <w:rFonts w:hint="eastAsia"/>
              </w:rPr>
              <w:t>水质硝酸盐氮的测定</w:t>
            </w:r>
          </w:p>
          <w:p>
            <w:pPr>
              <w:pStyle w:val="97"/>
              <w:snapToGrid w:val="0"/>
            </w:pPr>
            <w:r>
              <w:rPr>
                <w:rFonts w:hint="eastAsia"/>
              </w:rPr>
              <w:t>紫外分光光度法</w:t>
            </w:r>
            <w:r>
              <w:t>(</w:t>
            </w:r>
            <w:r>
              <w:rPr>
                <w:rFonts w:hint="eastAsia"/>
              </w:rPr>
              <w:t>试行</w:t>
            </w:r>
            <w:r>
              <w:t>)</w:t>
            </w:r>
          </w:p>
          <w:p>
            <w:pPr>
              <w:pStyle w:val="97"/>
              <w:snapToGrid w:val="0"/>
            </w:pPr>
            <w:r>
              <w:t>HJ/T 346-2007</w:t>
            </w:r>
          </w:p>
        </w:tc>
        <w:tc>
          <w:tcPr>
            <w:tcW w:w="2549" w:type="dxa"/>
            <w:shd w:val="clear" w:color="auto" w:fill="auto"/>
            <w:vAlign w:val="center"/>
          </w:tcPr>
          <w:p>
            <w:pPr>
              <w:pStyle w:val="97"/>
              <w:snapToGrid w:val="0"/>
            </w:pPr>
            <w:r>
              <w:t>紫外可见分光光度计/</w:t>
            </w:r>
          </w:p>
          <w:p>
            <w:pPr>
              <w:pStyle w:val="97"/>
              <w:snapToGrid w:val="0"/>
            </w:pPr>
            <w:r>
              <w:t>SP-756P/</w:t>
            </w:r>
          </w:p>
          <w:p>
            <w:pPr>
              <w:pStyle w:val="97"/>
              <w:snapToGrid w:val="0"/>
            </w:pPr>
            <w:r>
              <w:t>ZXJC-YQ-027</w:t>
            </w:r>
          </w:p>
        </w:tc>
        <w:tc>
          <w:tcPr>
            <w:tcW w:w="1256" w:type="dxa"/>
            <w:shd w:val="clear" w:color="auto" w:fill="auto"/>
            <w:vAlign w:val="center"/>
          </w:tcPr>
          <w:p>
            <w:pPr>
              <w:pStyle w:val="97"/>
              <w:snapToGrid w:val="0"/>
            </w:pPr>
            <w:r>
              <w:t>0.2mg/L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12</w:t>
            </w:r>
          </w:p>
        </w:tc>
        <w:tc>
          <w:tcPr>
            <w:tcW w:w="1148" w:type="dxa"/>
            <w:shd w:val="clear" w:color="auto" w:fill="auto"/>
            <w:vAlign w:val="center"/>
          </w:tcPr>
          <w:p>
            <w:pPr>
              <w:pStyle w:val="97"/>
              <w:snapToGrid w:val="0"/>
            </w:pPr>
            <w:r>
              <w:t>亚硝酸盐氮</w:t>
            </w:r>
          </w:p>
        </w:tc>
        <w:tc>
          <w:tcPr>
            <w:tcW w:w="3603" w:type="dxa"/>
            <w:shd w:val="clear" w:color="auto" w:fill="auto"/>
            <w:vAlign w:val="center"/>
          </w:tcPr>
          <w:p>
            <w:pPr>
              <w:pStyle w:val="97"/>
              <w:snapToGrid w:val="0"/>
            </w:pPr>
            <w:r>
              <w:t>生活饮用水标准检验方法无机非金属指标</w:t>
            </w:r>
          </w:p>
          <w:p>
            <w:pPr>
              <w:pStyle w:val="97"/>
              <w:snapToGrid w:val="0"/>
            </w:pPr>
            <w:r>
              <w:t>重氮偶合分光光度法</w:t>
            </w:r>
          </w:p>
        </w:tc>
        <w:tc>
          <w:tcPr>
            <w:tcW w:w="2549" w:type="dxa"/>
            <w:shd w:val="clear" w:color="auto" w:fill="auto"/>
            <w:vAlign w:val="center"/>
          </w:tcPr>
          <w:p>
            <w:pPr>
              <w:pStyle w:val="97"/>
            </w:pPr>
            <w:r>
              <w:rPr>
                <w:rFonts w:hint="eastAsia"/>
              </w:rPr>
              <w:t>可见分光光度计/</w:t>
            </w:r>
          </w:p>
          <w:p>
            <w:pPr>
              <w:pStyle w:val="97"/>
            </w:pPr>
            <w:r>
              <w:t>N2S/</w:t>
            </w:r>
          </w:p>
          <w:p>
            <w:pPr>
              <w:pStyle w:val="97"/>
              <w:snapToGrid w:val="0"/>
            </w:pPr>
            <w:r>
              <w:t>ZXJC-YQ-021</w:t>
            </w:r>
          </w:p>
        </w:tc>
        <w:tc>
          <w:tcPr>
            <w:tcW w:w="1256" w:type="dxa"/>
            <w:shd w:val="clear" w:color="auto" w:fill="auto"/>
            <w:vAlign w:val="center"/>
          </w:tcPr>
          <w:p>
            <w:pPr>
              <w:pStyle w:val="97"/>
              <w:snapToGrid w:val="0"/>
            </w:pPr>
            <w:r>
              <w:t>0.001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13</w:t>
            </w:r>
          </w:p>
        </w:tc>
        <w:tc>
          <w:tcPr>
            <w:tcW w:w="1148" w:type="dxa"/>
            <w:shd w:val="clear" w:color="auto" w:fill="auto"/>
            <w:vAlign w:val="center"/>
          </w:tcPr>
          <w:p>
            <w:pPr>
              <w:pStyle w:val="97"/>
              <w:snapToGrid w:val="0"/>
            </w:pPr>
            <w:r>
              <w:t>挥发酚类</w:t>
            </w:r>
          </w:p>
        </w:tc>
        <w:tc>
          <w:tcPr>
            <w:tcW w:w="3603" w:type="dxa"/>
            <w:shd w:val="clear" w:color="auto" w:fill="auto"/>
            <w:vAlign w:val="center"/>
          </w:tcPr>
          <w:p>
            <w:pPr>
              <w:pStyle w:val="97"/>
              <w:snapToGrid w:val="0"/>
            </w:pPr>
            <w:r>
              <w:rPr>
                <w:rFonts w:hint="eastAsia"/>
              </w:rPr>
              <w:t>水质挥发酚的测定</w:t>
            </w:r>
          </w:p>
          <w:p>
            <w:pPr>
              <w:pStyle w:val="97"/>
              <w:snapToGrid w:val="0"/>
            </w:pPr>
            <w:r>
              <w:t>4-氨基安替比林三氯甲烷萃取分光光度法</w:t>
            </w:r>
          </w:p>
          <w:p>
            <w:pPr>
              <w:pStyle w:val="97"/>
              <w:snapToGrid w:val="0"/>
            </w:pPr>
            <w:r>
              <w:rPr>
                <w:rFonts w:hint="eastAsia"/>
              </w:rPr>
              <w:t>HJ503-2009</w:t>
            </w:r>
          </w:p>
        </w:tc>
        <w:tc>
          <w:tcPr>
            <w:tcW w:w="2549" w:type="dxa"/>
            <w:shd w:val="clear" w:color="auto" w:fill="auto"/>
            <w:vAlign w:val="center"/>
          </w:tcPr>
          <w:p>
            <w:pPr>
              <w:pStyle w:val="97"/>
            </w:pPr>
            <w:r>
              <w:rPr>
                <w:rFonts w:hint="eastAsia"/>
              </w:rPr>
              <w:t>可见分光光度计/</w:t>
            </w:r>
          </w:p>
          <w:p>
            <w:pPr>
              <w:pStyle w:val="97"/>
            </w:pPr>
            <w:r>
              <w:t>N2S/</w:t>
            </w:r>
          </w:p>
          <w:p>
            <w:pPr>
              <w:pStyle w:val="97"/>
              <w:snapToGrid w:val="0"/>
            </w:pPr>
            <w:r>
              <w:t>ZXJC-YQ-021</w:t>
            </w:r>
          </w:p>
        </w:tc>
        <w:tc>
          <w:tcPr>
            <w:tcW w:w="1256" w:type="dxa"/>
            <w:shd w:val="clear" w:color="auto" w:fill="auto"/>
            <w:vAlign w:val="center"/>
          </w:tcPr>
          <w:p>
            <w:pPr>
              <w:pStyle w:val="97"/>
              <w:snapToGrid w:val="0"/>
            </w:pPr>
            <w:r>
              <w:t>0.0003mg/L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14</w:t>
            </w:r>
          </w:p>
        </w:tc>
        <w:tc>
          <w:tcPr>
            <w:tcW w:w="1148" w:type="dxa"/>
            <w:shd w:val="clear" w:color="auto" w:fill="auto"/>
            <w:vAlign w:val="center"/>
          </w:tcPr>
          <w:p>
            <w:pPr>
              <w:pStyle w:val="97"/>
              <w:snapToGrid w:val="0"/>
            </w:pPr>
            <w:r>
              <w:t>氰化物</w:t>
            </w:r>
          </w:p>
        </w:tc>
        <w:tc>
          <w:tcPr>
            <w:tcW w:w="3603" w:type="dxa"/>
            <w:shd w:val="clear" w:color="auto" w:fill="auto"/>
            <w:vAlign w:val="center"/>
          </w:tcPr>
          <w:p>
            <w:pPr>
              <w:pStyle w:val="97"/>
              <w:snapToGrid w:val="0"/>
            </w:pPr>
            <w:r>
              <w:t>生活饮用水标准检验方法</w:t>
            </w:r>
          </w:p>
          <w:p>
            <w:pPr>
              <w:pStyle w:val="97"/>
              <w:snapToGrid w:val="0"/>
            </w:pPr>
            <w:r>
              <w:t>无机非金属指标</w:t>
            </w:r>
          </w:p>
          <w:p>
            <w:pPr>
              <w:pStyle w:val="97"/>
              <w:snapToGrid w:val="0"/>
            </w:pPr>
            <w:r>
              <w:t>异烟酸-吡唑酮分光光度法</w:t>
            </w:r>
          </w:p>
          <w:p>
            <w:pPr>
              <w:pStyle w:val="97"/>
              <w:snapToGrid w:val="0"/>
            </w:pPr>
            <w:r>
              <w:t>GB/T 5750.5-2006（4.1）</w:t>
            </w:r>
          </w:p>
        </w:tc>
        <w:tc>
          <w:tcPr>
            <w:tcW w:w="2549" w:type="dxa"/>
            <w:shd w:val="clear" w:color="auto" w:fill="auto"/>
            <w:vAlign w:val="center"/>
          </w:tcPr>
          <w:p>
            <w:pPr>
              <w:pStyle w:val="97"/>
            </w:pPr>
            <w:r>
              <w:rPr>
                <w:rFonts w:hint="eastAsia"/>
              </w:rPr>
              <w:t>可见分光光度计/</w:t>
            </w:r>
          </w:p>
          <w:p>
            <w:pPr>
              <w:pStyle w:val="97"/>
            </w:pPr>
            <w:r>
              <w:t>N2S/</w:t>
            </w:r>
          </w:p>
          <w:p>
            <w:pPr>
              <w:pStyle w:val="97"/>
              <w:snapToGrid w:val="0"/>
            </w:pPr>
            <w:r>
              <w:t>ZXJC-YQ-021</w:t>
            </w:r>
          </w:p>
        </w:tc>
        <w:tc>
          <w:tcPr>
            <w:tcW w:w="1256" w:type="dxa"/>
            <w:shd w:val="clear" w:color="auto" w:fill="auto"/>
            <w:vAlign w:val="center"/>
          </w:tcPr>
          <w:p>
            <w:pPr>
              <w:pStyle w:val="97"/>
              <w:snapToGrid w:val="0"/>
            </w:pPr>
            <w:r>
              <w:t>0.002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15</w:t>
            </w:r>
          </w:p>
        </w:tc>
        <w:tc>
          <w:tcPr>
            <w:tcW w:w="1148" w:type="dxa"/>
            <w:shd w:val="clear" w:color="auto" w:fill="auto"/>
            <w:vAlign w:val="center"/>
          </w:tcPr>
          <w:p>
            <w:pPr>
              <w:pStyle w:val="97"/>
              <w:snapToGrid w:val="0"/>
            </w:pPr>
            <w:r>
              <w:t>砷</w:t>
            </w:r>
          </w:p>
        </w:tc>
        <w:tc>
          <w:tcPr>
            <w:tcW w:w="3603" w:type="dxa"/>
            <w:vMerge w:val="restart"/>
            <w:shd w:val="clear" w:color="auto" w:fill="auto"/>
            <w:vAlign w:val="center"/>
          </w:tcPr>
          <w:p>
            <w:pPr>
              <w:pStyle w:val="97"/>
              <w:snapToGrid w:val="0"/>
            </w:pPr>
            <w:r>
              <w:rPr>
                <w:rFonts w:hint="eastAsia"/>
              </w:rPr>
              <w:t xml:space="preserve">水质汞、砷、硒、铋和锑的测定  原子荧光法 </w:t>
            </w:r>
            <w:r>
              <w:t>HJ 694-2014</w:t>
            </w:r>
          </w:p>
        </w:tc>
        <w:tc>
          <w:tcPr>
            <w:tcW w:w="2549" w:type="dxa"/>
            <w:vMerge w:val="restart"/>
            <w:shd w:val="clear" w:color="auto" w:fill="auto"/>
            <w:vAlign w:val="center"/>
          </w:tcPr>
          <w:p>
            <w:pPr>
              <w:pStyle w:val="97"/>
              <w:snapToGrid w:val="0"/>
            </w:pPr>
            <w:r>
              <w:t>双道氢化物-原子荧光</w:t>
            </w:r>
          </w:p>
          <w:p>
            <w:pPr>
              <w:pStyle w:val="97"/>
              <w:snapToGrid w:val="0"/>
            </w:pPr>
            <w:r>
              <w:t>光度计</w:t>
            </w:r>
          </w:p>
          <w:p>
            <w:pPr>
              <w:pStyle w:val="97"/>
              <w:snapToGrid w:val="0"/>
            </w:pPr>
            <w:r>
              <w:t>AF-7500B</w:t>
            </w:r>
          </w:p>
          <w:p>
            <w:pPr>
              <w:pStyle w:val="97"/>
              <w:snapToGrid w:val="0"/>
            </w:pPr>
            <w:r>
              <w:t>ZXJC-YQ-089</w:t>
            </w:r>
          </w:p>
        </w:tc>
        <w:tc>
          <w:tcPr>
            <w:tcW w:w="1256" w:type="dxa"/>
            <w:shd w:val="clear" w:color="auto" w:fill="auto"/>
            <w:vAlign w:val="center"/>
          </w:tcPr>
          <w:p>
            <w:pPr>
              <w:pStyle w:val="97"/>
              <w:snapToGrid w:val="0"/>
            </w:pPr>
            <w:r>
              <w:t>0.3μg/L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16</w:t>
            </w:r>
          </w:p>
        </w:tc>
        <w:tc>
          <w:tcPr>
            <w:tcW w:w="1148" w:type="dxa"/>
            <w:shd w:val="clear" w:color="auto" w:fill="auto"/>
            <w:vAlign w:val="center"/>
          </w:tcPr>
          <w:p>
            <w:pPr>
              <w:pStyle w:val="97"/>
              <w:snapToGrid w:val="0"/>
            </w:pPr>
            <w:r>
              <w:t>汞</w:t>
            </w:r>
          </w:p>
        </w:tc>
        <w:tc>
          <w:tcPr>
            <w:tcW w:w="3603" w:type="dxa"/>
            <w:vMerge w:val="continue"/>
            <w:shd w:val="clear" w:color="auto" w:fill="auto"/>
            <w:vAlign w:val="center"/>
          </w:tcPr>
          <w:p>
            <w:pPr>
              <w:pStyle w:val="97"/>
              <w:snapToGrid w:val="0"/>
            </w:pPr>
          </w:p>
        </w:tc>
        <w:tc>
          <w:tcPr>
            <w:tcW w:w="2549" w:type="dxa"/>
            <w:vMerge w:val="continue"/>
            <w:shd w:val="clear" w:color="auto" w:fill="auto"/>
            <w:vAlign w:val="center"/>
          </w:tcPr>
          <w:p>
            <w:pPr>
              <w:pStyle w:val="97"/>
              <w:snapToGrid w:val="0"/>
            </w:pPr>
          </w:p>
        </w:tc>
        <w:tc>
          <w:tcPr>
            <w:tcW w:w="1256" w:type="dxa"/>
            <w:shd w:val="clear" w:color="auto" w:fill="auto"/>
            <w:vAlign w:val="center"/>
          </w:tcPr>
          <w:p>
            <w:pPr>
              <w:pStyle w:val="97"/>
              <w:snapToGrid w:val="0"/>
            </w:pPr>
            <w:r>
              <w:t>0.04μg/L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17</w:t>
            </w:r>
          </w:p>
        </w:tc>
        <w:tc>
          <w:tcPr>
            <w:tcW w:w="1148" w:type="dxa"/>
            <w:shd w:val="clear" w:color="auto" w:fill="auto"/>
            <w:vAlign w:val="center"/>
          </w:tcPr>
          <w:p>
            <w:pPr>
              <w:pStyle w:val="97"/>
              <w:snapToGrid w:val="0"/>
            </w:pPr>
            <w:r>
              <w:t>铬（六价）</w:t>
            </w:r>
          </w:p>
        </w:tc>
        <w:tc>
          <w:tcPr>
            <w:tcW w:w="3603" w:type="dxa"/>
            <w:shd w:val="clear" w:color="auto" w:fill="auto"/>
            <w:vAlign w:val="center"/>
          </w:tcPr>
          <w:p>
            <w:pPr>
              <w:pStyle w:val="97"/>
              <w:snapToGrid w:val="0"/>
            </w:pPr>
            <w:r>
              <w:t>生活饮用水标准检验方法</w:t>
            </w:r>
          </w:p>
          <w:p>
            <w:pPr>
              <w:pStyle w:val="97"/>
              <w:snapToGrid w:val="0"/>
            </w:pPr>
            <w:r>
              <w:t>金属指标</w:t>
            </w:r>
          </w:p>
          <w:p>
            <w:pPr>
              <w:pStyle w:val="97"/>
              <w:snapToGrid w:val="0"/>
            </w:pPr>
            <w:r>
              <w:t>二苯碳酰二耕分光光度法</w:t>
            </w:r>
          </w:p>
          <w:p>
            <w:pPr>
              <w:pStyle w:val="97"/>
              <w:snapToGrid w:val="0"/>
            </w:pPr>
            <w:r>
              <w:t>GB/T 5750.6-2006（10.1）</w:t>
            </w:r>
          </w:p>
        </w:tc>
        <w:tc>
          <w:tcPr>
            <w:tcW w:w="2549" w:type="dxa"/>
            <w:shd w:val="clear" w:color="auto" w:fill="auto"/>
            <w:vAlign w:val="center"/>
          </w:tcPr>
          <w:p>
            <w:pPr>
              <w:pStyle w:val="97"/>
            </w:pPr>
            <w:r>
              <w:rPr>
                <w:rFonts w:hint="eastAsia"/>
              </w:rPr>
              <w:t>可见分光光度计/</w:t>
            </w:r>
          </w:p>
          <w:p>
            <w:pPr>
              <w:pStyle w:val="97"/>
            </w:pPr>
            <w:r>
              <w:t>N2S/</w:t>
            </w:r>
          </w:p>
          <w:p>
            <w:pPr>
              <w:pStyle w:val="97"/>
              <w:snapToGrid w:val="0"/>
            </w:pPr>
            <w:r>
              <w:t>ZXJC-YQ-021</w:t>
            </w:r>
          </w:p>
        </w:tc>
        <w:tc>
          <w:tcPr>
            <w:tcW w:w="1256" w:type="dxa"/>
            <w:shd w:val="clear" w:color="auto" w:fill="auto"/>
            <w:vAlign w:val="center"/>
          </w:tcPr>
          <w:p>
            <w:pPr>
              <w:pStyle w:val="97"/>
              <w:snapToGrid w:val="0"/>
            </w:pPr>
            <w:r>
              <w:t>0.004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18</w:t>
            </w:r>
          </w:p>
        </w:tc>
        <w:tc>
          <w:tcPr>
            <w:tcW w:w="1148" w:type="dxa"/>
            <w:shd w:val="clear" w:color="auto" w:fill="auto"/>
            <w:vAlign w:val="center"/>
          </w:tcPr>
          <w:p>
            <w:pPr>
              <w:pStyle w:val="97"/>
              <w:snapToGrid w:val="0"/>
            </w:pPr>
            <w:r>
              <w:t>总硬度</w:t>
            </w:r>
          </w:p>
        </w:tc>
        <w:tc>
          <w:tcPr>
            <w:tcW w:w="3603" w:type="dxa"/>
            <w:shd w:val="clear" w:color="auto" w:fill="auto"/>
            <w:vAlign w:val="center"/>
          </w:tcPr>
          <w:p>
            <w:pPr>
              <w:autoSpaceDE w:val="0"/>
              <w:autoSpaceDN w:val="0"/>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生活饮用水标准检验方法</w:t>
            </w:r>
          </w:p>
          <w:p>
            <w:pPr>
              <w:autoSpaceDE w:val="0"/>
              <w:autoSpaceDN w:val="0"/>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感官性状和物理指标</w:t>
            </w:r>
          </w:p>
          <w:p>
            <w:pPr>
              <w:autoSpaceDE w:val="0"/>
              <w:autoSpaceDN w:val="0"/>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乙二胺四乙酸二钠滴定法</w:t>
            </w:r>
          </w:p>
          <w:p>
            <w:pPr>
              <w:autoSpaceDE w:val="0"/>
              <w:autoSpaceDN w:val="0"/>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GB/T 5750.4-2006（7.1）</w:t>
            </w:r>
          </w:p>
        </w:tc>
        <w:tc>
          <w:tcPr>
            <w:tcW w:w="2549" w:type="dxa"/>
            <w:shd w:val="clear" w:color="auto" w:fill="auto"/>
            <w:vAlign w:val="center"/>
          </w:tcPr>
          <w:p>
            <w:pPr>
              <w:pStyle w:val="97"/>
              <w:snapToGrid w:val="0"/>
            </w:pPr>
            <w:r>
              <w:t>50ml滴定管</w:t>
            </w:r>
          </w:p>
          <w:p>
            <w:pPr>
              <w:pStyle w:val="97"/>
              <w:snapToGrid w:val="0"/>
            </w:pPr>
            <w:r>
              <w:t>A级</w:t>
            </w:r>
          </w:p>
        </w:tc>
        <w:tc>
          <w:tcPr>
            <w:tcW w:w="1256" w:type="dxa"/>
            <w:shd w:val="clear" w:color="auto" w:fill="auto"/>
            <w:vAlign w:val="center"/>
          </w:tcPr>
          <w:p>
            <w:pPr>
              <w:pStyle w:val="97"/>
              <w:snapToGrid w:val="0"/>
            </w:pPr>
            <w:r>
              <w:t>5.0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19</w:t>
            </w:r>
          </w:p>
        </w:tc>
        <w:tc>
          <w:tcPr>
            <w:tcW w:w="1148" w:type="dxa"/>
            <w:shd w:val="clear" w:color="auto" w:fill="auto"/>
            <w:vAlign w:val="center"/>
          </w:tcPr>
          <w:p>
            <w:pPr>
              <w:pStyle w:val="97"/>
              <w:snapToGrid w:val="0"/>
            </w:pPr>
            <w:r>
              <w:t>铅</w:t>
            </w:r>
          </w:p>
        </w:tc>
        <w:tc>
          <w:tcPr>
            <w:tcW w:w="3603" w:type="dxa"/>
            <w:shd w:val="clear" w:color="auto" w:fill="auto"/>
            <w:vAlign w:val="center"/>
          </w:tcPr>
          <w:p>
            <w:pPr>
              <w:autoSpaceDE w:val="0"/>
              <w:autoSpaceDN w:val="0"/>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生活饮用水标准检验方法金属指标</w:t>
            </w:r>
          </w:p>
          <w:p>
            <w:pPr>
              <w:autoSpaceDE w:val="0"/>
              <w:autoSpaceDN w:val="0"/>
              <w:spacing w:line="240" w:lineRule="auto"/>
              <w:ind w:firstLine="0" w:firstLineChars="0"/>
              <w:rPr>
                <w:rFonts w:ascii="宋体" w:hAnsi="Calibri" w:cs="宋体"/>
                <w:kern w:val="0"/>
                <w:sz w:val="21"/>
                <w:szCs w:val="21"/>
              </w:rPr>
            </w:pPr>
            <w:r>
              <w:rPr>
                <w:rFonts w:hint="eastAsia" w:ascii="宋体" w:hAnsi="Calibri" w:cs="宋体"/>
                <w:kern w:val="0"/>
                <w:sz w:val="21"/>
                <w:szCs w:val="21"/>
              </w:rPr>
              <w:t>无火焰</w:t>
            </w:r>
            <w:r>
              <w:rPr>
                <w:rFonts w:ascii="宋体" w:hAnsi="Calibri" w:cs="宋体"/>
                <w:kern w:val="0"/>
                <w:sz w:val="21"/>
                <w:szCs w:val="21"/>
              </w:rPr>
              <w:t>原子吸收分光光度法</w:t>
            </w:r>
          </w:p>
          <w:p>
            <w:pPr>
              <w:autoSpaceDE w:val="0"/>
              <w:autoSpaceDN w:val="0"/>
              <w:spacing w:line="240" w:lineRule="auto"/>
              <w:ind w:firstLine="0" w:firstLineChars="0"/>
              <w:rPr>
                <w:rFonts w:ascii="宋体" w:hAnsi="Calibri" w:cs="宋体"/>
                <w:kern w:val="0"/>
                <w:sz w:val="21"/>
                <w:szCs w:val="21"/>
              </w:rPr>
            </w:pPr>
            <w:r>
              <w:rPr>
                <w:rFonts w:ascii="TimesNewRomanPSMT" w:hAnsi="Calibri" w:eastAsia="TimesNewRomanPSMT" w:cs="TimesNewRomanPSMT"/>
                <w:kern w:val="0"/>
                <w:sz w:val="21"/>
                <w:szCs w:val="21"/>
              </w:rPr>
              <w:t>GB/T 5750.6-2006</w:t>
            </w:r>
            <w:r>
              <w:rPr>
                <w:rFonts w:hint="eastAsia" w:ascii="宋体" w:hAnsi="Calibri" w:cs="宋体"/>
                <w:kern w:val="0"/>
                <w:sz w:val="21"/>
                <w:szCs w:val="21"/>
              </w:rPr>
              <w:t>（</w:t>
            </w:r>
            <w:r>
              <w:rPr>
                <w:rFonts w:ascii="TimesNewRomanPSMT" w:hAnsi="Calibri" w:eastAsia="TimesNewRomanPSMT" w:cs="TimesNewRomanPSMT"/>
                <w:kern w:val="0"/>
                <w:sz w:val="21"/>
                <w:szCs w:val="21"/>
              </w:rPr>
              <w:t>11.1</w:t>
            </w:r>
            <w:r>
              <w:rPr>
                <w:rFonts w:hint="eastAsia" w:ascii="宋体" w:hAnsi="Calibri" w:cs="宋体"/>
                <w:kern w:val="0"/>
                <w:sz w:val="21"/>
                <w:szCs w:val="21"/>
              </w:rPr>
              <w:t>）</w:t>
            </w:r>
          </w:p>
        </w:tc>
        <w:tc>
          <w:tcPr>
            <w:tcW w:w="2549" w:type="dxa"/>
            <w:shd w:val="clear" w:color="auto" w:fill="auto"/>
            <w:vAlign w:val="center"/>
          </w:tcPr>
          <w:p>
            <w:pPr>
              <w:pStyle w:val="97"/>
            </w:pPr>
            <w:r>
              <w:rPr>
                <w:rFonts w:hint="eastAsia"/>
              </w:rPr>
              <w:t>原子吸收分光光度计</w:t>
            </w:r>
          </w:p>
          <w:p>
            <w:pPr>
              <w:pStyle w:val="97"/>
            </w:pPr>
            <w:r>
              <w:rPr>
                <w:rFonts w:hint="eastAsia"/>
              </w:rPr>
              <w:t>SP-3500AA（4AT）</w:t>
            </w:r>
          </w:p>
          <w:p>
            <w:pPr>
              <w:pStyle w:val="97"/>
              <w:snapToGrid w:val="0"/>
            </w:pPr>
            <w:r>
              <w:t>ZXJC-YO-083</w:t>
            </w:r>
          </w:p>
        </w:tc>
        <w:tc>
          <w:tcPr>
            <w:tcW w:w="1256" w:type="dxa"/>
            <w:shd w:val="clear" w:color="auto" w:fill="auto"/>
            <w:vAlign w:val="center"/>
          </w:tcPr>
          <w:p>
            <w:pPr>
              <w:pStyle w:val="97"/>
              <w:snapToGrid w:val="0"/>
            </w:pPr>
            <w:r>
              <w:t>2.5μg/L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20</w:t>
            </w:r>
          </w:p>
        </w:tc>
        <w:tc>
          <w:tcPr>
            <w:tcW w:w="1148" w:type="dxa"/>
            <w:shd w:val="clear" w:color="auto" w:fill="auto"/>
            <w:vAlign w:val="center"/>
          </w:tcPr>
          <w:p>
            <w:pPr>
              <w:pStyle w:val="97"/>
              <w:snapToGrid w:val="0"/>
            </w:pPr>
            <w:r>
              <w:t>氟化物</w:t>
            </w:r>
          </w:p>
        </w:tc>
        <w:tc>
          <w:tcPr>
            <w:tcW w:w="3603" w:type="dxa"/>
            <w:shd w:val="clear" w:color="auto" w:fill="auto"/>
            <w:vAlign w:val="center"/>
          </w:tcPr>
          <w:p>
            <w:pPr>
              <w:pStyle w:val="97"/>
            </w:pPr>
            <w:r>
              <w:rPr>
                <w:rFonts w:hint="eastAsia"/>
              </w:rPr>
              <w:t>生活饮用水标准检验方法</w:t>
            </w:r>
          </w:p>
          <w:p>
            <w:pPr>
              <w:pStyle w:val="97"/>
            </w:pPr>
            <w:r>
              <w:rPr>
                <w:rFonts w:hint="eastAsia"/>
              </w:rPr>
              <w:t>无机非金属指标</w:t>
            </w:r>
          </w:p>
          <w:p>
            <w:pPr>
              <w:pStyle w:val="97"/>
            </w:pPr>
            <w:r>
              <w:rPr>
                <w:rFonts w:hint="eastAsia"/>
              </w:rPr>
              <w:t>离子选择电极法</w:t>
            </w:r>
          </w:p>
          <w:p>
            <w:pPr>
              <w:pStyle w:val="97"/>
              <w:snapToGrid w:val="0"/>
            </w:pPr>
            <w:r>
              <w:rPr>
                <w:rFonts w:hint="eastAsia"/>
              </w:rPr>
              <w:t>GB/T 5750.5-2006（3.1）</w:t>
            </w:r>
          </w:p>
        </w:tc>
        <w:tc>
          <w:tcPr>
            <w:tcW w:w="2549" w:type="dxa"/>
            <w:shd w:val="clear" w:color="auto" w:fill="auto"/>
            <w:vAlign w:val="center"/>
          </w:tcPr>
          <w:p>
            <w:pPr>
              <w:pStyle w:val="97"/>
            </w:pPr>
            <w:r>
              <w:rPr>
                <w:rFonts w:hint="eastAsia"/>
              </w:rPr>
              <w:t>离子计/</w:t>
            </w:r>
          </w:p>
          <w:p>
            <w:pPr>
              <w:pStyle w:val="97"/>
            </w:pPr>
            <w:r>
              <w:t>PXSJ-216F/</w:t>
            </w:r>
          </w:p>
          <w:p>
            <w:pPr>
              <w:pStyle w:val="97"/>
              <w:snapToGrid w:val="0"/>
            </w:pPr>
            <w:r>
              <w:t>ZXJC-YQ-017</w:t>
            </w:r>
          </w:p>
        </w:tc>
        <w:tc>
          <w:tcPr>
            <w:tcW w:w="1256" w:type="dxa"/>
            <w:shd w:val="clear" w:color="auto" w:fill="auto"/>
            <w:vAlign w:val="center"/>
          </w:tcPr>
          <w:p>
            <w:pPr>
              <w:pStyle w:val="97"/>
              <w:snapToGrid w:val="0"/>
            </w:pPr>
            <w:r>
              <w:t>0.05mg/L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21</w:t>
            </w:r>
          </w:p>
        </w:tc>
        <w:tc>
          <w:tcPr>
            <w:tcW w:w="1148" w:type="dxa"/>
            <w:shd w:val="clear" w:color="auto" w:fill="auto"/>
            <w:vAlign w:val="center"/>
          </w:tcPr>
          <w:p>
            <w:pPr>
              <w:pStyle w:val="97"/>
              <w:snapToGrid w:val="0"/>
            </w:pPr>
            <w:r>
              <w:t>镉</w:t>
            </w:r>
          </w:p>
        </w:tc>
        <w:tc>
          <w:tcPr>
            <w:tcW w:w="3603" w:type="dxa"/>
            <w:shd w:val="clear" w:color="auto" w:fill="auto"/>
            <w:vAlign w:val="center"/>
          </w:tcPr>
          <w:p>
            <w:pPr>
              <w:pStyle w:val="97"/>
            </w:pPr>
            <w:r>
              <w:rPr>
                <w:rFonts w:hint="eastAsia"/>
              </w:rPr>
              <w:t>生活饮用水标准检验方法金属指标</w:t>
            </w:r>
          </w:p>
          <w:p>
            <w:pPr>
              <w:pStyle w:val="97"/>
            </w:pPr>
            <w:r>
              <w:rPr>
                <w:rFonts w:hint="eastAsia"/>
              </w:rPr>
              <w:t>无火焰原子吸收分光光度法</w:t>
            </w:r>
          </w:p>
          <w:p>
            <w:pPr>
              <w:pStyle w:val="97"/>
              <w:snapToGrid w:val="0"/>
            </w:pPr>
            <w:r>
              <w:rPr>
                <w:rFonts w:hint="eastAsia"/>
              </w:rPr>
              <w:t>GB/T 5750.6-2006（11.1）</w:t>
            </w:r>
          </w:p>
        </w:tc>
        <w:tc>
          <w:tcPr>
            <w:tcW w:w="2549" w:type="dxa"/>
            <w:vMerge w:val="restart"/>
            <w:shd w:val="clear" w:color="auto" w:fill="auto"/>
            <w:vAlign w:val="center"/>
          </w:tcPr>
          <w:p>
            <w:pPr>
              <w:pStyle w:val="97"/>
            </w:pPr>
            <w:r>
              <w:rPr>
                <w:rFonts w:hint="eastAsia"/>
              </w:rPr>
              <w:t>原子吸收分光光度计</w:t>
            </w:r>
          </w:p>
          <w:p>
            <w:pPr>
              <w:pStyle w:val="97"/>
            </w:pPr>
            <w:r>
              <w:rPr>
                <w:rFonts w:hint="eastAsia"/>
              </w:rPr>
              <w:t>SP-3500AA（4AT）</w:t>
            </w:r>
          </w:p>
          <w:p>
            <w:pPr>
              <w:pStyle w:val="97"/>
              <w:snapToGrid w:val="0"/>
            </w:pPr>
            <w:r>
              <w:t>ZXJC-YQ-083</w:t>
            </w:r>
          </w:p>
        </w:tc>
        <w:tc>
          <w:tcPr>
            <w:tcW w:w="1256" w:type="dxa"/>
            <w:shd w:val="clear" w:color="auto" w:fill="auto"/>
            <w:vAlign w:val="center"/>
          </w:tcPr>
          <w:p>
            <w:pPr>
              <w:pStyle w:val="97"/>
              <w:snapToGrid w:val="0"/>
            </w:pPr>
            <w:r>
              <w:t>0.5μg/L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22</w:t>
            </w:r>
          </w:p>
        </w:tc>
        <w:tc>
          <w:tcPr>
            <w:tcW w:w="1148" w:type="dxa"/>
            <w:shd w:val="clear" w:color="auto" w:fill="auto"/>
            <w:vAlign w:val="center"/>
          </w:tcPr>
          <w:p>
            <w:pPr>
              <w:pStyle w:val="97"/>
              <w:snapToGrid w:val="0"/>
            </w:pPr>
            <w:r>
              <w:t>铁</w:t>
            </w:r>
          </w:p>
        </w:tc>
        <w:tc>
          <w:tcPr>
            <w:tcW w:w="3603" w:type="dxa"/>
            <w:vMerge w:val="restart"/>
            <w:shd w:val="clear" w:color="auto" w:fill="auto"/>
            <w:vAlign w:val="center"/>
          </w:tcPr>
          <w:p>
            <w:pPr>
              <w:pStyle w:val="97"/>
              <w:snapToGrid w:val="0"/>
            </w:pPr>
            <w:r>
              <w:rPr>
                <w:rFonts w:hint="eastAsia"/>
              </w:rPr>
              <w:t>水质铁、锰的测定</w:t>
            </w:r>
          </w:p>
          <w:p>
            <w:pPr>
              <w:pStyle w:val="97"/>
              <w:snapToGrid w:val="0"/>
            </w:pPr>
            <w:r>
              <w:rPr>
                <w:rFonts w:hint="eastAsia"/>
              </w:rPr>
              <w:t>火焰原子吸收分光光度法</w:t>
            </w:r>
          </w:p>
          <w:p>
            <w:pPr>
              <w:pStyle w:val="97"/>
              <w:snapToGrid w:val="0"/>
            </w:pPr>
            <w:r>
              <w:t>GB/T 11911-1989</w:t>
            </w:r>
          </w:p>
        </w:tc>
        <w:tc>
          <w:tcPr>
            <w:tcW w:w="2549" w:type="dxa"/>
            <w:vMerge w:val="continue"/>
            <w:shd w:val="clear" w:color="auto" w:fill="auto"/>
            <w:vAlign w:val="center"/>
          </w:tcPr>
          <w:p>
            <w:pPr>
              <w:pStyle w:val="97"/>
              <w:snapToGrid w:val="0"/>
            </w:pPr>
          </w:p>
        </w:tc>
        <w:tc>
          <w:tcPr>
            <w:tcW w:w="1256" w:type="dxa"/>
            <w:shd w:val="clear" w:color="auto" w:fill="auto"/>
          </w:tcPr>
          <w:p>
            <w:pPr>
              <w:pStyle w:val="97"/>
              <w:snapToGrid w:val="0"/>
            </w:pPr>
            <w:r>
              <w:t>0.03mg/L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23</w:t>
            </w:r>
          </w:p>
        </w:tc>
        <w:tc>
          <w:tcPr>
            <w:tcW w:w="1148" w:type="dxa"/>
            <w:shd w:val="clear" w:color="auto" w:fill="auto"/>
            <w:vAlign w:val="center"/>
          </w:tcPr>
          <w:p>
            <w:pPr>
              <w:pStyle w:val="97"/>
              <w:snapToGrid w:val="0"/>
            </w:pPr>
            <w:r>
              <w:t>锰</w:t>
            </w:r>
          </w:p>
        </w:tc>
        <w:tc>
          <w:tcPr>
            <w:tcW w:w="3603" w:type="dxa"/>
            <w:vMerge w:val="continue"/>
            <w:shd w:val="clear" w:color="auto" w:fill="auto"/>
            <w:vAlign w:val="center"/>
          </w:tcPr>
          <w:p>
            <w:pPr>
              <w:pStyle w:val="97"/>
              <w:snapToGrid w:val="0"/>
            </w:pPr>
          </w:p>
        </w:tc>
        <w:tc>
          <w:tcPr>
            <w:tcW w:w="2549" w:type="dxa"/>
            <w:vMerge w:val="continue"/>
            <w:shd w:val="clear" w:color="auto" w:fill="auto"/>
            <w:vAlign w:val="center"/>
          </w:tcPr>
          <w:p>
            <w:pPr>
              <w:pStyle w:val="97"/>
              <w:snapToGrid w:val="0"/>
            </w:pPr>
          </w:p>
        </w:tc>
        <w:tc>
          <w:tcPr>
            <w:tcW w:w="1256" w:type="dxa"/>
            <w:shd w:val="clear" w:color="auto" w:fill="auto"/>
          </w:tcPr>
          <w:p>
            <w:pPr>
              <w:pStyle w:val="97"/>
              <w:snapToGrid w:val="0"/>
            </w:pPr>
            <w:r>
              <w:t>0.01mg/L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24</w:t>
            </w:r>
          </w:p>
        </w:tc>
        <w:tc>
          <w:tcPr>
            <w:tcW w:w="1148" w:type="dxa"/>
            <w:shd w:val="clear" w:color="auto" w:fill="auto"/>
            <w:vAlign w:val="center"/>
          </w:tcPr>
          <w:p>
            <w:pPr>
              <w:pStyle w:val="97"/>
              <w:snapToGrid w:val="0"/>
            </w:pPr>
            <w:r>
              <w:t>溶解性总固体</w:t>
            </w:r>
          </w:p>
        </w:tc>
        <w:tc>
          <w:tcPr>
            <w:tcW w:w="3603" w:type="dxa"/>
            <w:shd w:val="clear" w:color="auto" w:fill="auto"/>
            <w:vAlign w:val="center"/>
          </w:tcPr>
          <w:p>
            <w:pPr>
              <w:pStyle w:val="97"/>
              <w:snapToGrid w:val="0"/>
            </w:pPr>
            <w:r>
              <w:rPr>
                <w:rFonts w:hint="eastAsia"/>
              </w:rPr>
              <w:t>生活饮用水标准检验方法</w:t>
            </w:r>
          </w:p>
          <w:p>
            <w:pPr>
              <w:pStyle w:val="97"/>
              <w:snapToGrid w:val="0"/>
            </w:pPr>
            <w:r>
              <w:rPr>
                <w:rFonts w:hint="eastAsia"/>
              </w:rPr>
              <w:t>感官性状和物理指标</w:t>
            </w:r>
          </w:p>
          <w:p>
            <w:pPr>
              <w:pStyle w:val="97"/>
              <w:snapToGrid w:val="0"/>
            </w:pPr>
            <w:r>
              <w:rPr>
                <w:rFonts w:hint="eastAsia"/>
              </w:rPr>
              <w:t>称量法</w:t>
            </w:r>
          </w:p>
          <w:p>
            <w:pPr>
              <w:pStyle w:val="97"/>
              <w:snapToGrid w:val="0"/>
            </w:pPr>
            <w:r>
              <w:t>GB/T 5750.4-2006</w:t>
            </w:r>
            <w:r>
              <w:rPr>
                <w:rFonts w:hint="eastAsia"/>
              </w:rPr>
              <w:t>（</w:t>
            </w:r>
            <w:r>
              <w:t>8.1</w:t>
            </w:r>
            <w:r>
              <w:rPr>
                <w:rFonts w:hint="eastAsia"/>
              </w:rPr>
              <w:t>）</w:t>
            </w:r>
          </w:p>
        </w:tc>
        <w:tc>
          <w:tcPr>
            <w:tcW w:w="2549" w:type="dxa"/>
            <w:shd w:val="clear" w:color="auto" w:fill="auto"/>
            <w:vAlign w:val="center"/>
          </w:tcPr>
          <w:p>
            <w:pPr>
              <w:pStyle w:val="97"/>
              <w:snapToGrid w:val="0"/>
              <w:jc w:val="both"/>
            </w:pPr>
            <w:r>
              <w:t>PR</w:t>
            </w:r>
            <w:r>
              <w:rPr>
                <w:lang w:val="zh-CN"/>
              </w:rPr>
              <w:t>系列天平</w:t>
            </w:r>
            <w:r>
              <w:t>（</w:t>
            </w:r>
            <w:r>
              <w:rPr>
                <w:lang w:val="zh-CN"/>
              </w:rPr>
              <w:t>万分之一</w:t>
            </w:r>
            <w:r>
              <w:t>）</w:t>
            </w:r>
          </w:p>
          <w:p>
            <w:pPr>
              <w:pStyle w:val="97"/>
              <w:snapToGrid w:val="0"/>
            </w:pPr>
            <w:r>
              <w:t>/PR224ZH/E/</w:t>
            </w:r>
          </w:p>
          <w:p>
            <w:pPr>
              <w:pStyle w:val="97"/>
              <w:snapToGrid w:val="0"/>
            </w:pPr>
            <w:r>
              <w:t>ZXJC-YQ-022</w:t>
            </w:r>
          </w:p>
        </w:tc>
        <w:tc>
          <w:tcPr>
            <w:tcW w:w="1256" w:type="dxa"/>
            <w:shd w:val="clear" w:color="auto" w:fill="auto"/>
            <w:vAlign w:val="center"/>
          </w:tcPr>
          <w:p>
            <w:pPr>
              <w:pStyle w:val="97"/>
              <w:snapToGrid w:val="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25</w:t>
            </w:r>
          </w:p>
        </w:tc>
        <w:tc>
          <w:tcPr>
            <w:tcW w:w="1148" w:type="dxa"/>
            <w:shd w:val="clear" w:color="auto" w:fill="auto"/>
            <w:vAlign w:val="center"/>
          </w:tcPr>
          <w:p>
            <w:pPr>
              <w:pStyle w:val="97"/>
              <w:snapToGrid w:val="0"/>
            </w:pPr>
            <w:r>
              <w:t>耗氧量</w:t>
            </w:r>
          </w:p>
        </w:tc>
        <w:tc>
          <w:tcPr>
            <w:tcW w:w="3603" w:type="dxa"/>
            <w:shd w:val="clear" w:color="auto" w:fill="auto"/>
            <w:vAlign w:val="center"/>
          </w:tcPr>
          <w:p>
            <w:pPr>
              <w:pStyle w:val="97"/>
              <w:snapToGrid w:val="0"/>
            </w:pPr>
            <w:r>
              <w:rPr>
                <w:rFonts w:hint="eastAsia"/>
              </w:rPr>
              <w:t>生活饮用水标准检验方法</w:t>
            </w:r>
          </w:p>
          <w:p>
            <w:pPr>
              <w:pStyle w:val="97"/>
              <w:snapToGrid w:val="0"/>
            </w:pPr>
            <w:r>
              <w:rPr>
                <w:rFonts w:hint="eastAsia"/>
              </w:rPr>
              <w:t>有机物综合指标酸性高锰酸钾滴定法</w:t>
            </w:r>
          </w:p>
          <w:p>
            <w:pPr>
              <w:pStyle w:val="97"/>
              <w:snapToGrid w:val="0"/>
            </w:pPr>
            <w:r>
              <w:t xml:space="preserve">GB/T 5750.7-2006 </w:t>
            </w:r>
            <w:r>
              <w:rPr>
                <w:rFonts w:hint="eastAsia"/>
              </w:rPr>
              <w:t>（</w:t>
            </w:r>
            <w:r>
              <w:t>1.1</w:t>
            </w:r>
            <w:r>
              <w:rPr>
                <w:rFonts w:hint="eastAsia"/>
              </w:rPr>
              <w:t>）</w:t>
            </w:r>
          </w:p>
        </w:tc>
        <w:tc>
          <w:tcPr>
            <w:tcW w:w="2549" w:type="dxa"/>
            <w:shd w:val="clear" w:color="auto" w:fill="auto"/>
            <w:vAlign w:val="center"/>
          </w:tcPr>
          <w:p>
            <w:pPr>
              <w:pStyle w:val="97"/>
            </w:pPr>
            <w:r>
              <w:rPr>
                <w:rFonts w:hint="eastAsia"/>
              </w:rPr>
              <w:t>50ml滴定管</w:t>
            </w:r>
          </w:p>
          <w:p>
            <w:pPr>
              <w:pStyle w:val="97"/>
              <w:snapToGrid w:val="0"/>
            </w:pPr>
            <w:r>
              <w:rPr>
                <w:rFonts w:hint="eastAsia"/>
              </w:rPr>
              <w:t>A级</w:t>
            </w:r>
          </w:p>
        </w:tc>
        <w:tc>
          <w:tcPr>
            <w:tcW w:w="1256" w:type="dxa"/>
            <w:shd w:val="clear" w:color="auto" w:fill="auto"/>
            <w:vAlign w:val="center"/>
          </w:tcPr>
          <w:p>
            <w:pPr>
              <w:pStyle w:val="97"/>
              <w:snapToGrid w:val="0"/>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rPr>
        <w:tc>
          <w:tcPr>
            <w:tcW w:w="721" w:type="dxa"/>
            <w:shd w:val="clear" w:color="auto" w:fill="auto"/>
            <w:vAlign w:val="center"/>
          </w:tcPr>
          <w:p>
            <w:pPr>
              <w:pStyle w:val="97"/>
              <w:snapToGrid w:val="0"/>
            </w:pPr>
            <w:r>
              <w:t>26</w:t>
            </w:r>
          </w:p>
        </w:tc>
        <w:tc>
          <w:tcPr>
            <w:tcW w:w="1148" w:type="dxa"/>
            <w:shd w:val="clear" w:color="auto" w:fill="auto"/>
            <w:vAlign w:val="center"/>
          </w:tcPr>
          <w:p>
            <w:pPr>
              <w:pStyle w:val="97"/>
              <w:snapToGrid w:val="0"/>
            </w:pPr>
            <w:r>
              <w:t>总大肠菌群</w:t>
            </w:r>
          </w:p>
        </w:tc>
        <w:tc>
          <w:tcPr>
            <w:tcW w:w="3603" w:type="dxa"/>
            <w:shd w:val="clear" w:color="auto" w:fill="auto"/>
            <w:vAlign w:val="center"/>
          </w:tcPr>
          <w:p>
            <w:pPr>
              <w:pStyle w:val="97"/>
              <w:snapToGrid w:val="0"/>
            </w:pPr>
            <w:r>
              <w:rPr>
                <w:rFonts w:hint="eastAsia"/>
              </w:rPr>
              <w:t>生活饮用水标准检测方法</w:t>
            </w:r>
          </w:p>
          <w:p>
            <w:pPr>
              <w:pStyle w:val="97"/>
              <w:snapToGrid w:val="0"/>
            </w:pPr>
            <w:r>
              <w:rPr>
                <w:rFonts w:hint="eastAsia"/>
              </w:rPr>
              <w:t>微生物指标</w:t>
            </w:r>
          </w:p>
          <w:p>
            <w:pPr>
              <w:pStyle w:val="97"/>
              <w:snapToGrid w:val="0"/>
            </w:pPr>
            <w:r>
              <w:t>GB/T 5750.12-2006</w:t>
            </w:r>
            <w:r>
              <w:rPr>
                <w:rFonts w:hint="eastAsia"/>
              </w:rPr>
              <w:t>（</w:t>
            </w:r>
            <w:r>
              <w:t>2.1</w:t>
            </w:r>
            <w:r>
              <w:rPr>
                <w:rFonts w:hint="eastAsia"/>
              </w:rPr>
              <w:t>）</w:t>
            </w:r>
          </w:p>
        </w:tc>
        <w:tc>
          <w:tcPr>
            <w:tcW w:w="2549" w:type="dxa"/>
            <w:shd w:val="clear" w:color="auto" w:fill="auto"/>
            <w:vAlign w:val="center"/>
          </w:tcPr>
          <w:p>
            <w:pPr>
              <w:pStyle w:val="97"/>
            </w:pPr>
            <w:r>
              <w:rPr>
                <w:rFonts w:hint="eastAsia"/>
              </w:rPr>
              <w:t>恒温恒湿箱</w:t>
            </w:r>
          </w:p>
          <w:p>
            <w:pPr>
              <w:pStyle w:val="97"/>
            </w:pPr>
            <w:r>
              <w:t>HWS-70B</w:t>
            </w:r>
          </w:p>
          <w:p>
            <w:pPr>
              <w:pStyle w:val="97"/>
              <w:snapToGrid w:val="0"/>
            </w:pPr>
            <w:r>
              <w:t>BRJC-YQ-035</w:t>
            </w:r>
          </w:p>
        </w:tc>
        <w:tc>
          <w:tcPr>
            <w:tcW w:w="1256" w:type="dxa"/>
            <w:shd w:val="clear" w:color="auto" w:fill="auto"/>
            <w:vAlign w:val="center"/>
          </w:tcPr>
          <w:p>
            <w:pPr>
              <w:pStyle w:val="97"/>
              <w:snapToGrid w:val="0"/>
            </w:pPr>
            <w:r>
              <w:t>/</w:t>
            </w:r>
          </w:p>
        </w:tc>
      </w:tr>
    </w:tbl>
    <w:p>
      <w:pPr>
        <w:pStyle w:val="5"/>
      </w:pPr>
      <w:r>
        <w:rPr>
          <w:rFonts w:hint="eastAsia"/>
        </w:rPr>
        <w:t>评价</w:t>
      </w:r>
      <w:r>
        <w:t>标准及方法</w:t>
      </w:r>
    </w:p>
    <w:p>
      <w:pPr>
        <w:pStyle w:val="87"/>
        <w:ind w:firstLine="480"/>
        <w:rPr>
          <w:rFonts w:cs="Times New Roman"/>
        </w:rPr>
      </w:pPr>
      <w:r>
        <w:rPr>
          <w:rFonts w:hint="eastAsia" w:ascii="宋体" w:hAnsi="宋体" w:cs="宋体"/>
        </w:rPr>
        <w:t>（1）</w:t>
      </w:r>
      <w:r>
        <w:rPr>
          <w:rFonts w:cs="Times New Roman"/>
        </w:rPr>
        <w:t>评价标准</w:t>
      </w:r>
    </w:p>
    <w:p>
      <w:pPr>
        <w:pStyle w:val="87"/>
        <w:ind w:firstLine="480"/>
        <w:rPr>
          <w:rFonts w:cs="Times New Roman"/>
        </w:rPr>
      </w:pPr>
      <w:r>
        <w:rPr>
          <w:rFonts w:cs="Times New Roman"/>
        </w:rPr>
        <w:t>地下水水质执行《地下水质量标准》(</w:t>
      </w:r>
      <w:r>
        <w:rPr>
          <w:rFonts w:cs="Times New Roman"/>
          <w:bCs/>
        </w:rPr>
        <w:t>GB/T 14848-2017</w:t>
      </w:r>
      <w:r>
        <w:rPr>
          <w:rFonts w:cs="Times New Roman"/>
        </w:rPr>
        <w:t>)中</w:t>
      </w:r>
      <w:r>
        <w:rPr>
          <w:rFonts w:hint="eastAsia" w:ascii="宋体" w:hAnsi="宋体" w:cs="宋体"/>
        </w:rPr>
        <w:t>Ⅲ</w:t>
      </w:r>
      <w:r>
        <w:rPr>
          <w:rFonts w:cs="Times New Roman"/>
        </w:rPr>
        <w:t>类标准。</w:t>
      </w:r>
    </w:p>
    <w:p>
      <w:pPr>
        <w:pStyle w:val="87"/>
        <w:ind w:firstLine="480"/>
        <w:rPr>
          <w:rFonts w:cs="Times New Roman"/>
        </w:rPr>
      </w:pPr>
      <w:r>
        <w:rPr>
          <w:rFonts w:cs="Times New Roman"/>
        </w:rPr>
        <w:t>（2）评价方法</w:t>
      </w:r>
    </w:p>
    <w:p>
      <w:pPr>
        <w:pStyle w:val="87"/>
        <w:ind w:firstLine="480"/>
        <w:rPr>
          <w:rFonts w:cs="Times New Roman"/>
        </w:rPr>
      </w:pPr>
      <w:r>
        <w:rPr>
          <w:rFonts w:cs="Times New Roman"/>
        </w:rPr>
        <w:t>采用标准指数法进行评价，标准指数大于1，表明该水质因子已超过了规定的水质标准。指数值越大，超标越严重。标准指数计算公式为：</w:t>
      </w:r>
    </w:p>
    <w:p>
      <w:pPr>
        <w:pStyle w:val="87"/>
        <w:ind w:firstLine="480"/>
        <w:jc w:val="center"/>
        <w:rPr>
          <w:rFonts w:cs="Times New Roman"/>
        </w:rPr>
      </w:pPr>
      <w:r>
        <w:rPr>
          <w:rFonts w:cs="Times New Roman"/>
        </w:rPr>
        <w:t>P</w:t>
      </w:r>
      <w:r>
        <w:rPr>
          <w:rFonts w:cs="Times New Roman"/>
          <w:vertAlign w:val="subscript"/>
        </w:rPr>
        <w:t>i</w:t>
      </w:r>
      <w:r>
        <w:rPr>
          <w:rFonts w:cs="Times New Roman"/>
        </w:rPr>
        <w:t>=C</w:t>
      </w:r>
      <w:r>
        <w:rPr>
          <w:rFonts w:cs="Times New Roman"/>
          <w:vertAlign w:val="subscript"/>
        </w:rPr>
        <w:t>i</w:t>
      </w:r>
      <w:r>
        <w:rPr>
          <w:rFonts w:cs="Times New Roman"/>
        </w:rPr>
        <w:t>/C</w:t>
      </w:r>
      <w:r>
        <w:rPr>
          <w:rFonts w:cs="Times New Roman"/>
          <w:vertAlign w:val="subscript"/>
        </w:rPr>
        <w:t>si</w:t>
      </w:r>
    </w:p>
    <w:p>
      <w:pPr>
        <w:pStyle w:val="87"/>
        <w:ind w:firstLine="480"/>
        <w:rPr>
          <w:rFonts w:cs="Times New Roman"/>
        </w:rPr>
      </w:pPr>
      <w:r>
        <w:rPr>
          <w:rFonts w:cs="Times New Roman"/>
        </w:rPr>
        <w:t>式中：P</w:t>
      </w:r>
      <w:r>
        <w:rPr>
          <w:rFonts w:cs="Times New Roman"/>
          <w:vertAlign w:val="subscript"/>
        </w:rPr>
        <w:t>i</w:t>
      </w:r>
      <w:r>
        <w:rPr>
          <w:rFonts w:cs="Times New Roman"/>
        </w:rPr>
        <w:t>—第i个水质因子的标准指数，无量纲；</w:t>
      </w:r>
    </w:p>
    <w:p>
      <w:pPr>
        <w:pStyle w:val="87"/>
        <w:ind w:firstLine="1200" w:firstLineChars="500"/>
        <w:rPr>
          <w:rFonts w:cs="Times New Roman"/>
        </w:rPr>
      </w:pPr>
      <w:r>
        <w:rPr>
          <w:rFonts w:cs="Times New Roman"/>
        </w:rPr>
        <w:t>C</w:t>
      </w:r>
      <w:r>
        <w:rPr>
          <w:rFonts w:cs="Times New Roman"/>
          <w:vertAlign w:val="subscript"/>
        </w:rPr>
        <w:t>i</w:t>
      </w:r>
      <w:r>
        <w:rPr>
          <w:rFonts w:cs="Times New Roman"/>
        </w:rPr>
        <w:t>—第i个水质因子的监测浓度值，mg/L；</w:t>
      </w:r>
    </w:p>
    <w:p>
      <w:pPr>
        <w:pStyle w:val="87"/>
        <w:ind w:firstLine="1200" w:firstLineChars="500"/>
        <w:rPr>
          <w:rFonts w:cs="Times New Roman"/>
        </w:rPr>
      </w:pPr>
      <w:r>
        <w:rPr>
          <w:rFonts w:cs="Times New Roman"/>
        </w:rPr>
        <w:t>C</w:t>
      </w:r>
      <w:r>
        <w:rPr>
          <w:rFonts w:cs="Times New Roman"/>
          <w:vertAlign w:val="subscript"/>
        </w:rPr>
        <w:t>si</w:t>
      </w:r>
      <w:r>
        <w:rPr>
          <w:rFonts w:cs="Times New Roman"/>
        </w:rPr>
        <w:t>—第i个水质因子的标准浓度值，mg/L。</w:t>
      </w:r>
    </w:p>
    <w:p>
      <w:pPr>
        <w:pStyle w:val="87"/>
        <w:ind w:firstLine="480"/>
        <w:rPr>
          <w:rFonts w:cs="Times New Roman"/>
        </w:rPr>
      </w:pPr>
      <w:r>
        <w:rPr>
          <w:rFonts w:cs="Times New Roman"/>
        </w:rPr>
        <w:t>对于pH为：</w:t>
      </w:r>
    </w:p>
    <w:p>
      <w:pPr>
        <w:pStyle w:val="87"/>
        <w:ind w:firstLine="480"/>
        <w:jc w:val="center"/>
        <w:rPr>
          <w:rFonts w:cs="Times New Roman"/>
        </w:rPr>
      </w:pPr>
      <m:oMath>
        <m:sSub>
          <m:sSubPr>
            <m:ctrlPr>
              <w:rPr>
                <w:rFonts w:ascii="Cambria Math" w:hAnsi="Cambria Math" w:cs="Times New Roman"/>
              </w:rPr>
            </m:ctrlPr>
          </m:sSubPr>
          <m:e>
            <m:r>
              <w:rPr>
                <w:rFonts w:ascii="Cambria Math" w:hAnsi="Cambria Math" w:cs="Times New Roman"/>
              </w:rPr>
              <m:t>P</m:t>
            </m:r>
            <m:ctrlPr>
              <w:rPr>
                <w:rFonts w:ascii="Cambria Math" w:hAnsi="Cambria Math" w:cs="Times New Roman"/>
              </w:rPr>
            </m:ctrlPr>
          </m:e>
          <m:sub>
            <m:r>
              <w:rPr>
                <w:rFonts w:ascii="Cambria Math" w:hAnsi="Cambria Math" w:cs="Times New Roman"/>
              </w:rPr>
              <m:t>pH</m:t>
            </m:r>
            <m:ctrlPr>
              <w:rPr>
                <w:rFonts w:ascii="Cambria Math" w:hAnsi="Cambria Math" w:cs="Times New Roman"/>
              </w:rPr>
            </m:ctrlP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7.0-pH</m:t>
            </m:r>
            <m:ctrlPr>
              <w:rPr>
                <w:rFonts w:ascii="Cambria Math" w:hAnsi="Cambria Math" w:cs="Times New Roman"/>
              </w:rPr>
            </m:ctrlPr>
          </m:num>
          <m:den>
            <m:r>
              <w:rPr>
                <w:rFonts w:ascii="Cambria Math" w:hAnsi="Cambria Math" w:cs="Times New Roman"/>
              </w:rPr>
              <m:t>7.0-</m:t>
            </m:r>
            <m:sSub>
              <m:sSubPr>
                <m:ctrlPr>
                  <w:rPr>
                    <w:rFonts w:ascii="Cambria Math" w:hAnsi="Cambria Math" w:cs="Times New Roman"/>
                  </w:rPr>
                </m:ctrlPr>
              </m:sSubPr>
              <m:e>
                <m:r>
                  <w:rPr>
                    <w:rFonts w:ascii="Cambria Math" w:hAnsi="Cambria Math" w:cs="Times New Roman"/>
                  </w:rPr>
                  <m:t>pH</m:t>
                </m:r>
                <m:ctrlPr>
                  <w:rPr>
                    <w:rFonts w:ascii="Cambria Math" w:hAnsi="Cambria Math" w:cs="Times New Roman"/>
                  </w:rPr>
                </m:ctrlPr>
              </m:e>
              <m:sub>
                <m:r>
                  <w:rPr>
                    <w:rFonts w:ascii="Cambria Math" w:hAnsi="Cambria Math" w:cs="Times New Roman"/>
                  </w:rPr>
                  <m:t>sd</m:t>
                </m:r>
                <m:ctrlPr>
                  <w:rPr>
                    <w:rFonts w:ascii="Cambria Math" w:hAnsi="Cambria Math" w:cs="Times New Roman"/>
                  </w:rPr>
                </m:ctrlPr>
              </m:sub>
            </m:sSub>
            <m:ctrlPr>
              <w:rPr>
                <w:rFonts w:ascii="Cambria Math" w:hAnsi="Cambria Math" w:cs="Times New Roman"/>
              </w:rPr>
            </m:ctrlPr>
          </m:den>
        </m:f>
        <m:r>
          <w:rPr>
            <w:rFonts w:ascii="Cambria Math" w:hAnsi="Cambria Math" w:cs="Times New Roman"/>
          </w:rPr>
          <m:t xml:space="preserve"> </m:t>
        </m:r>
        <m:r>
          <m:rPr>
            <m:sty m:val="p"/>
          </m:rPr>
          <w:rPr>
            <w:rFonts w:ascii="Cambria Math" w:hAnsi="Cambria Math" w:cs="Times New Roman"/>
          </w:rPr>
          <m:t xml:space="preserve">   </m:t>
        </m:r>
      </m:oMath>
      <w:r>
        <w:rPr>
          <w:rFonts w:cs="Times New Roman"/>
        </w:rPr>
        <w:t>(pH≤7.0时)</w:t>
      </w:r>
    </w:p>
    <w:p>
      <w:pPr>
        <w:pStyle w:val="87"/>
        <w:ind w:firstLine="480"/>
        <w:jc w:val="center"/>
        <w:rPr>
          <w:rFonts w:cs="Times New Roman"/>
        </w:rPr>
      </w:pPr>
      <m:oMath>
        <m:sSub>
          <m:sSubPr>
            <m:ctrlPr>
              <w:rPr>
                <w:rFonts w:ascii="Cambria Math" w:hAnsi="Cambria Math" w:cs="Times New Roman"/>
              </w:rPr>
            </m:ctrlPr>
          </m:sSubPr>
          <m:e>
            <m:r>
              <m:rPr>
                <m:sty m:val="p"/>
              </m:rPr>
              <w:rPr>
                <w:rFonts w:ascii="Cambria Math" w:hAnsi="Cambria Math" w:cs="Times New Roman"/>
              </w:rPr>
              <m:t>P</m:t>
            </m:r>
            <m:ctrlPr>
              <w:rPr>
                <w:rFonts w:ascii="Cambria Math" w:hAnsi="Cambria Math" w:cs="Times New Roman"/>
              </w:rPr>
            </m:ctrlPr>
          </m:e>
          <m:sub>
            <m:r>
              <m:rPr>
                <m:sty m:val="p"/>
              </m:rPr>
              <w:rPr>
                <w:rFonts w:ascii="Cambria Math" w:hAnsi="Cambria Math" w:cs="Times New Roman"/>
              </w:rPr>
              <m:t>pH</m:t>
            </m:r>
            <m:ctrlPr>
              <w:rPr>
                <w:rFonts w:ascii="Cambria Math" w:hAnsi="Cambria Math" w:cs="Times New Roman"/>
              </w:rPr>
            </m:ctrlP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pH-7.0</m:t>
            </m:r>
            <m:ctrlPr>
              <w:rPr>
                <w:rFonts w:ascii="Cambria Math" w:hAnsi="Cambria Math" w:cs="Times New Roman"/>
              </w:rPr>
            </m:ctrlPr>
          </m:num>
          <m:den>
            <m:sSub>
              <m:sSubPr>
                <m:ctrlPr>
                  <w:rPr>
                    <w:rFonts w:ascii="Cambria Math" w:hAnsi="Cambria Math" w:cs="Times New Roman"/>
                  </w:rPr>
                </m:ctrlPr>
              </m:sSubPr>
              <m:e>
                <m:r>
                  <m:rPr>
                    <m:sty m:val="p"/>
                  </m:rPr>
                  <w:rPr>
                    <w:rFonts w:ascii="Cambria Math" w:hAnsi="Cambria Math" w:cs="Times New Roman"/>
                  </w:rPr>
                  <m:t>pH</m:t>
                </m:r>
                <m:ctrlPr>
                  <w:rPr>
                    <w:rFonts w:ascii="Cambria Math" w:hAnsi="Cambria Math" w:cs="Times New Roman"/>
                  </w:rPr>
                </m:ctrlPr>
              </m:e>
              <m:sub>
                <m:r>
                  <m:rPr>
                    <m:sty m:val="p"/>
                  </m:rPr>
                  <w:rPr>
                    <w:rFonts w:ascii="Cambria Math" w:hAnsi="Cambria Math" w:cs="Times New Roman"/>
                  </w:rPr>
                  <m:t>su</m:t>
                </m:r>
                <m:ctrlPr>
                  <w:rPr>
                    <w:rFonts w:ascii="Cambria Math" w:hAnsi="Cambria Math" w:cs="Times New Roman"/>
                  </w:rPr>
                </m:ctrlPr>
              </m:sub>
            </m:sSub>
            <m:r>
              <m:rPr>
                <m:sty m:val="p"/>
              </m:rPr>
              <w:rPr>
                <w:rFonts w:ascii="Cambria Math" w:hAnsi="Cambria Math" w:cs="Times New Roman"/>
              </w:rPr>
              <m:t>-7.0</m:t>
            </m:r>
            <m:ctrlPr>
              <w:rPr>
                <w:rFonts w:ascii="Cambria Math" w:hAnsi="Cambria Math" w:cs="Times New Roman"/>
              </w:rPr>
            </m:ctrlPr>
          </m:den>
        </m:f>
        <m:r>
          <m:rPr>
            <m:sty m:val="p"/>
          </m:rPr>
          <w:rPr>
            <w:rFonts w:ascii="Cambria Math" w:hAnsi="Cambria Math" w:cs="Times New Roman"/>
          </w:rPr>
          <m:t xml:space="preserve"> </m:t>
        </m:r>
      </m:oMath>
      <w:r>
        <w:rPr>
          <w:rFonts w:cs="Times New Roman"/>
        </w:rPr>
        <w:t xml:space="preserve"> (pH＞7.0时)</w:t>
      </w:r>
    </w:p>
    <w:p>
      <w:pPr>
        <w:pStyle w:val="87"/>
        <w:ind w:firstLine="480"/>
        <w:rPr>
          <w:rFonts w:cs="Times New Roman"/>
        </w:rPr>
      </w:pPr>
      <w:r>
        <w:rPr>
          <w:rFonts w:cs="Times New Roman"/>
        </w:rPr>
        <w:t>式中：P</w:t>
      </w:r>
      <w:r>
        <w:rPr>
          <w:rFonts w:cs="Times New Roman"/>
          <w:vertAlign w:val="subscript"/>
        </w:rPr>
        <w:t>pH</w:t>
      </w:r>
      <w:r>
        <w:rPr>
          <w:rFonts w:cs="Times New Roman"/>
        </w:rPr>
        <w:t>—pH的标准指数，无量纲；</w:t>
      </w:r>
    </w:p>
    <w:p>
      <w:pPr>
        <w:pStyle w:val="87"/>
        <w:ind w:firstLine="1320" w:firstLineChars="550"/>
        <w:rPr>
          <w:rFonts w:cs="Times New Roman"/>
        </w:rPr>
      </w:pPr>
      <w:r>
        <w:rPr>
          <w:rFonts w:cs="Times New Roman"/>
        </w:rPr>
        <w:t>pH —pH监测值；</w:t>
      </w:r>
    </w:p>
    <w:p>
      <w:pPr>
        <w:pStyle w:val="87"/>
        <w:ind w:firstLine="1320" w:firstLineChars="550"/>
        <w:rPr>
          <w:rFonts w:cs="Times New Roman"/>
        </w:rPr>
      </w:pPr>
      <w:r>
        <w:rPr>
          <w:rFonts w:cs="Times New Roman"/>
        </w:rPr>
        <w:t>pH</w:t>
      </w:r>
      <w:r>
        <w:rPr>
          <w:rFonts w:cs="Times New Roman"/>
          <w:vertAlign w:val="subscript"/>
        </w:rPr>
        <w:t>su</w:t>
      </w:r>
      <w:r>
        <w:rPr>
          <w:rFonts w:cs="Times New Roman"/>
        </w:rPr>
        <w:t>—标准中pH的上限值；</w:t>
      </w:r>
    </w:p>
    <w:p>
      <w:pPr>
        <w:ind w:firstLine="480"/>
      </w:pPr>
      <w:r>
        <w:t>pH</w:t>
      </w:r>
      <w:r>
        <w:rPr>
          <w:vertAlign w:val="subscript"/>
        </w:rPr>
        <w:t>sd</w:t>
      </w:r>
      <w:r>
        <w:t>—标准中pH的下限值；</w:t>
      </w:r>
    </w:p>
    <w:p>
      <w:pPr>
        <w:pStyle w:val="5"/>
      </w:pPr>
      <w:r>
        <w:t>监测结果及分析</w:t>
      </w:r>
    </w:p>
    <w:p>
      <w:pPr>
        <w:ind w:firstLine="480"/>
        <w:rPr>
          <w:spacing w:val="4"/>
        </w:rPr>
      </w:pPr>
      <w:r>
        <w:t>地下水现状监测</w:t>
      </w:r>
      <w:r>
        <w:rPr>
          <w:rFonts w:hint="eastAsia"/>
        </w:rPr>
        <w:t>及</w:t>
      </w:r>
      <w:r>
        <w:t>评价结果统计表详见</w:t>
      </w:r>
      <w:r>
        <w:fldChar w:fldCharType="begin"/>
      </w:r>
      <w:r>
        <w:instrText xml:space="preserve"> REF _Ref27042783 \h  \* MERGEFORMAT </w:instrText>
      </w:r>
      <w:r>
        <w:fldChar w:fldCharType="separate"/>
      </w:r>
      <w:r>
        <w:t>表4.4</w:t>
      </w:r>
      <w:r>
        <w:noBreakHyphen/>
      </w:r>
      <w:r>
        <w:t>7</w:t>
      </w:r>
      <w:r>
        <w:fldChar w:fldCharType="end"/>
      </w:r>
      <w:r>
        <w:t>。</w:t>
      </w:r>
    </w:p>
    <w:p>
      <w:pPr>
        <w:spacing w:line="240" w:lineRule="auto"/>
        <w:ind w:firstLine="0" w:firstLineChars="0"/>
        <w:jc w:val="center"/>
        <w:rPr>
          <w:b/>
          <w:sz w:val="21"/>
          <w:szCs w:val="24"/>
        </w:rPr>
      </w:pPr>
      <w:bookmarkStart w:id="102" w:name="_Ref27042783"/>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4.4</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7</w:t>
      </w:r>
      <w:r>
        <w:rPr>
          <w:b/>
          <w:sz w:val="21"/>
          <w:szCs w:val="24"/>
        </w:rPr>
        <w:fldChar w:fldCharType="end"/>
      </w:r>
      <w:bookmarkEnd w:id="102"/>
      <w:r>
        <w:rPr>
          <w:b/>
          <w:sz w:val="21"/>
          <w:szCs w:val="24"/>
        </w:rPr>
        <w:t xml:space="preserve">   地下水质量现状监测及评价结果   </w:t>
      </w:r>
      <w:r>
        <w:rPr>
          <w:b/>
          <w:bCs/>
          <w:sz w:val="21"/>
          <w:szCs w:val="24"/>
        </w:rPr>
        <w:t>单位：mg/L，pH无量纲</w:t>
      </w:r>
    </w:p>
    <w:tbl>
      <w:tblPr>
        <w:tblStyle w:val="35"/>
        <w:tblW w:w="9040" w:type="dxa"/>
        <w:jc w:val="center"/>
        <w:tblInd w:w="0" w:type="dxa"/>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3"/>
        <w:gridCol w:w="1354"/>
        <w:gridCol w:w="1376"/>
        <w:gridCol w:w="1470"/>
        <w:gridCol w:w="1125"/>
        <w:gridCol w:w="993"/>
        <w:gridCol w:w="1417"/>
        <w:gridCol w:w="832"/>
      </w:tblGrid>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jc w:val="center"/>
        </w:trPr>
        <w:tc>
          <w:tcPr>
            <w:tcW w:w="473"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1354"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监测项目</w:t>
            </w:r>
          </w:p>
        </w:tc>
        <w:tc>
          <w:tcPr>
            <w:tcW w:w="3971" w:type="dxa"/>
            <w:gridSpan w:val="3"/>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监测结果（mg/L）</w:t>
            </w:r>
          </w:p>
        </w:tc>
        <w:tc>
          <w:tcPr>
            <w:tcW w:w="993"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标准（mg/L）</w:t>
            </w:r>
          </w:p>
        </w:tc>
        <w:tc>
          <w:tcPr>
            <w:tcW w:w="141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单因子指数</w:t>
            </w:r>
          </w:p>
        </w:tc>
        <w:tc>
          <w:tcPr>
            <w:tcW w:w="832"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达标情况</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jc w:val="center"/>
        </w:trPr>
        <w:tc>
          <w:tcPr>
            <w:tcW w:w="47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35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376" w:type="dxa"/>
            <w:vAlign w:val="center"/>
          </w:tcPr>
          <w:p>
            <w:pPr>
              <w:pStyle w:val="97"/>
            </w:pPr>
            <w:r>
              <w:rPr>
                <w:rFonts w:hint="eastAsia"/>
              </w:rPr>
              <w:t>1</w:t>
            </w:r>
            <w:r>
              <w:t>#</w:t>
            </w:r>
          </w:p>
        </w:tc>
        <w:tc>
          <w:tcPr>
            <w:tcW w:w="1470" w:type="dxa"/>
            <w:vAlign w:val="center"/>
          </w:tcPr>
          <w:p>
            <w:pPr>
              <w:pStyle w:val="97"/>
            </w:pPr>
            <w:r>
              <w:rPr>
                <w:rFonts w:hint="eastAsia"/>
              </w:rPr>
              <w:t>2</w:t>
            </w:r>
            <w:r>
              <w:t>#</w:t>
            </w:r>
          </w:p>
        </w:tc>
        <w:tc>
          <w:tcPr>
            <w:tcW w:w="1125" w:type="dxa"/>
            <w:vAlign w:val="center"/>
          </w:tcPr>
          <w:p>
            <w:pPr>
              <w:pStyle w:val="97"/>
            </w:pPr>
            <w:r>
              <w:rPr>
                <w:rFonts w:hint="eastAsia"/>
              </w:rPr>
              <w:t>3</w:t>
            </w:r>
            <w:r>
              <w:t>#</w:t>
            </w:r>
          </w:p>
        </w:tc>
        <w:tc>
          <w:tcPr>
            <w:tcW w:w="99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41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832"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pH</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7.25</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7.01</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7.54</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6.5-8.5</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0.007~0.36</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氨氮</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0.234</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0.249</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0.234</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≤0.5</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0.47~0.50</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硝酸盐氮</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2.73</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1.09</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1.10</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0.05~0.14</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亚硝酸盐氮</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0.002</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0.020</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0.020</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挥发酚</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0.0011</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0.0008</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0.0006</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≤0.002</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氰化物</w:t>
            </w:r>
          </w:p>
        </w:tc>
        <w:tc>
          <w:tcPr>
            <w:tcW w:w="1376" w:type="dxa"/>
            <w:vAlign w:val="center"/>
          </w:tcPr>
          <w:p>
            <w:pPr>
              <w:ind w:firstLine="440"/>
              <w:jc w:val="center"/>
            </w:pPr>
            <w:r>
              <w:rPr>
                <w:kern w:val="0"/>
                <w:sz w:val="22"/>
                <w:szCs w:val="20"/>
              </w:rPr>
              <w:t>0.002ND</w:t>
            </w:r>
          </w:p>
        </w:tc>
        <w:tc>
          <w:tcPr>
            <w:tcW w:w="1470" w:type="dxa"/>
            <w:vAlign w:val="center"/>
          </w:tcPr>
          <w:p>
            <w:pPr>
              <w:ind w:firstLine="440"/>
              <w:jc w:val="center"/>
            </w:pPr>
            <w:r>
              <w:rPr>
                <w:kern w:val="0"/>
                <w:sz w:val="22"/>
                <w:szCs w:val="20"/>
              </w:rPr>
              <w:t>0.002ND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0.002ND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≤0.05</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砷</w:t>
            </w:r>
          </w:p>
        </w:tc>
        <w:tc>
          <w:tcPr>
            <w:tcW w:w="1376" w:type="dxa"/>
            <w:vAlign w:val="center"/>
          </w:tcPr>
          <w:p>
            <w:pPr>
              <w:pStyle w:val="97"/>
            </w:pPr>
            <w:r>
              <w:t>3.0×10</w:t>
            </w:r>
            <w:r>
              <w:rPr>
                <w:vertAlign w:val="superscript"/>
              </w:rPr>
              <w:t>-4</w:t>
            </w:r>
            <w:r>
              <w:t xml:space="preserve"> ND</w:t>
            </w:r>
          </w:p>
        </w:tc>
        <w:tc>
          <w:tcPr>
            <w:tcW w:w="1470" w:type="dxa"/>
            <w:vAlign w:val="center"/>
          </w:tcPr>
          <w:p>
            <w:pPr>
              <w:pStyle w:val="97"/>
            </w:pPr>
            <w:r>
              <w:t>3.0×10</w:t>
            </w:r>
            <w:r>
              <w:rPr>
                <w:vertAlign w:val="superscript"/>
              </w:rPr>
              <w:t>-4</w:t>
            </w:r>
            <w:r>
              <w:t xml:space="preserve"> 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3.0×10</w:t>
            </w:r>
            <w:r>
              <w:rPr>
                <w:kern w:val="0"/>
                <w:sz w:val="22"/>
                <w:szCs w:val="20"/>
                <w:vertAlign w:val="superscript"/>
              </w:rPr>
              <w:t>-4</w:t>
            </w:r>
            <w:r>
              <w:rPr>
                <w:kern w:val="0"/>
                <w:sz w:val="22"/>
                <w:szCs w:val="20"/>
              </w:rPr>
              <w:t xml:space="preserve"> 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≤0.01</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汞</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4.0×10</w:t>
            </w:r>
            <w:r>
              <w:rPr>
                <w:kern w:val="0"/>
                <w:sz w:val="22"/>
                <w:szCs w:val="20"/>
                <w:vertAlign w:val="superscript"/>
              </w:rPr>
              <w:t>-5</w:t>
            </w:r>
            <w:r>
              <w:rPr>
                <w:kern w:val="0"/>
                <w:sz w:val="22"/>
                <w:szCs w:val="20"/>
              </w:rPr>
              <w:t>ND</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4.0×10</w:t>
            </w:r>
            <w:r>
              <w:rPr>
                <w:kern w:val="0"/>
                <w:sz w:val="22"/>
                <w:szCs w:val="20"/>
                <w:vertAlign w:val="superscript"/>
              </w:rPr>
              <w:t>-5</w:t>
            </w:r>
            <w:r>
              <w:rPr>
                <w:kern w:val="0"/>
                <w:sz w:val="22"/>
                <w:szCs w:val="20"/>
              </w:rPr>
              <w:t>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4.0×10</w:t>
            </w:r>
            <w:r>
              <w:rPr>
                <w:kern w:val="0"/>
                <w:sz w:val="22"/>
                <w:szCs w:val="20"/>
                <w:vertAlign w:val="superscript"/>
              </w:rPr>
              <w:t>-5</w:t>
            </w:r>
            <w:r>
              <w:rPr>
                <w:kern w:val="0"/>
                <w:sz w:val="22"/>
                <w:szCs w:val="20"/>
              </w:rPr>
              <w:t>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≤0.001</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六价铬</w:t>
            </w:r>
          </w:p>
        </w:tc>
        <w:tc>
          <w:tcPr>
            <w:tcW w:w="1376" w:type="dxa"/>
            <w:vAlign w:val="center"/>
          </w:tcPr>
          <w:p>
            <w:pPr>
              <w:pStyle w:val="97"/>
            </w:pPr>
            <w:r>
              <w:t>0.004ND</w:t>
            </w:r>
          </w:p>
        </w:tc>
        <w:tc>
          <w:tcPr>
            <w:tcW w:w="1470" w:type="dxa"/>
            <w:vAlign w:val="center"/>
          </w:tcPr>
          <w:p>
            <w:pPr>
              <w:pStyle w:val="97"/>
            </w:pPr>
            <w:r>
              <w:t>0.004ND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0.004ND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≤0.05</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总硬度</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352</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372</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179</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≤450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0.40~0.83</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铅</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t>2.5×10</w:t>
            </w:r>
            <w:r>
              <w:rPr>
                <w:vertAlign w:val="superscript"/>
              </w:rPr>
              <w:t>-3</w:t>
            </w:r>
            <w:r>
              <w:t>ND</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t>2.5×10</w:t>
            </w:r>
            <w:r>
              <w:rPr>
                <w:vertAlign w:val="superscript"/>
              </w:rPr>
              <w:t>-3</w:t>
            </w:r>
            <w:r>
              <w:t>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t>2.5×10</w:t>
            </w:r>
            <w:r>
              <w:rPr>
                <w:vertAlign w:val="superscript"/>
              </w:rPr>
              <w:t>-3</w:t>
            </w:r>
            <w:r>
              <w:t>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≤0.01</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氟化物</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0.47</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0.52</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0.66</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0.47~0.66</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镉</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0.05ND</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0.05ND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0.05ND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≤0.005</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铁</w:t>
            </w:r>
          </w:p>
        </w:tc>
        <w:tc>
          <w:tcPr>
            <w:tcW w:w="1376" w:type="dxa"/>
            <w:vAlign w:val="center"/>
          </w:tcPr>
          <w:p>
            <w:pPr>
              <w:pStyle w:val="97"/>
            </w:pPr>
            <w:r>
              <w:t>0.03 ND</w:t>
            </w:r>
          </w:p>
        </w:tc>
        <w:tc>
          <w:tcPr>
            <w:tcW w:w="1470" w:type="dxa"/>
            <w:vAlign w:val="center"/>
          </w:tcPr>
          <w:p>
            <w:pPr>
              <w:pStyle w:val="97"/>
            </w:pPr>
            <w:r>
              <w:t>0.03 ND</w:t>
            </w:r>
          </w:p>
        </w:tc>
        <w:tc>
          <w:tcPr>
            <w:tcW w:w="112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0.03 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≤0.3</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锰</w:t>
            </w:r>
          </w:p>
        </w:tc>
        <w:tc>
          <w:tcPr>
            <w:tcW w:w="1376" w:type="dxa"/>
            <w:vAlign w:val="center"/>
          </w:tcPr>
          <w:p>
            <w:pPr>
              <w:pStyle w:val="97"/>
            </w:pPr>
            <w:r>
              <w:t>0.01ND</w:t>
            </w:r>
          </w:p>
        </w:tc>
        <w:tc>
          <w:tcPr>
            <w:tcW w:w="1470" w:type="dxa"/>
            <w:vAlign w:val="center"/>
          </w:tcPr>
          <w:p>
            <w:pPr>
              <w:pStyle w:val="97"/>
            </w:pPr>
            <w:r>
              <w:t>0.01ND</w:t>
            </w:r>
          </w:p>
        </w:tc>
        <w:tc>
          <w:tcPr>
            <w:tcW w:w="1125"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0.01ND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≤0.10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溶解性总固体</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484</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511</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239</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≤1000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0.24~0.51</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总大肠菌群</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未检出</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未检出</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未检出</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≤3.0</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达标</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K</w:t>
            </w:r>
            <w:r>
              <w:rPr>
                <w:kern w:val="0"/>
                <w:sz w:val="21"/>
                <w:szCs w:val="20"/>
                <w:vertAlign w:val="superscript"/>
              </w:rPr>
              <w:t>+</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2.21</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1.89</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1.07</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Na</w:t>
            </w:r>
            <w:r>
              <w:rPr>
                <w:kern w:val="0"/>
                <w:sz w:val="21"/>
                <w:szCs w:val="20"/>
                <w:vertAlign w:val="superscript"/>
              </w:rPr>
              <w:t>+</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41.7</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41.4</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29.6</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Ca</w:t>
            </w:r>
            <w:r>
              <w:rPr>
                <w:kern w:val="0"/>
                <w:sz w:val="21"/>
                <w:szCs w:val="20"/>
                <w:vertAlign w:val="superscript"/>
              </w:rPr>
              <w:t>2+</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63.2</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67.3</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58.4</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Mg</w:t>
            </w:r>
            <w:r>
              <w:rPr>
                <w:kern w:val="0"/>
                <w:sz w:val="21"/>
                <w:szCs w:val="20"/>
                <w:vertAlign w:val="superscript"/>
              </w:rPr>
              <w:t>2+</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43.5</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48.5</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5.31</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SO</w:t>
            </w:r>
            <w:r>
              <w:rPr>
                <w:kern w:val="0"/>
                <w:sz w:val="21"/>
                <w:szCs w:val="20"/>
                <w:vertAlign w:val="subscript"/>
              </w:rPr>
              <w:t>4</w:t>
            </w:r>
            <w:r>
              <w:rPr>
                <w:kern w:val="0"/>
                <w:sz w:val="21"/>
                <w:szCs w:val="20"/>
                <w:vertAlign w:val="superscript"/>
              </w:rPr>
              <w:t>2-</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96.9</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93.6</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1.49</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Cl</w:t>
            </w:r>
            <w:r>
              <w:rPr>
                <w:kern w:val="0"/>
                <w:sz w:val="21"/>
                <w:szCs w:val="20"/>
                <w:vertAlign w:val="superscript"/>
              </w:rPr>
              <w:t>-</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64.7</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110.4</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26.1</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CO</w:t>
            </w:r>
            <w:r>
              <w:rPr>
                <w:kern w:val="0"/>
                <w:sz w:val="21"/>
                <w:szCs w:val="20"/>
                <w:vertAlign w:val="subscript"/>
              </w:rPr>
              <w:t>3</w:t>
            </w:r>
            <w:r>
              <w:rPr>
                <w:kern w:val="0"/>
                <w:sz w:val="21"/>
                <w:szCs w:val="20"/>
                <w:vertAlign w:val="superscript"/>
              </w:rPr>
              <w:t>2-</w:t>
            </w:r>
          </w:p>
        </w:tc>
        <w:tc>
          <w:tcPr>
            <w:tcW w:w="1376" w:type="dxa"/>
            <w:vAlign w:val="center"/>
          </w:tcPr>
          <w:p>
            <w:pPr>
              <w:pStyle w:val="97"/>
            </w:pPr>
            <w:r>
              <w:rPr>
                <w:rFonts w:hint="eastAsia"/>
              </w:rPr>
              <w:t>5</w:t>
            </w:r>
            <w:r>
              <w:t>ND</w:t>
            </w:r>
          </w:p>
        </w:tc>
        <w:tc>
          <w:tcPr>
            <w:tcW w:w="1470" w:type="dxa"/>
            <w:vAlign w:val="center"/>
          </w:tcPr>
          <w:p>
            <w:pPr>
              <w:pStyle w:val="97"/>
            </w:pPr>
            <w:r>
              <w:rPr>
                <w:rFonts w:hint="eastAsia"/>
              </w:rPr>
              <w:t>5</w:t>
            </w:r>
            <w:r>
              <w:t>ND</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5</w:t>
            </w:r>
            <w:r>
              <w:rPr>
                <w:kern w:val="0"/>
                <w:sz w:val="22"/>
                <w:szCs w:val="20"/>
              </w:rPr>
              <w:t>ND</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r>
        <w:tblPrEx>
          <w:tblBorders>
            <w:top w:val="single" w:color="auto" w:sz="12" w:space="0"/>
            <w:left w:val="single" w:color="auto" w:sz="12" w:space="0"/>
            <w:bottom w:val="single" w:color="auto" w:sz="6"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473" w:type="dxa"/>
            <w:vAlign w:val="center"/>
          </w:tcPr>
          <w:p>
            <w:pPr>
              <w:numPr>
                <w:ilvl w:val="0"/>
                <w:numId w:val="12"/>
              </w:numPr>
              <w:autoSpaceDE w:val="0"/>
              <w:autoSpaceDN w:val="0"/>
              <w:adjustRightInd/>
              <w:snapToGrid/>
              <w:spacing w:line="240" w:lineRule="auto"/>
              <w:ind w:firstLineChars="0"/>
              <w:jc w:val="center"/>
              <w:textAlignment w:val="bottom"/>
              <w:rPr>
                <w:kern w:val="0"/>
                <w:sz w:val="21"/>
                <w:szCs w:val="20"/>
              </w:rPr>
            </w:pPr>
          </w:p>
        </w:tc>
        <w:tc>
          <w:tcPr>
            <w:tcW w:w="135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HCO</w:t>
            </w:r>
            <w:r>
              <w:rPr>
                <w:kern w:val="0"/>
                <w:sz w:val="21"/>
                <w:szCs w:val="20"/>
                <w:vertAlign w:val="subscript"/>
              </w:rPr>
              <w:t>3</w:t>
            </w:r>
            <w:r>
              <w:rPr>
                <w:kern w:val="0"/>
                <w:sz w:val="21"/>
                <w:szCs w:val="20"/>
                <w:vertAlign w:val="superscript"/>
              </w:rPr>
              <w:t>-</w:t>
            </w:r>
          </w:p>
        </w:tc>
        <w:tc>
          <w:tcPr>
            <w:tcW w:w="1376"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331</w:t>
            </w:r>
          </w:p>
        </w:tc>
        <w:tc>
          <w:tcPr>
            <w:tcW w:w="1470" w:type="dxa"/>
            <w:vAlign w:val="center"/>
          </w:tcPr>
          <w:p>
            <w:pPr>
              <w:autoSpaceDE w:val="0"/>
              <w:autoSpaceDN w:val="0"/>
              <w:snapToGrid/>
              <w:spacing w:line="240" w:lineRule="auto"/>
              <w:ind w:firstLine="0" w:firstLineChars="0"/>
              <w:jc w:val="center"/>
              <w:textAlignment w:val="bottom"/>
              <w:rPr>
                <w:kern w:val="0"/>
                <w:sz w:val="22"/>
                <w:szCs w:val="20"/>
              </w:rPr>
            </w:pPr>
            <w:r>
              <w:rPr>
                <w:rFonts w:hint="eastAsia"/>
                <w:kern w:val="0"/>
                <w:sz w:val="22"/>
                <w:szCs w:val="20"/>
              </w:rPr>
              <w:t>282</w:t>
            </w:r>
          </w:p>
        </w:tc>
        <w:tc>
          <w:tcPr>
            <w:tcW w:w="1125" w:type="dxa"/>
            <w:vAlign w:val="center"/>
          </w:tcPr>
          <w:p>
            <w:pPr>
              <w:autoSpaceDE w:val="0"/>
              <w:autoSpaceDN w:val="0"/>
              <w:snapToGrid/>
              <w:spacing w:line="240" w:lineRule="auto"/>
              <w:ind w:firstLine="0" w:firstLineChars="0"/>
              <w:jc w:val="center"/>
              <w:textAlignment w:val="bottom"/>
              <w:rPr>
                <w:kern w:val="0"/>
                <w:sz w:val="22"/>
                <w:szCs w:val="20"/>
              </w:rPr>
            </w:pPr>
            <w:r>
              <w:rPr>
                <w:kern w:val="0"/>
                <w:sz w:val="22"/>
                <w:szCs w:val="20"/>
              </w:rPr>
              <w:t>231</w:t>
            </w:r>
          </w:p>
        </w:tc>
        <w:tc>
          <w:tcPr>
            <w:tcW w:w="993"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41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3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r>
    </w:tbl>
    <w:p>
      <w:pPr>
        <w:pStyle w:val="87"/>
        <w:ind w:firstLine="480"/>
      </w:pPr>
      <w:bookmarkStart w:id="103" w:name="_Toc488102169"/>
      <w:r>
        <w:rPr>
          <w:rFonts w:hint="eastAsia"/>
        </w:rPr>
        <w:t>由监测结果可知，项目所在地地下水水质各项监测因子均能满足《地下水质量标准》（GB/T14848-2017）Ⅲ类标准限值。</w:t>
      </w:r>
    </w:p>
    <w:p>
      <w:pPr>
        <w:pStyle w:val="4"/>
      </w:pPr>
      <w:r>
        <w:rPr>
          <w:rFonts w:hint="eastAsia"/>
        </w:rPr>
        <w:t>声环境质量现状与评价</w:t>
      </w:r>
      <w:bookmarkEnd w:id="103"/>
    </w:p>
    <w:p>
      <w:pPr>
        <w:ind w:firstLine="480"/>
      </w:pPr>
      <w:r>
        <w:t>本次声环境质量现状监测委托陕西</w:t>
      </w:r>
      <w:r>
        <w:rPr>
          <w:rFonts w:hint="eastAsia"/>
        </w:rPr>
        <w:t>泽希</w:t>
      </w:r>
      <w:r>
        <w:t>检测</w:t>
      </w:r>
      <w:r>
        <w:rPr>
          <w:rFonts w:hint="eastAsia"/>
        </w:rPr>
        <w:t>服务</w:t>
      </w:r>
      <w:r>
        <w:t>有限公司进行监测，监测报告见附件</w:t>
      </w:r>
      <w:r>
        <w:rPr>
          <w:rFonts w:hint="eastAsia"/>
        </w:rPr>
        <w:t>（泽希检测（综）2</w:t>
      </w:r>
      <w:r>
        <w:t>02105079</w:t>
      </w:r>
      <w:r>
        <w:rPr>
          <w:rFonts w:hint="eastAsia"/>
        </w:rPr>
        <w:t>号）。</w:t>
      </w:r>
    </w:p>
    <w:p>
      <w:pPr>
        <w:pStyle w:val="5"/>
      </w:pPr>
      <w:r>
        <w:rPr>
          <w:rFonts w:hint="eastAsia"/>
        </w:rPr>
        <w:t>监测</w:t>
      </w:r>
      <w:r>
        <w:t>点位</w:t>
      </w:r>
    </w:p>
    <w:p>
      <w:pPr>
        <w:ind w:firstLine="480"/>
      </w:pPr>
      <w:r>
        <w:rPr>
          <w:rFonts w:hint="eastAsia"/>
        </w:rPr>
        <w:t>本项目厂界</w:t>
      </w:r>
      <w:r>
        <w:t>四周布设噪声监测点位</w:t>
      </w:r>
      <w:r>
        <w:rPr>
          <w:rFonts w:hint="eastAsia"/>
        </w:rPr>
        <w:t>4个，在</w:t>
      </w:r>
      <w:r>
        <w:t>东侧敏感点江家店村设置</w:t>
      </w:r>
      <w:r>
        <w:rPr>
          <w:rFonts w:hint="eastAsia"/>
        </w:rPr>
        <w:t>1个</w:t>
      </w:r>
      <w:r>
        <w:t>监测监测，</w:t>
      </w:r>
      <w:r>
        <w:rPr>
          <w:rFonts w:hint="eastAsia"/>
        </w:rPr>
        <w:t>监测点位图见图4.</w:t>
      </w:r>
      <w:r>
        <w:t>4</w:t>
      </w:r>
      <w:r>
        <w:rPr>
          <w:rFonts w:hint="eastAsia"/>
        </w:rPr>
        <w:t>-1。</w:t>
      </w:r>
    </w:p>
    <w:p>
      <w:pPr>
        <w:pStyle w:val="5"/>
      </w:pPr>
      <w:r>
        <w:t>监测时间</w:t>
      </w:r>
      <w:r>
        <w:rPr>
          <w:rFonts w:hint="eastAsia"/>
        </w:rPr>
        <w:t>和</w:t>
      </w:r>
      <w:r>
        <w:t>频次</w:t>
      </w:r>
    </w:p>
    <w:p>
      <w:pPr>
        <w:ind w:firstLine="480"/>
      </w:pPr>
      <w:r>
        <w:t>2021年5月21日~5月22日连续监测2天，昼夜各一次。</w:t>
      </w:r>
    </w:p>
    <w:p>
      <w:pPr>
        <w:pStyle w:val="5"/>
      </w:pPr>
      <w:r>
        <w:t>测量</w:t>
      </w:r>
      <w:r>
        <w:rPr>
          <w:rFonts w:hint="eastAsia"/>
        </w:rPr>
        <w:t>因子</w:t>
      </w:r>
      <w:r>
        <w:t>和监测方法</w:t>
      </w:r>
    </w:p>
    <w:p>
      <w:pPr>
        <w:ind w:firstLine="480"/>
      </w:pPr>
      <w:r>
        <w:t>监测</w:t>
      </w:r>
      <w:r>
        <w:rPr>
          <w:rFonts w:hint="eastAsia"/>
        </w:rPr>
        <w:t>因子</w:t>
      </w:r>
      <w:r>
        <w:t>为每个监测点的等效连续A声级（Leq）。</w:t>
      </w:r>
    </w:p>
    <w:p>
      <w:pPr>
        <w:ind w:firstLine="480"/>
      </w:pPr>
      <w:r>
        <w:t>采用《声环境质量标准》（GB3096-2008）中所规定有关监测方法，测量仪器采用AWA6228</w:t>
      </w:r>
      <w:r>
        <w:rPr>
          <w:vertAlign w:val="superscript"/>
        </w:rPr>
        <w:t>+</w:t>
      </w:r>
      <w:r>
        <w:rPr>
          <w:rFonts w:hint="eastAsia"/>
        </w:rPr>
        <w:t>多功能</w:t>
      </w:r>
      <w:r>
        <w:t>声级计。</w:t>
      </w:r>
    </w:p>
    <w:p>
      <w:pPr>
        <w:pStyle w:val="5"/>
      </w:pPr>
      <w:r>
        <w:rPr>
          <w:rFonts w:hint="eastAsia"/>
        </w:rPr>
        <w:t>评价</w:t>
      </w:r>
      <w:r>
        <w:t>标准</w:t>
      </w:r>
    </w:p>
    <w:p>
      <w:pPr>
        <w:tabs>
          <w:tab w:val="left" w:pos="3960"/>
        </w:tabs>
        <w:ind w:firstLine="480"/>
      </w:pPr>
      <w:r>
        <w:t>本项目位于</w:t>
      </w:r>
      <w:r>
        <w:rPr>
          <w:rFonts w:hint="eastAsia"/>
        </w:rPr>
        <w:t>旬阳高新区吕河工业园</w:t>
      </w:r>
      <w:r>
        <w:t>，</w:t>
      </w:r>
      <w:r>
        <w:rPr>
          <w:rFonts w:hint="eastAsia"/>
        </w:rPr>
        <w:t>厂界</w:t>
      </w:r>
      <w:r>
        <w:t>应执行《声环境质量标准》（GB3096-2008）中的3类标准，即昼间65dB(A)，夜间55dB(A)</w:t>
      </w:r>
      <w:r>
        <w:rPr>
          <w:rFonts w:hint="eastAsia"/>
        </w:rPr>
        <w:t>，</w:t>
      </w:r>
      <w:r>
        <w:t>敏感点江家店村执行</w:t>
      </w:r>
      <w:r>
        <w:rPr>
          <w:rFonts w:hint="eastAsia"/>
        </w:rPr>
        <w:t>2类</w:t>
      </w:r>
      <w:r>
        <w:t>，即昼间60dB(A)，夜间50dB(A)。</w:t>
      </w:r>
    </w:p>
    <w:p>
      <w:pPr>
        <w:pStyle w:val="5"/>
      </w:pPr>
      <w:r>
        <w:t>现状监测结果</w:t>
      </w:r>
    </w:p>
    <w:p>
      <w:pPr>
        <w:ind w:firstLine="480"/>
      </w:pPr>
      <w:r>
        <w:t>噪声监测结果见</w:t>
      </w:r>
      <w:r>
        <w:rPr>
          <w:rFonts w:hint="eastAsia"/>
        </w:rPr>
        <w:t>表4.4-8</w:t>
      </w:r>
      <w:r>
        <w:t>。</w:t>
      </w:r>
    </w:p>
    <w:p>
      <w:pPr>
        <w:pStyle w:val="93"/>
        <w:rPr>
          <w:rFonts w:hAnsi="Times New Roman"/>
        </w:rPr>
      </w:pPr>
      <w:bookmarkStart w:id="104" w:name="_Ref26777771"/>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4.4</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8</w:t>
      </w:r>
      <w:r>
        <w:rPr>
          <w:rFonts w:hAnsi="Times New Roman"/>
        </w:rPr>
        <w:fldChar w:fldCharType="end"/>
      </w:r>
      <w:bookmarkEnd w:id="104"/>
      <w:r>
        <w:rPr>
          <w:rFonts w:hAnsi="Times New Roman"/>
        </w:rPr>
        <w:t xml:space="preserve">  厂界环境噪声监测结果</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206"/>
        <w:gridCol w:w="1549"/>
        <w:gridCol w:w="1394"/>
        <w:gridCol w:w="1492"/>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029" w:type="dxa"/>
            <w:vMerge w:val="restart"/>
            <w:vAlign w:val="center"/>
          </w:tcPr>
          <w:p>
            <w:pPr>
              <w:pStyle w:val="92"/>
            </w:pPr>
            <w:r>
              <w:t>编号</w:t>
            </w:r>
          </w:p>
        </w:tc>
        <w:tc>
          <w:tcPr>
            <w:tcW w:w="2206" w:type="dxa"/>
            <w:vMerge w:val="restart"/>
            <w:vAlign w:val="center"/>
          </w:tcPr>
          <w:p>
            <w:pPr>
              <w:pStyle w:val="92"/>
            </w:pPr>
            <w:r>
              <w:t>监测点位</w:t>
            </w:r>
          </w:p>
        </w:tc>
        <w:tc>
          <w:tcPr>
            <w:tcW w:w="5805" w:type="dxa"/>
            <w:gridSpan w:val="4"/>
            <w:vAlign w:val="center"/>
          </w:tcPr>
          <w:p>
            <w:pPr>
              <w:pStyle w:val="92"/>
            </w:pPr>
            <w:r>
              <w:t>监测结果L</w:t>
            </w:r>
            <w:r>
              <w:rPr>
                <w:vertAlign w:val="subscript"/>
              </w:rPr>
              <w:t xml:space="preserve">Aeq </w:t>
            </w:r>
            <w:r>
              <w:t xml:space="preserve"> 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029" w:type="dxa"/>
            <w:vMerge w:val="continue"/>
            <w:vAlign w:val="center"/>
          </w:tcPr>
          <w:p>
            <w:pPr>
              <w:pStyle w:val="92"/>
            </w:pPr>
          </w:p>
        </w:tc>
        <w:tc>
          <w:tcPr>
            <w:tcW w:w="2206" w:type="dxa"/>
            <w:vMerge w:val="continue"/>
            <w:vAlign w:val="center"/>
          </w:tcPr>
          <w:p>
            <w:pPr>
              <w:pStyle w:val="92"/>
            </w:pPr>
          </w:p>
        </w:tc>
        <w:tc>
          <w:tcPr>
            <w:tcW w:w="2943" w:type="dxa"/>
            <w:gridSpan w:val="2"/>
            <w:vAlign w:val="center"/>
          </w:tcPr>
          <w:p>
            <w:pPr>
              <w:pStyle w:val="92"/>
            </w:pPr>
            <w:r>
              <w:t>5月21日</w:t>
            </w:r>
          </w:p>
        </w:tc>
        <w:tc>
          <w:tcPr>
            <w:tcW w:w="2862" w:type="dxa"/>
            <w:gridSpan w:val="2"/>
            <w:vAlign w:val="center"/>
          </w:tcPr>
          <w:p>
            <w:pPr>
              <w:pStyle w:val="92"/>
            </w:pPr>
            <w:r>
              <w:t>5月22日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029" w:type="dxa"/>
            <w:vMerge w:val="continue"/>
            <w:vAlign w:val="center"/>
          </w:tcPr>
          <w:p>
            <w:pPr>
              <w:pStyle w:val="92"/>
            </w:pPr>
          </w:p>
        </w:tc>
        <w:tc>
          <w:tcPr>
            <w:tcW w:w="2206" w:type="dxa"/>
            <w:vMerge w:val="continue"/>
            <w:vAlign w:val="center"/>
          </w:tcPr>
          <w:p>
            <w:pPr>
              <w:pStyle w:val="92"/>
            </w:pPr>
          </w:p>
        </w:tc>
        <w:tc>
          <w:tcPr>
            <w:tcW w:w="1549" w:type="dxa"/>
            <w:vAlign w:val="center"/>
          </w:tcPr>
          <w:p>
            <w:pPr>
              <w:pStyle w:val="92"/>
            </w:pPr>
            <w:r>
              <w:t>昼间（L</w:t>
            </w:r>
            <w:r>
              <w:rPr>
                <w:vertAlign w:val="subscript"/>
              </w:rPr>
              <w:t>d</w:t>
            </w:r>
            <w:r>
              <w:t>）</w:t>
            </w:r>
          </w:p>
        </w:tc>
        <w:tc>
          <w:tcPr>
            <w:tcW w:w="1394" w:type="dxa"/>
            <w:vAlign w:val="center"/>
          </w:tcPr>
          <w:p>
            <w:pPr>
              <w:pStyle w:val="92"/>
            </w:pPr>
            <w:r>
              <w:t>夜间（L</w:t>
            </w:r>
            <w:r>
              <w:rPr>
                <w:vertAlign w:val="subscript"/>
              </w:rPr>
              <w:t>n</w:t>
            </w:r>
            <w:r>
              <w:t>）</w:t>
            </w:r>
          </w:p>
        </w:tc>
        <w:tc>
          <w:tcPr>
            <w:tcW w:w="1492" w:type="dxa"/>
            <w:vAlign w:val="center"/>
          </w:tcPr>
          <w:p>
            <w:pPr>
              <w:pStyle w:val="92"/>
            </w:pPr>
            <w:r>
              <w:t>昼间（L</w:t>
            </w:r>
            <w:r>
              <w:rPr>
                <w:vertAlign w:val="subscript"/>
              </w:rPr>
              <w:t>d</w:t>
            </w:r>
            <w:r>
              <w:t>）</w:t>
            </w:r>
          </w:p>
        </w:tc>
        <w:tc>
          <w:tcPr>
            <w:tcW w:w="1370" w:type="dxa"/>
            <w:vAlign w:val="center"/>
          </w:tcPr>
          <w:p>
            <w:pPr>
              <w:pStyle w:val="92"/>
            </w:pPr>
            <w:r>
              <w:t>夜间（L</w:t>
            </w:r>
            <w:r>
              <w:rPr>
                <w:vertAlign w:val="subscript"/>
              </w:rPr>
              <w:t>n</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9" w:type="dxa"/>
            <w:vAlign w:val="center"/>
          </w:tcPr>
          <w:p>
            <w:pPr>
              <w:pStyle w:val="92"/>
            </w:pPr>
            <w:r>
              <w:t>1#</w:t>
            </w:r>
          </w:p>
        </w:tc>
        <w:tc>
          <w:tcPr>
            <w:tcW w:w="2206" w:type="dxa"/>
            <w:vAlign w:val="center"/>
          </w:tcPr>
          <w:p>
            <w:pPr>
              <w:pStyle w:val="92"/>
            </w:pPr>
            <w:r>
              <w:rPr>
                <w:rFonts w:hint="eastAsia"/>
              </w:rPr>
              <w:t>东厂界</w:t>
            </w:r>
          </w:p>
        </w:tc>
        <w:tc>
          <w:tcPr>
            <w:tcW w:w="1549" w:type="dxa"/>
            <w:vAlign w:val="center"/>
          </w:tcPr>
          <w:p>
            <w:pPr>
              <w:pStyle w:val="92"/>
              <w:rPr>
                <w:szCs w:val="21"/>
              </w:rPr>
            </w:pPr>
            <w:r>
              <w:rPr>
                <w:rFonts w:hint="eastAsia"/>
                <w:szCs w:val="21"/>
              </w:rPr>
              <w:t>46</w:t>
            </w:r>
          </w:p>
        </w:tc>
        <w:tc>
          <w:tcPr>
            <w:tcW w:w="1394" w:type="dxa"/>
            <w:vAlign w:val="center"/>
          </w:tcPr>
          <w:p>
            <w:pPr>
              <w:pStyle w:val="92"/>
              <w:rPr>
                <w:szCs w:val="21"/>
              </w:rPr>
            </w:pPr>
            <w:r>
              <w:rPr>
                <w:rFonts w:hint="eastAsia"/>
                <w:szCs w:val="21"/>
              </w:rPr>
              <w:t>40</w:t>
            </w:r>
          </w:p>
        </w:tc>
        <w:tc>
          <w:tcPr>
            <w:tcW w:w="1492" w:type="dxa"/>
            <w:vAlign w:val="center"/>
          </w:tcPr>
          <w:p>
            <w:pPr>
              <w:pStyle w:val="92"/>
              <w:rPr>
                <w:szCs w:val="21"/>
              </w:rPr>
            </w:pPr>
            <w:r>
              <w:rPr>
                <w:rFonts w:hint="eastAsia"/>
                <w:szCs w:val="21"/>
              </w:rPr>
              <w:t>47</w:t>
            </w:r>
          </w:p>
        </w:tc>
        <w:tc>
          <w:tcPr>
            <w:tcW w:w="1370" w:type="dxa"/>
            <w:vAlign w:val="center"/>
          </w:tcPr>
          <w:p>
            <w:pPr>
              <w:pStyle w:val="92"/>
              <w:rPr>
                <w:szCs w:val="21"/>
              </w:rPr>
            </w:pPr>
            <w:r>
              <w:rPr>
                <w:rFonts w:hint="eastAsia"/>
                <w:szCs w:val="21"/>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9" w:type="dxa"/>
            <w:vAlign w:val="center"/>
          </w:tcPr>
          <w:p>
            <w:pPr>
              <w:pStyle w:val="92"/>
            </w:pPr>
            <w:r>
              <w:t>2#</w:t>
            </w:r>
          </w:p>
        </w:tc>
        <w:tc>
          <w:tcPr>
            <w:tcW w:w="2206" w:type="dxa"/>
            <w:vAlign w:val="center"/>
          </w:tcPr>
          <w:p>
            <w:pPr>
              <w:pStyle w:val="92"/>
            </w:pPr>
            <w:r>
              <w:rPr>
                <w:rFonts w:hint="eastAsia"/>
              </w:rPr>
              <w:t>南</w:t>
            </w:r>
            <w:r>
              <w:t>厂界</w:t>
            </w:r>
          </w:p>
        </w:tc>
        <w:tc>
          <w:tcPr>
            <w:tcW w:w="1549" w:type="dxa"/>
            <w:vAlign w:val="center"/>
          </w:tcPr>
          <w:p>
            <w:pPr>
              <w:pStyle w:val="92"/>
              <w:rPr>
                <w:szCs w:val="21"/>
              </w:rPr>
            </w:pPr>
            <w:r>
              <w:rPr>
                <w:rFonts w:hint="eastAsia"/>
                <w:szCs w:val="21"/>
              </w:rPr>
              <w:t>54</w:t>
            </w:r>
          </w:p>
        </w:tc>
        <w:tc>
          <w:tcPr>
            <w:tcW w:w="1394" w:type="dxa"/>
            <w:vAlign w:val="center"/>
          </w:tcPr>
          <w:p>
            <w:pPr>
              <w:pStyle w:val="92"/>
              <w:rPr>
                <w:szCs w:val="21"/>
              </w:rPr>
            </w:pPr>
            <w:r>
              <w:rPr>
                <w:rFonts w:hint="eastAsia"/>
                <w:szCs w:val="21"/>
              </w:rPr>
              <w:t>43</w:t>
            </w:r>
          </w:p>
        </w:tc>
        <w:tc>
          <w:tcPr>
            <w:tcW w:w="1492" w:type="dxa"/>
            <w:vAlign w:val="center"/>
          </w:tcPr>
          <w:p>
            <w:pPr>
              <w:pStyle w:val="92"/>
              <w:rPr>
                <w:szCs w:val="21"/>
              </w:rPr>
            </w:pPr>
            <w:r>
              <w:rPr>
                <w:rFonts w:hint="eastAsia"/>
                <w:szCs w:val="21"/>
              </w:rPr>
              <w:t>53</w:t>
            </w:r>
          </w:p>
        </w:tc>
        <w:tc>
          <w:tcPr>
            <w:tcW w:w="1370" w:type="dxa"/>
            <w:vAlign w:val="center"/>
          </w:tcPr>
          <w:p>
            <w:pPr>
              <w:pStyle w:val="92"/>
              <w:rPr>
                <w:szCs w:val="21"/>
              </w:rPr>
            </w:pPr>
            <w:r>
              <w:rPr>
                <w:rFonts w:hint="eastAsia"/>
                <w:szCs w:val="21"/>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9" w:type="dxa"/>
            <w:vAlign w:val="center"/>
          </w:tcPr>
          <w:p>
            <w:pPr>
              <w:pStyle w:val="92"/>
            </w:pPr>
            <w:r>
              <w:t>3#</w:t>
            </w:r>
          </w:p>
        </w:tc>
        <w:tc>
          <w:tcPr>
            <w:tcW w:w="2206" w:type="dxa"/>
            <w:vAlign w:val="center"/>
          </w:tcPr>
          <w:p>
            <w:pPr>
              <w:pStyle w:val="92"/>
            </w:pPr>
            <w:r>
              <w:rPr>
                <w:rFonts w:hint="eastAsia"/>
              </w:rPr>
              <w:t>西</w:t>
            </w:r>
            <w:r>
              <w:t>厂界</w:t>
            </w:r>
          </w:p>
        </w:tc>
        <w:tc>
          <w:tcPr>
            <w:tcW w:w="1549" w:type="dxa"/>
            <w:vAlign w:val="center"/>
          </w:tcPr>
          <w:p>
            <w:pPr>
              <w:pStyle w:val="92"/>
            </w:pPr>
            <w:r>
              <w:rPr>
                <w:rFonts w:hint="eastAsia"/>
              </w:rPr>
              <w:t>53</w:t>
            </w:r>
          </w:p>
        </w:tc>
        <w:tc>
          <w:tcPr>
            <w:tcW w:w="1394" w:type="dxa"/>
            <w:vAlign w:val="center"/>
          </w:tcPr>
          <w:p>
            <w:pPr>
              <w:pStyle w:val="92"/>
              <w:rPr>
                <w:szCs w:val="21"/>
              </w:rPr>
            </w:pPr>
            <w:r>
              <w:rPr>
                <w:rFonts w:hint="eastAsia"/>
                <w:szCs w:val="21"/>
              </w:rPr>
              <w:t>44</w:t>
            </w:r>
          </w:p>
        </w:tc>
        <w:tc>
          <w:tcPr>
            <w:tcW w:w="1492" w:type="dxa"/>
            <w:vAlign w:val="center"/>
          </w:tcPr>
          <w:p>
            <w:pPr>
              <w:pStyle w:val="92"/>
            </w:pPr>
            <w:r>
              <w:rPr>
                <w:rFonts w:hint="eastAsia"/>
              </w:rPr>
              <w:t>54</w:t>
            </w:r>
          </w:p>
        </w:tc>
        <w:tc>
          <w:tcPr>
            <w:tcW w:w="1370" w:type="dxa"/>
            <w:vAlign w:val="center"/>
          </w:tcPr>
          <w:p>
            <w:pPr>
              <w:pStyle w:val="92"/>
              <w:rPr>
                <w:szCs w:val="21"/>
              </w:rPr>
            </w:pPr>
            <w:r>
              <w:rPr>
                <w:rFonts w:hint="eastAsia"/>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9" w:type="dxa"/>
            <w:vAlign w:val="center"/>
          </w:tcPr>
          <w:p>
            <w:pPr>
              <w:pStyle w:val="92"/>
            </w:pPr>
            <w:r>
              <w:t>4#</w:t>
            </w:r>
          </w:p>
        </w:tc>
        <w:tc>
          <w:tcPr>
            <w:tcW w:w="2206" w:type="dxa"/>
            <w:vAlign w:val="center"/>
          </w:tcPr>
          <w:p>
            <w:pPr>
              <w:pStyle w:val="92"/>
            </w:pPr>
            <w:r>
              <w:rPr>
                <w:rFonts w:hint="eastAsia"/>
              </w:rPr>
              <w:t>北</w:t>
            </w:r>
            <w:r>
              <w:t>厂界</w:t>
            </w:r>
          </w:p>
        </w:tc>
        <w:tc>
          <w:tcPr>
            <w:tcW w:w="1549" w:type="dxa"/>
            <w:vAlign w:val="center"/>
          </w:tcPr>
          <w:p>
            <w:pPr>
              <w:pStyle w:val="92"/>
            </w:pPr>
            <w:r>
              <w:rPr>
                <w:rFonts w:hint="eastAsia"/>
              </w:rPr>
              <w:t>44</w:t>
            </w:r>
          </w:p>
        </w:tc>
        <w:tc>
          <w:tcPr>
            <w:tcW w:w="1394" w:type="dxa"/>
            <w:vAlign w:val="center"/>
          </w:tcPr>
          <w:p>
            <w:pPr>
              <w:pStyle w:val="92"/>
              <w:rPr>
                <w:szCs w:val="21"/>
              </w:rPr>
            </w:pPr>
            <w:r>
              <w:rPr>
                <w:rFonts w:hint="eastAsia"/>
                <w:szCs w:val="21"/>
              </w:rPr>
              <w:t>38</w:t>
            </w:r>
          </w:p>
        </w:tc>
        <w:tc>
          <w:tcPr>
            <w:tcW w:w="1492" w:type="dxa"/>
            <w:vAlign w:val="center"/>
          </w:tcPr>
          <w:p>
            <w:pPr>
              <w:pStyle w:val="92"/>
            </w:pPr>
            <w:r>
              <w:rPr>
                <w:rFonts w:hint="eastAsia"/>
              </w:rPr>
              <w:t>43</w:t>
            </w:r>
          </w:p>
        </w:tc>
        <w:tc>
          <w:tcPr>
            <w:tcW w:w="1370" w:type="dxa"/>
            <w:vAlign w:val="center"/>
          </w:tcPr>
          <w:p>
            <w:pPr>
              <w:pStyle w:val="92"/>
              <w:rPr>
                <w:szCs w:val="21"/>
              </w:rPr>
            </w:pPr>
            <w:r>
              <w:rPr>
                <w:rFonts w:hint="eastAsia"/>
                <w:szCs w:val="21"/>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29" w:type="dxa"/>
            <w:vAlign w:val="center"/>
          </w:tcPr>
          <w:p>
            <w:pPr>
              <w:pStyle w:val="92"/>
            </w:pPr>
            <w:r>
              <w:rPr>
                <w:rFonts w:hint="eastAsia"/>
              </w:rPr>
              <w:t>5</w:t>
            </w:r>
            <w:r>
              <w:t>#</w:t>
            </w:r>
          </w:p>
        </w:tc>
        <w:tc>
          <w:tcPr>
            <w:tcW w:w="2206" w:type="dxa"/>
            <w:vAlign w:val="center"/>
          </w:tcPr>
          <w:p>
            <w:pPr>
              <w:pStyle w:val="92"/>
            </w:pPr>
            <w:r>
              <w:rPr>
                <w:rFonts w:hint="eastAsia"/>
              </w:rPr>
              <w:t>江家店</w:t>
            </w:r>
            <w:r>
              <w:t>村</w:t>
            </w:r>
          </w:p>
        </w:tc>
        <w:tc>
          <w:tcPr>
            <w:tcW w:w="1549" w:type="dxa"/>
            <w:vAlign w:val="center"/>
          </w:tcPr>
          <w:p>
            <w:pPr>
              <w:pStyle w:val="92"/>
            </w:pPr>
            <w:r>
              <w:rPr>
                <w:rFonts w:hint="eastAsia"/>
              </w:rPr>
              <w:t>47</w:t>
            </w:r>
          </w:p>
        </w:tc>
        <w:tc>
          <w:tcPr>
            <w:tcW w:w="1394" w:type="dxa"/>
            <w:vAlign w:val="center"/>
          </w:tcPr>
          <w:p>
            <w:pPr>
              <w:pStyle w:val="92"/>
              <w:rPr>
                <w:szCs w:val="21"/>
              </w:rPr>
            </w:pPr>
            <w:r>
              <w:rPr>
                <w:rFonts w:hint="eastAsia"/>
                <w:szCs w:val="21"/>
              </w:rPr>
              <w:t>41</w:t>
            </w:r>
          </w:p>
        </w:tc>
        <w:tc>
          <w:tcPr>
            <w:tcW w:w="1492" w:type="dxa"/>
            <w:vAlign w:val="center"/>
          </w:tcPr>
          <w:p>
            <w:pPr>
              <w:pStyle w:val="92"/>
            </w:pPr>
            <w:r>
              <w:rPr>
                <w:rFonts w:hint="eastAsia"/>
              </w:rPr>
              <w:t>46</w:t>
            </w:r>
          </w:p>
        </w:tc>
        <w:tc>
          <w:tcPr>
            <w:tcW w:w="1370" w:type="dxa"/>
            <w:vAlign w:val="center"/>
          </w:tcPr>
          <w:p>
            <w:pPr>
              <w:pStyle w:val="92"/>
              <w:rPr>
                <w:szCs w:val="21"/>
              </w:rPr>
            </w:pPr>
            <w:r>
              <w:rPr>
                <w:rFonts w:hint="eastAsia"/>
                <w:szCs w:val="21"/>
              </w:rPr>
              <w:t>40</w:t>
            </w:r>
          </w:p>
        </w:tc>
      </w:tr>
    </w:tbl>
    <w:p>
      <w:pPr>
        <w:ind w:firstLine="480"/>
      </w:pPr>
      <w:r>
        <w:t>由表4.4-8可见，项目所在区域声环境现状良好，厂界四周昼间、夜间监测值均满足《声环境质量标准》中3类标准要求，</w:t>
      </w:r>
      <w:r>
        <w:rPr>
          <w:rFonts w:hint="eastAsia"/>
        </w:rPr>
        <w:t>敏感点江家店</w:t>
      </w:r>
      <w:r>
        <w:t>村满足</w:t>
      </w:r>
      <w:r>
        <w:rPr>
          <w:rFonts w:hint="eastAsia"/>
        </w:rPr>
        <w:t>2类</w:t>
      </w:r>
      <w:r>
        <w:t>标准</w:t>
      </w:r>
      <w:r>
        <w:rPr>
          <w:rFonts w:hint="eastAsia"/>
        </w:rPr>
        <w:t>，</w:t>
      </w:r>
      <w:r>
        <w:t>周围声环境质量较好。</w:t>
      </w:r>
    </w:p>
    <w:p>
      <w:pPr>
        <w:pStyle w:val="4"/>
      </w:pPr>
      <w:r>
        <w:rPr>
          <w:rFonts w:hint="eastAsia"/>
        </w:rPr>
        <w:t>土壤</w:t>
      </w:r>
      <w:r>
        <w:t>环境质量</w:t>
      </w:r>
    </w:p>
    <w:p>
      <w:pPr>
        <w:pStyle w:val="87"/>
        <w:ind w:firstLine="480"/>
        <w:rPr>
          <w:rStyle w:val="88"/>
          <w:rFonts w:asciiTheme="minorEastAsia" w:hAnsiTheme="minorEastAsia" w:eastAsiaTheme="minorEastAsia"/>
        </w:rPr>
      </w:pPr>
      <w:r>
        <w:rPr>
          <w:rFonts w:hint="eastAsia"/>
        </w:rPr>
        <w:t>项目</w:t>
      </w:r>
      <w:r>
        <w:t>租赁</w:t>
      </w:r>
      <w:r>
        <w:rPr>
          <w:rFonts w:hint="eastAsia"/>
        </w:rPr>
        <w:t>旬阳市</w:t>
      </w:r>
      <w:r>
        <w:t>富源工贸有限公司已建成厂房，</w:t>
      </w:r>
      <w:r>
        <w:rPr>
          <w:rFonts w:hint="eastAsia"/>
        </w:rPr>
        <w:t>根据</w:t>
      </w:r>
      <w:r>
        <w:t>现场调查</w:t>
      </w:r>
      <w:r>
        <w:rPr>
          <w:rFonts w:hint="eastAsia"/>
        </w:rPr>
        <w:t>，厂房</w:t>
      </w:r>
      <w:r>
        <w:t>已经进行了硬化处理无法取样，根据</w:t>
      </w:r>
      <w:r>
        <w:rPr>
          <w:rFonts w:hint="eastAsia"/>
        </w:rPr>
        <w:t>2020年8月10日</w:t>
      </w:r>
      <w:r>
        <w:t>部长信箱</w:t>
      </w:r>
      <w:r>
        <w:rPr>
          <w:rFonts w:hint="eastAsia"/>
        </w:rPr>
        <w:t>关于</w:t>
      </w:r>
      <w:r>
        <w:t>土壤破坏性监测问题的回复</w:t>
      </w:r>
      <w:r>
        <w:rPr>
          <w:rFonts w:hint="eastAsia"/>
        </w:rPr>
        <w:t>：</w:t>
      </w:r>
      <w:r>
        <w:rPr>
          <w:rFonts w:ascii="宋体" w:hAnsi="宋体"/>
        </w:rPr>
        <w:t>“</w:t>
      </w:r>
      <w:r>
        <w:rPr>
          <w:rFonts w:hint="eastAsia"/>
        </w:rPr>
        <w:t>根据建设项目实际情况，如果项目场地已经做了防腐防渗（包括硬化）处理无法取样，可不取样监测，但需要详细说明无法取样原因。</w:t>
      </w:r>
      <w:r>
        <w:rPr>
          <w:rStyle w:val="88"/>
          <w:rFonts w:asciiTheme="minorEastAsia" w:hAnsiTheme="minorEastAsia" w:eastAsiaTheme="minorEastAsia"/>
        </w:rPr>
        <w:t>”</w:t>
      </w:r>
      <w:r>
        <w:rPr>
          <w:rStyle w:val="88"/>
          <w:rFonts w:hint="eastAsia" w:asciiTheme="minorEastAsia" w:hAnsiTheme="minorEastAsia" w:eastAsiaTheme="minorEastAsia"/>
        </w:rPr>
        <w:t>，</w:t>
      </w:r>
      <w:r>
        <w:rPr>
          <w:rStyle w:val="88"/>
          <w:rFonts w:asciiTheme="minorEastAsia" w:hAnsiTheme="minorEastAsia" w:eastAsiaTheme="minorEastAsia"/>
        </w:rPr>
        <w:t>根据项目实际情况，</w:t>
      </w:r>
      <w:r>
        <w:rPr>
          <w:rStyle w:val="88"/>
          <w:rFonts w:hint="eastAsia" w:asciiTheme="minorEastAsia" w:hAnsiTheme="minorEastAsia" w:eastAsiaTheme="minorEastAsia"/>
        </w:rPr>
        <w:t>无法</w:t>
      </w:r>
      <w:r>
        <w:rPr>
          <w:rStyle w:val="88"/>
          <w:rFonts w:asciiTheme="minorEastAsia" w:hAnsiTheme="minorEastAsia" w:eastAsiaTheme="minorEastAsia"/>
        </w:rPr>
        <w:t>对土壤进行监测，本次环评不</w:t>
      </w:r>
      <w:r>
        <w:rPr>
          <w:rStyle w:val="88"/>
          <w:rFonts w:hint="eastAsia" w:asciiTheme="minorEastAsia" w:hAnsiTheme="minorEastAsia" w:eastAsiaTheme="minorEastAsia"/>
        </w:rPr>
        <w:t>再</w:t>
      </w:r>
      <w:r>
        <w:rPr>
          <w:rStyle w:val="88"/>
          <w:rFonts w:asciiTheme="minorEastAsia" w:hAnsiTheme="minorEastAsia" w:eastAsiaTheme="minorEastAsia"/>
        </w:rPr>
        <w:t>对土壤环境质量进行监测。</w:t>
      </w:r>
    </w:p>
    <w:p>
      <w:pPr>
        <w:ind w:firstLine="0" w:firstLineChars="0"/>
        <w:rPr>
          <w:rFonts w:eastAsiaTheme="minorEastAsia"/>
          <w:highlight w:val="yellow"/>
        </w:rPr>
      </w:pPr>
    </w:p>
    <w:p>
      <w:pPr>
        <w:pStyle w:val="87"/>
        <w:ind w:firstLine="0" w:firstLineChars="0"/>
        <w:rPr>
          <w:highlight w:val="yellow"/>
        </w:rPr>
        <w:sectPr>
          <w:headerReference r:id="rId42" w:type="default"/>
          <w:headerReference r:id="rId43" w:type="even"/>
          <w:type w:val="oddPage"/>
          <w:pgSz w:w="11906" w:h="16838"/>
          <w:pgMar w:top="1418" w:right="1418" w:bottom="1418" w:left="1418" w:header="992" w:footer="992" w:gutter="0"/>
          <w:pgNumType w:fmt="numberInDash"/>
          <w:cols w:space="425" w:num="1"/>
          <w:docGrid w:type="lines" w:linePitch="326" w:charSpace="0"/>
        </w:sectPr>
      </w:pPr>
    </w:p>
    <w:p>
      <w:pPr>
        <w:pStyle w:val="2"/>
      </w:pPr>
      <w:bookmarkStart w:id="105" w:name="_Toc488102171"/>
      <w:bookmarkStart w:id="106" w:name="_Toc82502955"/>
      <w:r>
        <w:rPr>
          <w:rFonts w:hint="eastAsia"/>
        </w:rPr>
        <w:t>环境影响预测与评价</w:t>
      </w:r>
      <w:bookmarkEnd w:id="105"/>
      <w:bookmarkEnd w:id="106"/>
    </w:p>
    <w:p>
      <w:pPr>
        <w:pStyle w:val="3"/>
      </w:pPr>
      <w:bookmarkStart w:id="107" w:name="_Toc488102172"/>
      <w:bookmarkStart w:id="108" w:name="_Toc82502956"/>
      <w:r>
        <w:rPr>
          <w:rFonts w:hint="eastAsia"/>
        </w:rPr>
        <w:t>施工期环境影响分析</w:t>
      </w:r>
      <w:bookmarkEnd w:id="107"/>
      <w:bookmarkEnd w:id="108"/>
    </w:p>
    <w:p>
      <w:pPr>
        <w:ind w:firstLine="480"/>
      </w:pPr>
      <w:r>
        <w:t>本项目属新建工程，</w:t>
      </w:r>
      <w:r>
        <w:rPr>
          <w:rFonts w:hint="eastAsia"/>
        </w:rPr>
        <w:t>租赁</w:t>
      </w:r>
      <w:r>
        <w:t>已建成</w:t>
      </w:r>
      <w:r>
        <w:rPr>
          <w:rFonts w:hint="eastAsia"/>
        </w:rPr>
        <w:t>厂房</w:t>
      </w:r>
      <w:r>
        <w:t>，施工期的工程内容</w:t>
      </w:r>
      <w:r>
        <w:rPr>
          <w:rFonts w:hint="eastAsia"/>
        </w:rPr>
        <w:t>为</w:t>
      </w:r>
      <w:r>
        <w:t>设备安装。</w:t>
      </w:r>
    </w:p>
    <w:p>
      <w:pPr>
        <w:ind w:firstLine="480"/>
      </w:pPr>
      <w:r>
        <w:rPr>
          <w:rFonts w:hint="eastAsia"/>
        </w:rPr>
        <w:t>项目施工期影响主要包括施工扬尘、施工机械及车辆废气，施工机械、运输物料车辆噪声影响、施工固体废物和施工人员</w:t>
      </w:r>
      <w:r>
        <w:t>生活</w:t>
      </w:r>
      <w:r>
        <w:rPr>
          <w:rFonts w:hint="eastAsia"/>
        </w:rPr>
        <w:t>废水等对周围环境的影响。</w:t>
      </w:r>
    </w:p>
    <w:p>
      <w:pPr>
        <w:pStyle w:val="4"/>
      </w:pPr>
      <w:bookmarkStart w:id="109" w:name="_Toc28082"/>
      <w:r>
        <w:t>施工期环境空气影响分析</w:t>
      </w:r>
      <w:bookmarkEnd w:id="109"/>
    </w:p>
    <w:p>
      <w:pPr>
        <w:ind w:firstLine="480"/>
      </w:pPr>
      <w:r>
        <w:rPr>
          <w:rFonts w:hint="eastAsia"/>
        </w:rPr>
        <w:t>施工期对大气环境的影响主要为车间设备安装作业和物料运输产生的扬尘和运输车辆排放的废气，会给周围环境空气带来一定污染。污染大气的主要因子是CO、</w:t>
      </w:r>
      <w:r>
        <w:t>N</w:t>
      </w:r>
      <w:r>
        <w:rPr>
          <w:rFonts w:hint="eastAsia"/>
        </w:rPr>
        <w:t>O</w:t>
      </w:r>
      <w:r>
        <w:rPr>
          <w:rFonts w:hint="eastAsia"/>
          <w:vertAlign w:val="subscript"/>
        </w:rPr>
        <w:t>2</w:t>
      </w:r>
      <w:r>
        <w:rPr>
          <w:rFonts w:hint="eastAsia"/>
        </w:rPr>
        <w:t>和扬尘，尤其扬尘污染最为严重。扬尘的排放与施工场地的面积和施工活动频率成正比，与土壤的泥沙颗粒含量成正比，同时与当地气象条件如风速、湿度、日照等有很大关系。现场调查可知，距离项目厂界较近的居民点为东侧</w:t>
      </w:r>
      <w:r>
        <w:t>50</w:t>
      </w:r>
      <w:r>
        <w:rPr>
          <w:rFonts w:hint="eastAsia"/>
        </w:rPr>
        <w:t>m江家店村。</w:t>
      </w:r>
    </w:p>
    <w:p>
      <w:pPr>
        <w:ind w:firstLine="482"/>
        <w:rPr>
          <w:b/>
        </w:rPr>
      </w:pPr>
      <w:r>
        <w:rPr>
          <w:rFonts w:hint="eastAsia"/>
          <w:b/>
        </w:rPr>
        <w:t>1、施工</w:t>
      </w:r>
      <w:r>
        <w:rPr>
          <w:b/>
        </w:rPr>
        <w:t>扬尘</w:t>
      </w:r>
    </w:p>
    <w:p>
      <w:pPr>
        <w:ind w:firstLine="480"/>
      </w:pPr>
      <w:r>
        <w:rPr>
          <w:rFonts w:hint="eastAsia"/>
        </w:rPr>
        <w:t>（</w:t>
      </w:r>
      <w:r>
        <w:t>1</w:t>
      </w:r>
      <w:r>
        <w:rPr>
          <w:rFonts w:hint="eastAsia"/>
        </w:rPr>
        <w:t>）扬尘来源</w:t>
      </w:r>
    </w:p>
    <w:p>
      <w:pPr>
        <w:ind w:firstLine="480"/>
      </w:pPr>
      <w:r>
        <w:rPr>
          <w:rFonts w:hint="eastAsia"/>
        </w:rPr>
        <w:t>本项目无</w:t>
      </w:r>
      <w:r>
        <w:t>土建工程，施工期扬尘主要来自于</w:t>
      </w:r>
      <w:r>
        <w:rPr>
          <w:rFonts w:hint="eastAsia"/>
        </w:rPr>
        <w:t>设备</w:t>
      </w:r>
      <w:r>
        <w:t>安装期厂房内扬尘</w:t>
      </w:r>
      <w:r>
        <w:rPr>
          <w:rFonts w:hint="eastAsia"/>
        </w:rPr>
        <w:t>，材料</w:t>
      </w:r>
      <w:r>
        <w:t>及设备运输车辆</w:t>
      </w:r>
      <w:r>
        <w:rPr>
          <w:rFonts w:hint="eastAsia"/>
        </w:rPr>
        <w:t>扬尘。施工扬尘是施工作业中重要的污染源，其造成环境污染的程度和范围随施工季节、施工管理水平不同而差别很大。</w:t>
      </w:r>
    </w:p>
    <w:p>
      <w:pPr>
        <w:ind w:firstLine="480" w:firstLineChars="0"/>
      </w:pPr>
      <w:r>
        <w:rPr>
          <w:rFonts w:hint="eastAsia"/>
        </w:rPr>
        <w:t>（</w:t>
      </w:r>
      <w:r>
        <w:t>2</w:t>
      </w:r>
      <w:r>
        <w:rPr>
          <w:rFonts w:hint="eastAsia"/>
        </w:rPr>
        <w:t>）扬尘影响分析</w:t>
      </w:r>
    </w:p>
    <w:p>
      <w:pPr>
        <w:ind w:firstLine="480"/>
      </w:pPr>
      <w:r>
        <w:rPr>
          <w:rFonts w:hint="eastAsia"/>
        </w:rPr>
        <w:t>项目设备安装初期对厂房进行清扫整理会产生少量扬尘，但整理厂房主要在车间内进行，且可通过洒水抑尘，降低扬尘污染，对周围环境空气影响较小。</w:t>
      </w:r>
    </w:p>
    <w:p>
      <w:pPr>
        <w:ind w:firstLine="480"/>
      </w:pPr>
      <w:r>
        <w:rPr>
          <w:rFonts w:hint="eastAsia"/>
        </w:rPr>
        <w:t>项目在建设施工过程中，各种运输车辆排放的废气，汽车运输过程的扬尘，都会给周围环境空气带来污染。污染大气的主要因子是NO2、CO、SO2和扬尘，尤其扬尘污染最为严重。</w:t>
      </w:r>
    </w:p>
    <w:p>
      <w:pPr>
        <w:ind w:firstLine="480"/>
      </w:pPr>
      <w:r>
        <w:rPr>
          <w:rFonts w:hint="eastAsia"/>
        </w:rPr>
        <w:t>据有关文献资料介绍，车辆行驶产生的扬尘占总扬尘的</w:t>
      </w:r>
      <w:r>
        <w:t>60%</w:t>
      </w:r>
      <w:r>
        <w:rPr>
          <w:rFonts w:hint="eastAsia"/>
        </w:rPr>
        <w:t>以上。在完全干燥情况下的经验计算公式为：</w:t>
      </w:r>
    </w:p>
    <w:p>
      <w:pPr>
        <w:adjustRightInd/>
        <w:snapToGrid/>
        <w:ind w:firstLine="480"/>
        <w:jc w:val="center"/>
      </w:pPr>
      <w:r>
        <w:rPr>
          <w:position w:val="-10"/>
        </w:rPr>
        <w:object>
          <v:shape id="_x0000_i1030" o:spt="75" type="#_x0000_t75" style="height:14.25pt;width:173.2pt;" o:ole="t" filled="f" coordsize="21600,21600">
            <v:path/>
            <v:fill on="f" focussize="0,0"/>
            <v:stroke/>
            <v:imagedata r:id="rId86" o:title=""/>
            <o:lock v:ext="edit" aspectratio="t"/>
            <w10:wrap type="none"/>
            <w10:anchorlock/>
          </v:shape>
          <o:OLEObject Type="Embed" ProgID="Equation.3" ShapeID="_x0000_i1030" DrawAspect="Content" ObjectID="_1468075730" r:id="rId85">
            <o:LockedField>false</o:LockedField>
          </o:OLEObject>
        </w:object>
      </w:r>
    </w:p>
    <w:p>
      <w:pPr>
        <w:adjustRightInd/>
        <w:snapToGrid/>
        <w:ind w:firstLine="480"/>
      </w:pPr>
      <w:r>
        <w:rPr>
          <w:rFonts w:hint="eastAsia"/>
        </w:rPr>
        <w:t>式中：</w:t>
      </w:r>
      <w:r>
        <w:t>Q——</w:t>
      </w:r>
      <w:r>
        <w:rPr>
          <w:rFonts w:hint="eastAsia"/>
        </w:rPr>
        <w:t>汽车行驶的扬尘，</w:t>
      </w:r>
      <w:r>
        <w:t>Kg/km·</w:t>
      </w:r>
      <w:r>
        <w:rPr>
          <w:rFonts w:hint="eastAsia"/>
        </w:rPr>
        <w:t>辆；</w:t>
      </w:r>
      <w:r>
        <w:t>V——</w:t>
      </w:r>
      <w:r>
        <w:rPr>
          <w:rFonts w:hint="eastAsia"/>
        </w:rPr>
        <w:t>汽车速度，</w:t>
      </w:r>
      <w:r>
        <w:t>km/h</w:t>
      </w:r>
      <w:r>
        <w:rPr>
          <w:rFonts w:hint="eastAsia"/>
        </w:rPr>
        <w:t>；</w:t>
      </w:r>
    </w:p>
    <w:p>
      <w:pPr>
        <w:adjustRightInd/>
        <w:snapToGrid/>
        <w:ind w:firstLine="480"/>
      </w:pPr>
      <w:r>
        <w:t>W——</w:t>
      </w:r>
      <w:r>
        <w:rPr>
          <w:rFonts w:hint="eastAsia"/>
        </w:rPr>
        <w:t>汽车载重量，吨；</w:t>
      </w:r>
      <w:r>
        <w:t>P——</w:t>
      </w:r>
      <w:r>
        <w:rPr>
          <w:rFonts w:hint="eastAsia"/>
        </w:rPr>
        <w:t>道路表面粉尘量，</w:t>
      </w:r>
      <w:r>
        <w:t>kg/m</w:t>
      </w:r>
      <w:r>
        <w:rPr>
          <w:vertAlign w:val="superscript"/>
        </w:rPr>
        <w:t>2</w:t>
      </w:r>
      <w:r>
        <w:rPr>
          <w:rFonts w:hint="eastAsia"/>
        </w:rPr>
        <w:t>。</w:t>
      </w:r>
    </w:p>
    <w:p>
      <w:pPr>
        <w:adjustRightInd/>
        <w:snapToGrid/>
        <w:ind w:firstLine="480"/>
      </w:pPr>
      <w:r>
        <w:rPr>
          <w:rFonts w:hint="eastAsia"/>
        </w:rPr>
        <w:t>表5.1-1为一辆</w:t>
      </w:r>
      <w:r>
        <w:t>10</w:t>
      </w:r>
      <w:r>
        <w:rPr>
          <w:rFonts w:hint="eastAsia"/>
        </w:rPr>
        <w:t>吨卡车，通过一段长度为</w:t>
      </w:r>
      <w:r>
        <w:t>1km</w:t>
      </w:r>
      <w:r>
        <w:rPr>
          <w:rFonts w:hint="eastAsia"/>
        </w:rPr>
        <w:t>的路面时，不同路面清洁程度，不同行驶速度情况下的扬尘量。由此可见，在同样路面清洁程度条件下，车速越快，扬尘量越大；而在同样车速情况下，路面越脏，则扬尘量越大。因此，可以通过采取限速行驶及保持路面的清洁等措施后，减小汽车扬尘对环境的影响。</w:t>
      </w:r>
    </w:p>
    <w:p>
      <w:pPr>
        <w:spacing w:line="240" w:lineRule="auto"/>
        <w:ind w:firstLine="0" w:firstLineChars="0"/>
        <w:jc w:val="center"/>
        <w:rPr>
          <w:rFonts w:hAnsi="宋体"/>
          <w:b/>
          <w:sz w:val="21"/>
          <w:szCs w:val="24"/>
        </w:rPr>
      </w:pPr>
      <w:bookmarkStart w:id="110" w:name="_Ref25680064"/>
      <w:r>
        <w:rPr>
          <w:rFonts w:hint="eastAsia" w:hAnsi="宋体"/>
          <w:b/>
          <w:sz w:val="21"/>
          <w:szCs w:val="24"/>
        </w:rPr>
        <w:t>表</w:t>
      </w:r>
      <w:r>
        <w:rPr>
          <w:rFonts w:hAnsi="宋体"/>
          <w:b/>
          <w:sz w:val="21"/>
          <w:szCs w:val="24"/>
        </w:rPr>
        <w:fldChar w:fldCharType="begin"/>
      </w:r>
      <w:r>
        <w:rPr>
          <w:rFonts w:hAnsi="宋体"/>
          <w:b/>
          <w:sz w:val="21"/>
          <w:szCs w:val="24"/>
        </w:rPr>
        <w:instrText xml:space="preserve"> </w:instrText>
      </w:r>
      <w:r>
        <w:rPr>
          <w:rFonts w:hint="eastAsia" w:hAnsi="宋体"/>
          <w:b/>
          <w:sz w:val="21"/>
          <w:szCs w:val="24"/>
        </w:rPr>
        <w:instrText xml:space="preserve">STYLEREF 2 \s</w:instrText>
      </w:r>
      <w:r>
        <w:rPr>
          <w:rFonts w:hAnsi="宋体"/>
          <w:b/>
          <w:sz w:val="21"/>
          <w:szCs w:val="24"/>
        </w:rPr>
        <w:instrText xml:space="preserve"> </w:instrText>
      </w:r>
      <w:r>
        <w:rPr>
          <w:rFonts w:hAnsi="宋体"/>
          <w:b/>
          <w:sz w:val="21"/>
          <w:szCs w:val="24"/>
        </w:rPr>
        <w:fldChar w:fldCharType="separate"/>
      </w:r>
      <w:r>
        <w:rPr>
          <w:rFonts w:hAnsi="宋体"/>
          <w:b/>
          <w:sz w:val="21"/>
          <w:szCs w:val="24"/>
        </w:rPr>
        <w:t>5.1</w:t>
      </w:r>
      <w:r>
        <w:rPr>
          <w:rFonts w:hAnsi="宋体"/>
          <w:b/>
          <w:sz w:val="21"/>
          <w:szCs w:val="24"/>
        </w:rPr>
        <w:fldChar w:fldCharType="end"/>
      </w:r>
      <w:r>
        <w:rPr>
          <w:rFonts w:hAnsi="宋体"/>
          <w:b/>
          <w:sz w:val="21"/>
          <w:szCs w:val="24"/>
        </w:rPr>
        <w:noBreakHyphen/>
      </w:r>
      <w:r>
        <w:rPr>
          <w:rFonts w:hAnsi="宋体"/>
          <w:b/>
          <w:sz w:val="21"/>
          <w:szCs w:val="24"/>
        </w:rPr>
        <w:fldChar w:fldCharType="begin"/>
      </w:r>
      <w:r>
        <w:rPr>
          <w:rFonts w:hAnsi="宋体"/>
          <w:b/>
          <w:sz w:val="21"/>
          <w:szCs w:val="24"/>
        </w:rPr>
        <w:instrText xml:space="preserve"> </w:instrText>
      </w:r>
      <w:r>
        <w:rPr>
          <w:rFonts w:hint="eastAsia" w:hAnsi="宋体"/>
          <w:b/>
          <w:sz w:val="21"/>
          <w:szCs w:val="24"/>
        </w:rPr>
        <w:instrText xml:space="preserve">SEQ 表 \* ARABIC \s 2</w:instrText>
      </w:r>
      <w:r>
        <w:rPr>
          <w:rFonts w:hAnsi="宋体"/>
          <w:b/>
          <w:sz w:val="21"/>
          <w:szCs w:val="24"/>
        </w:rPr>
        <w:instrText xml:space="preserve"> </w:instrText>
      </w:r>
      <w:r>
        <w:rPr>
          <w:rFonts w:hAnsi="宋体"/>
          <w:b/>
          <w:sz w:val="21"/>
          <w:szCs w:val="24"/>
        </w:rPr>
        <w:fldChar w:fldCharType="separate"/>
      </w:r>
      <w:r>
        <w:rPr>
          <w:rFonts w:hAnsi="宋体"/>
          <w:b/>
          <w:sz w:val="21"/>
          <w:szCs w:val="24"/>
        </w:rPr>
        <w:t>1</w:t>
      </w:r>
      <w:r>
        <w:rPr>
          <w:rFonts w:hAnsi="宋体"/>
          <w:b/>
          <w:sz w:val="21"/>
          <w:szCs w:val="24"/>
        </w:rPr>
        <w:fldChar w:fldCharType="end"/>
      </w:r>
      <w:bookmarkEnd w:id="110"/>
      <w:r>
        <w:rPr>
          <w:rFonts w:hAnsi="宋体"/>
          <w:b/>
          <w:sz w:val="21"/>
          <w:szCs w:val="24"/>
        </w:rPr>
        <w:t xml:space="preserve">  </w:t>
      </w:r>
      <w:r>
        <w:rPr>
          <w:rFonts w:hint="eastAsia" w:hAnsi="宋体"/>
          <w:b/>
          <w:sz w:val="21"/>
          <w:szCs w:val="24"/>
        </w:rPr>
        <w:t>不同车速和地面清洁程度的汽车扬尘</w:t>
      </w:r>
      <w:r>
        <w:rPr>
          <w:rFonts w:hAnsi="宋体"/>
          <w:b/>
          <w:sz w:val="21"/>
          <w:szCs w:val="24"/>
        </w:rPr>
        <w:t xml:space="preserve">    </w:t>
      </w:r>
      <w:r>
        <w:rPr>
          <w:rFonts w:hint="eastAsia" w:hAnsi="宋体"/>
          <w:b/>
          <w:sz w:val="21"/>
          <w:szCs w:val="24"/>
        </w:rPr>
        <w:t>单位：</w:t>
      </w:r>
      <w:r>
        <w:rPr>
          <w:rFonts w:hAnsi="宋体"/>
          <w:b/>
          <w:sz w:val="21"/>
          <w:szCs w:val="24"/>
        </w:rPr>
        <w:t>kg/</w:t>
      </w:r>
      <w:r>
        <w:rPr>
          <w:rFonts w:hint="eastAsia" w:hAnsi="宋体"/>
          <w:b/>
          <w:sz w:val="21"/>
          <w:szCs w:val="24"/>
        </w:rPr>
        <w:t>辆·</w:t>
      </w:r>
      <w:r>
        <w:rPr>
          <w:rFonts w:hAnsi="宋体"/>
          <w:b/>
          <w:sz w:val="21"/>
          <w:szCs w:val="24"/>
        </w:rPr>
        <w:t>km</w:t>
      </w:r>
    </w:p>
    <w:tbl>
      <w:tblPr>
        <w:tblStyle w:val="35"/>
        <w:tblW w:w="904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0"/>
        <w:gridCol w:w="1291"/>
        <w:gridCol w:w="1291"/>
        <w:gridCol w:w="1291"/>
        <w:gridCol w:w="1291"/>
        <w:gridCol w:w="1293"/>
        <w:gridCol w:w="12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90" w:type="dxa"/>
            <w:tcBorders>
              <w:top w:val="single" w:color="auto" w:sz="12" w:space="0"/>
              <w:left w:val="single" w:color="auto" w:sz="12" w:space="0"/>
              <w:bottom w:val="single" w:color="auto" w:sz="6" w:space="0"/>
              <w:right w:val="single" w:color="auto" w:sz="6" w:space="0"/>
              <w:tl2br w:val="single" w:color="auto" w:sz="6" w:space="0"/>
            </w:tcBorders>
          </w:tcPr>
          <w:p>
            <w:pPr>
              <w:autoSpaceDE w:val="0"/>
              <w:autoSpaceDN w:val="0"/>
              <w:snapToGrid/>
              <w:spacing w:line="240" w:lineRule="auto"/>
              <w:ind w:firstLine="0" w:firstLineChars="0"/>
              <w:jc w:val="center"/>
              <w:textAlignment w:val="bottom"/>
              <w:rPr>
                <w:sz w:val="21"/>
                <w:szCs w:val="20"/>
              </w:rPr>
            </w:pPr>
            <w:r>
              <w:rPr>
                <w:sz w:val="21"/>
                <w:szCs w:val="20"/>
              </w:rPr>
              <w:t>P</w:t>
            </w:r>
          </w:p>
          <w:p>
            <w:pPr>
              <w:autoSpaceDE w:val="0"/>
              <w:autoSpaceDN w:val="0"/>
              <w:snapToGrid/>
              <w:spacing w:line="240" w:lineRule="auto"/>
              <w:ind w:firstLine="0" w:firstLineChars="0"/>
              <w:jc w:val="center"/>
              <w:textAlignment w:val="bottom"/>
              <w:rPr>
                <w:sz w:val="21"/>
                <w:szCs w:val="24"/>
              </w:rPr>
            </w:pPr>
            <w:r>
              <w:rPr>
                <w:rFonts w:hint="eastAsia"/>
                <w:sz w:val="21"/>
                <w:szCs w:val="20"/>
              </w:rPr>
              <w:t>车速</w:t>
            </w:r>
          </w:p>
        </w:tc>
        <w:tc>
          <w:tcPr>
            <w:tcW w:w="1291" w:type="dxa"/>
            <w:tcBorders>
              <w:top w:val="single" w:color="auto" w:sz="12"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w:t>
            </w:r>
          </w:p>
          <w:p>
            <w:pPr>
              <w:autoSpaceDE w:val="0"/>
              <w:autoSpaceDN w:val="0"/>
              <w:snapToGrid/>
              <w:spacing w:line="240" w:lineRule="auto"/>
              <w:ind w:firstLine="0" w:firstLineChars="0"/>
              <w:jc w:val="center"/>
              <w:textAlignment w:val="bottom"/>
              <w:rPr>
                <w:sz w:val="21"/>
                <w:szCs w:val="20"/>
              </w:rPr>
            </w:pPr>
            <w:r>
              <w:rPr>
                <w:sz w:val="21"/>
                <w:szCs w:val="20"/>
              </w:rPr>
              <w:t>(kg/m</w:t>
            </w:r>
            <w:r>
              <w:rPr>
                <w:sz w:val="21"/>
                <w:szCs w:val="20"/>
                <w:vertAlign w:val="superscript"/>
              </w:rPr>
              <w:t>2</w:t>
            </w:r>
            <w:r>
              <w:rPr>
                <w:sz w:val="21"/>
                <w:szCs w:val="20"/>
              </w:rPr>
              <w:t>)</w:t>
            </w:r>
          </w:p>
        </w:tc>
        <w:tc>
          <w:tcPr>
            <w:tcW w:w="1291" w:type="dxa"/>
            <w:tcBorders>
              <w:top w:val="single" w:color="auto" w:sz="12"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0.2</w:t>
            </w:r>
          </w:p>
          <w:p>
            <w:pPr>
              <w:autoSpaceDE w:val="0"/>
              <w:autoSpaceDN w:val="0"/>
              <w:snapToGrid/>
              <w:spacing w:line="240" w:lineRule="auto"/>
              <w:ind w:firstLine="0" w:firstLineChars="0"/>
              <w:jc w:val="center"/>
              <w:textAlignment w:val="bottom"/>
              <w:rPr>
                <w:sz w:val="21"/>
                <w:szCs w:val="20"/>
              </w:rPr>
            </w:pPr>
            <w:r>
              <w:rPr>
                <w:sz w:val="21"/>
                <w:szCs w:val="20"/>
              </w:rPr>
              <w:t>(kg/m</w:t>
            </w:r>
            <w:r>
              <w:rPr>
                <w:sz w:val="21"/>
                <w:szCs w:val="20"/>
                <w:vertAlign w:val="superscript"/>
              </w:rPr>
              <w:t>2</w:t>
            </w:r>
            <w:r>
              <w:rPr>
                <w:sz w:val="21"/>
                <w:szCs w:val="20"/>
              </w:rPr>
              <w:t>)</w:t>
            </w:r>
          </w:p>
        </w:tc>
        <w:tc>
          <w:tcPr>
            <w:tcW w:w="1291" w:type="dxa"/>
            <w:tcBorders>
              <w:top w:val="single" w:color="auto" w:sz="12"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0.3</w:t>
            </w:r>
          </w:p>
          <w:p>
            <w:pPr>
              <w:autoSpaceDE w:val="0"/>
              <w:autoSpaceDN w:val="0"/>
              <w:snapToGrid/>
              <w:spacing w:line="240" w:lineRule="auto"/>
              <w:ind w:firstLine="0" w:firstLineChars="0"/>
              <w:jc w:val="center"/>
              <w:textAlignment w:val="bottom"/>
              <w:rPr>
                <w:sz w:val="21"/>
                <w:szCs w:val="20"/>
              </w:rPr>
            </w:pPr>
            <w:r>
              <w:rPr>
                <w:sz w:val="21"/>
                <w:szCs w:val="20"/>
              </w:rPr>
              <w:t>(kg/m</w:t>
            </w:r>
            <w:r>
              <w:rPr>
                <w:sz w:val="21"/>
                <w:szCs w:val="20"/>
                <w:vertAlign w:val="superscript"/>
              </w:rPr>
              <w:t>2</w:t>
            </w:r>
            <w:r>
              <w:rPr>
                <w:sz w:val="21"/>
                <w:szCs w:val="20"/>
              </w:rPr>
              <w:t>)</w:t>
            </w:r>
          </w:p>
        </w:tc>
        <w:tc>
          <w:tcPr>
            <w:tcW w:w="1291" w:type="dxa"/>
            <w:tcBorders>
              <w:top w:val="single" w:color="auto" w:sz="12"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0.4</w:t>
            </w:r>
          </w:p>
          <w:p>
            <w:pPr>
              <w:autoSpaceDE w:val="0"/>
              <w:autoSpaceDN w:val="0"/>
              <w:snapToGrid/>
              <w:spacing w:line="240" w:lineRule="auto"/>
              <w:ind w:firstLine="0" w:firstLineChars="0"/>
              <w:jc w:val="center"/>
              <w:textAlignment w:val="bottom"/>
              <w:rPr>
                <w:sz w:val="21"/>
                <w:szCs w:val="20"/>
              </w:rPr>
            </w:pPr>
            <w:r>
              <w:rPr>
                <w:sz w:val="21"/>
                <w:szCs w:val="20"/>
              </w:rPr>
              <w:t>(kg/m</w:t>
            </w:r>
            <w:r>
              <w:rPr>
                <w:sz w:val="21"/>
                <w:szCs w:val="20"/>
                <w:vertAlign w:val="superscript"/>
              </w:rPr>
              <w:t>2</w:t>
            </w:r>
            <w:r>
              <w:rPr>
                <w:sz w:val="21"/>
                <w:szCs w:val="20"/>
              </w:rPr>
              <w:t>)</w:t>
            </w:r>
          </w:p>
        </w:tc>
        <w:tc>
          <w:tcPr>
            <w:tcW w:w="1293" w:type="dxa"/>
            <w:tcBorders>
              <w:top w:val="single" w:color="auto" w:sz="12"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0.5</w:t>
            </w:r>
          </w:p>
          <w:p>
            <w:pPr>
              <w:autoSpaceDE w:val="0"/>
              <w:autoSpaceDN w:val="0"/>
              <w:snapToGrid/>
              <w:spacing w:line="240" w:lineRule="auto"/>
              <w:ind w:firstLine="0" w:firstLineChars="0"/>
              <w:jc w:val="center"/>
              <w:textAlignment w:val="bottom"/>
              <w:rPr>
                <w:sz w:val="21"/>
                <w:szCs w:val="20"/>
              </w:rPr>
            </w:pPr>
            <w:r>
              <w:rPr>
                <w:sz w:val="21"/>
                <w:szCs w:val="20"/>
              </w:rPr>
              <w:t>(kg/m</w:t>
            </w:r>
            <w:r>
              <w:rPr>
                <w:sz w:val="21"/>
                <w:szCs w:val="20"/>
                <w:vertAlign w:val="superscript"/>
              </w:rPr>
              <w:t>2</w:t>
            </w:r>
            <w:r>
              <w:rPr>
                <w:sz w:val="21"/>
                <w:szCs w:val="20"/>
              </w:rPr>
              <w:t>)</w:t>
            </w:r>
          </w:p>
        </w:tc>
        <w:tc>
          <w:tcPr>
            <w:tcW w:w="1293" w:type="dxa"/>
            <w:tcBorders>
              <w:top w:val="single" w:color="auto" w:sz="12" w:space="0"/>
              <w:left w:val="single" w:color="auto" w:sz="6" w:space="0"/>
              <w:bottom w:val="single" w:color="auto" w:sz="6" w:space="0"/>
              <w:right w:val="single" w:color="auto" w:sz="12"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1</w:t>
            </w:r>
          </w:p>
          <w:p>
            <w:pPr>
              <w:autoSpaceDE w:val="0"/>
              <w:autoSpaceDN w:val="0"/>
              <w:snapToGrid/>
              <w:spacing w:line="240" w:lineRule="auto"/>
              <w:ind w:firstLine="0" w:firstLineChars="0"/>
              <w:jc w:val="center"/>
              <w:textAlignment w:val="bottom"/>
              <w:rPr>
                <w:sz w:val="21"/>
                <w:szCs w:val="20"/>
              </w:rPr>
            </w:pPr>
            <w:r>
              <w:rPr>
                <w:sz w:val="21"/>
                <w:szCs w:val="20"/>
              </w:rPr>
              <w:t>(kg/m</w:t>
            </w:r>
            <w:r>
              <w:rPr>
                <w:sz w:val="21"/>
                <w:szCs w:val="20"/>
                <w:vertAlign w:val="superscript"/>
              </w:rPr>
              <w:t>2</w:t>
            </w:r>
            <w:r>
              <w:rPr>
                <w:sz w:val="21"/>
                <w:szCs w:val="20"/>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90" w:type="dxa"/>
            <w:tcBorders>
              <w:top w:val="single" w:color="auto" w:sz="6" w:space="0"/>
              <w:left w:val="single" w:color="auto" w:sz="12"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5(km/h)</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0.051056</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0.085865</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0.116382</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0.144408</w:t>
            </w:r>
          </w:p>
        </w:tc>
        <w:tc>
          <w:tcPr>
            <w:tcW w:w="1293"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0.170715</w:t>
            </w:r>
          </w:p>
        </w:tc>
        <w:tc>
          <w:tcPr>
            <w:tcW w:w="1293" w:type="dxa"/>
            <w:tcBorders>
              <w:top w:val="single" w:color="auto" w:sz="6" w:space="0"/>
              <w:left w:val="single" w:color="auto" w:sz="6" w:space="0"/>
              <w:bottom w:val="single" w:color="auto" w:sz="6" w:space="0"/>
              <w:right w:val="single" w:color="auto" w:sz="12"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90" w:type="dxa"/>
            <w:tcBorders>
              <w:top w:val="single" w:color="auto" w:sz="6" w:space="0"/>
              <w:left w:val="single" w:color="auto" w:sz="12"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10(km/h)</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0.102112</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0.171731</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0.232764</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0.288815</w:t>
            </w:r>
          </w:p>
        </w:tc>
        <w:tc>
          <w:tcPr>
            <w:tcW w:w="1293"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0.341431</w:t>
            </w:r>
          </w:p>
        </w:tc>
        <w:tc>
          <w:tcPr>
            <w:tcW w:w="1293" w:type="dxa"/>
            <w:tcBorders>
              <w:top w:val="single" w:color="auto" w:sz="6" w:space="0"/>
              <w:left w:val="single" w:color="auto" w:sz="6" w:space="0"/>
              <w:bottom w:val="single" w:color="auto" w:sz="6" w:space="0"/>
              <w:right w:val="single" w:color="auto" w:sz="12"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90" w:type="dxa"/>
            <w:tcBorders>
              <w:top w:val="single" w:color="auto" w:sz="6" w:space="0"/>
              <w:left w:val="single" w:color="auto" w:sz="12"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15(km/h)</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0.153167</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0.257596</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0.349146</w:t>
            </w:r>
          </w:p>
        </w:tc>
        <w:tc>
          <w:tcPr>
            <w:tcW w:w="1291"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0.433223</w:t>
            </w:r>
          </w:p>
        </w:tc>
        <w:tc>
          <w:tcPr>
            <w:tcW w:w="1293" w:type="dxa"/>
            <w:tcBorders>
              <w:top w:val="single" w:color="auto" w:sz="6" w:space="0"/>
              <w:left w:val="single" w:color="auto" w:sz="6" w:space="0"/>
              <w:bottom w:val="single" w:color="auto" w:sz="6"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0.512146</w:t>
            </w:r>
          </w:p>
        </w:tc>
        <w:tc>
          <w:tcPr>
            <w:tcW w:w="1293" w:type="dxa"/>
            <w:tcBorders>
              <w:top w:val="single" w:color="auto" w:sz="6" w:space="0"/>
              <w:left w:val="single" w:color="auto" w:sz="6" w:space="0"/>
              <w:bottom w:val="single" w:color="auto" w:sz="6" w:space="0"/>
              <w:right w:val="single" w:color="auto" w:sz="12"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290" w:type="dxa"/>
            <w:tcBorders>
              <w:top w:val="single" w:color="auto" w:sz="6" w:space="0"/>
              <w:left w:val="single" w:color="auto" w:sz="12" w:space="0"/>
              <w:bottom w:val="single" w:color="auto" w:sz="12"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25(km/h)</w:t>
            </w:r>
          </w:p>
        </w:tc>
        <w:tc>
          <w:tcPr>
            <w:tcW w:w="1291" w:type="dxa"/>
            <w:tcBorders>
              <w:top w:val="single" w:color="auto" w:sz="6" w:space="0"/>
              <w:left w:val="single" w:color="auto" w:sz="6" w:space="0"/>
              <w:bottom w:val="single" w:color="auto" w:sz="12"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0.255279</w:t>
            </w:r>
          </w:p>
        </w:tc>
        <w:tc>
          <w:tcPr>
            <w:tcW w:w="1291" w:type="dxa"/>
            <w:tcBorders>
              <w:top w:val="single" w:color="auto" w:sz="6" w:space="0"/>
              <w:left w:val="single" w:color="auto" w:sz="6" w:space="0"/>
              <w:bottom w:val="single" w:color="auto" w:sz="12"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0.429326</w:t>
            </w:r>
          </w:p>
        </w:tc>
        <w:tc>
          <w:tcPr>
            <w:tcW w:w="1291" w:type="dxa"/>
            <w:tcBorders>
              <w:top w:val="single" w:color="auto" w:sz="6" w:space="0"/>
              <w:left w:val="single" w:color="auto" w:sz="6" w:space="0"/>
              <w:bottom w:val="single" w:color="auto" w:sz="12"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0.58191</w:t>
            </w:r>
          </w:p>
        </w:tc>
        <w:tc>
          <w:tcPr>
            <w:tcW w:w="1291" w:type="dxa"/>
            <w:tcBorders>
              <w:top w:val="single" w:color="auto" w:sz="6" w:space="0"/>
              <w:left w:val="single" w:color="auto" w:sz="6" w:space="0"/>
              <w:bottom w:val="single" w:color="auto" w:sz="12"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0.722038</w:t>
            </w:r>
          </w:p>
        </w:tc>
        <w:tc>
          <w:tcPr>
            <w:tcW w:w="1293" w:type="dxa"/>
            <w:tcBorders>
              <w:top w:val="single" w:color="auto" w:sz="6" w:space="0"/>
              <w:left w:val="single" w:color="auto" w:sz="6" w:space="0"/>
              <w:bottom w:val="single" w:color="auto" w:sz="12" w:space="0"/>
              <w:right w:val="single" w:color="auto" w:sz="6"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0.853577</w:t>
            </w:r>
          </w:p>
        </w:tc>
        <w:tc>
          <w:tcPr>
            <w:tcW w:w="1293" w:type="dxa"/>
            <w:tcBorders>
              <w:top w:val="single" w:color="auto" w:sz="6" w:space="0"/>
              <w:left w:val="single" w:color="auto" w:sz="6" w:space="0"/>
              <w:bottom w:val="single" w:color="auto" w:sz="12" w:space="0"/>
              <w:right w:val="single" w:color="auto" w:sz="12" w:space="0"/>
            </w:tcBorders>
            <w:vAlign w:val="center"/>
          </w:tcPr>
          <w:p>
            <w:pPr>
              <w:autoSpaceDE w:val="0"/>
              <w:autoSpaceDN w:val="0"/>
              <w:snapToGrid/>
              <w:spacing w:line="240" w:lineRule="auto"/>
              <w:ind w:firstLine="0" w:firstLineChars="0"/>
              <w:jc w:val="center"/>
              <w:textAlignment w:val="bottom"/>
              <w:rPr>
                <w:sz w:val="21"/>
                <w:szCs w:val="20"/>
              </w:rPr>
            </w:pPr>
            <w:r>
              <w:rPr>
                <w:sz w:val="21"/>
                <w:szCs w:val="20"/>
              </w:rPr>
              <w:t>1.435539</w:t>
            </w:r>
          </w:p>
        </w:tc>
      </w:tr>
    </w:tbl>
    <w:p>
      <w:pPr>
        <w:ind w:firstLine="480"/>
      </w:pPr>
      <w:r>
        <w:rPr>
          <w:rFonts w:hint="eastAsia"/>
        </w:rPr>
        <w:t>项目施工期间应严格执行《陕西省扬尘污染专项整治行动方案》、《陕西省铁腕治霾打赢蓝天保卫战三年行动方案》（</w:t>
      </w:r>
      <w:r>
        <w:t>2018-2020</w:t>
      </w:r>
      <w:r>
        <w:rPr>
          <w:rFonts w:hint="eastAsia"/>
        </w:rPr>
        <w:t>）（修订版）、《安康市铁腕治霾打赢蓝天保卫战三年行动方案（2018-2020年）》、《旬阳市铁腕治霾打赢蓝天保卫战三年行动方案（2018-2020年）》</w:t>
      </w:r>
      <w:r>
        <w:rPr>
          <w:rFonts w:hint="eastAsia" w:hAnsi="宋体"/>
        </w:rPr>
        <w:t>等</w:t>
      </w:r>
      <w:r>
        <w:rPr>
          <w:rFonts w:hint="eastAsia"/>
        </w:rPr>
        <w:t>关于控制施工工地扬尘的环境保护管理办法，可有效地遏制施工扬尘的生成，通过采取减少露天堆放和保证一定的含水率及减少裸露地面等措施后，风力起尘对环境的影响较小。</w:t>
      </w:r>
    </w:p>
    <w:p>
      <w:pPr>
        <w:ind w:firstLine="482"/>
        <w:rPr>
          <w:b/>
        </w:rPr>
      </w:pPr>
      <w:r>
        <w:rPr>
          <w:b/>
        </w:rPr>
        <w:t>2</w:t>
      </w:r>
      <w:r>
        <w:rPr>
          <w:rFonts w:hint="eastAsia"/>
          <w:b/>
        </w:rPr>
        <w:t>、施工机械废气影响分析</w:t>
      </w:r>
    </w:p>
    <w:p>
      <w:pPr>
        <w:ind w:firstLine="480"/>
      </w:pPr>
      <w:r>
        <w:rPr>
          <w:rFonts w:hint="eastAsia"/>
        </w:rPr>
        <w:t>（</w:t>
      </w:r>
      <w:r>
        <w:t>1</w:t>
      </w:r>
      <w:r>
        <w:rPr>
          <w:rFonts w:hint="eastAsia"/>
        </w:rPr>
        <w:t>）废气主要来源</w:t>
      </w:r>
    </w:p>
    <w:p>
      <w:pPr>
        <w:ind w:firstLine="480"/>
      </w:pPr>
      <w:r>
        <w:rPr>
          <w:rFonts w:hint="eastAsia"/>
        </w:rPr>
        <w:t>施工建设期间，废气主要来自施工机械运行排放废气、各种设备运输车辆排放汽车尾气等对环境空气的影响。</w:t>
      </w:r>
    </w:p>
    <w:p>
      <w:pPr>
        <w:ind w:firstLine="480"/>
      </w:pPr>
      <w:r>
        <w:rPr>
          <w:rFonts w:hint="eastAsia"/>
        </w:rPr>
        <w:t>（</w:t>
      </w:r>
      <w:r>
        <w:t>2</w:t>
      </w:r>
      <w:r>
        <w:rPr>
          <w:rFonts w:hint="eastAsia"/>
        </w:rPr>
        <w:t>）车辆尾气环境影响分析</w:t>
      </w:r>
    </w:p>
    <w:p>
      <w:pPr>
        <w:ind w:firstLine="480"/>
      </w:pPr>
      <w:r>
        <w:rPr>
          <w:rFonts w:hint="eastAsia"/>
        </w:rPr>
        <w:t>车辆尾气中主要污染物为</w:t>
      </w:r>
      <w:r>
        <w:t>CO</w:t>
      </w:r>
      <w:r>
        <w:rPr>
          <w:rFonts w:hint="eastAsia"/>
        </w:rPr>
        <w:t>、</w:t>
      </w:r>
      <w:r>
        <w:t>NOx</w:t>
      </w:r>
      <w:r>
        <w:rPr>
          <w:rFonts w:hint="eastAsia"/>
        </w:rPr>
        <w:t>及碳氢化合物等，间断排放，工程在加强施工车辆运行管理与维护保养情况下，可减少尾气排放对环境的污染，对环境影响小。同时要求所采用的机械设备若燃用柴油，其排气污染物中的</w:t>
      </w:r>
      <w:r>
        <w:t>NOx</w:t>
      </w:r>
      <w:r>
        <w:rPr>
          <w:rFonts w:hint="eastAsia"/>
        </w:rPr>
        <w:t>、</w:t>
      </w:r>
      <w:r>
        <w:t>CO</w:t>
      </w:r>
      <w:r>
        <w:rPr>
          <w:rFonts w:hint="eastAsia"/>
        </w:rPr>
        <w:t>及</w:t>
      </w:r>
      <w:r>
        <w:t>CH</w:t>
      </w:r>
      <w:r>
        <w:rPr>
          <w:rFonts w:hint="eastAsia"/>
        </w:rPr>
        <w:t>化合物等排放量不应该超过《非道路移动机械用柴油机排气污染物排放限制及测量方法》（</w:t>
      </w:r>
      <w:r>
        <w:t>GB20891-2014</w:t>
      </w:r>
      <w:r>
        <w:rPr>
          <w:rFonts w:hint="eastAsia"/>
        </w:rPr>
        <w:t>）（中国第三、四阶段）排放限值。</w:t>
      </w:r>
    </w:p>
    <w:p>
      <w:pPr>
        <w:pStyle w:val="4"/>
      </w:pPr>
      <w:bookmarkStart w:id="111" w:name="_Toc12149"/>
      <w:r>
        <w:t>施工期水环境影响分析</w:t>
      </w:r>
      <w:bookmarkEnd w:id="111"/>
    </w:p>
    <w:p>
      <w:pPr>
        <w:ind w:firstLine="480"/>
      </w:pPr>
      <w:r>
        <w:t>本项目施工期</w:t>
      </w:r>
      <w:r>
        <w:rPr>
          <w:rFonts w:hint="eastAsia"/>
        </w:rPr>
        <w:t>无</w:t>
      </w:r>
      <w:r>
        <w:t>土建工程，无生产废水产生，施工期废水主要为生活废水。</w:t>
      </w:r>
    </w:p>
    <w:p>
      <w:pPr>
        <w:pStyle w:val="87"/>
        <w:ind w:firstLine="480"/>
      </w:pPr>
      <w:r>
        <w:rPr>
          <w:rFonts w:hAnsi="宋体" w:cs="Times New Roman"/>
          <w:lang w:val="zh-CN"/>
        </w:rPr>
        <w:t>本项目周围配套</w:t>
      </w:r>
      <w:r>
        <w:rPr>
          <w:rFonts w:hint="eastAsia" w:hAnsi="宋体" w:cs="Times New Roman"/>
          <w:lang w:val="zh-CN"/>
        </w:rPr>
        <w:t>设施</w:t>
      </w:r>
      <w:r>
        <w:rPr>
          <w:rFonts w:hAnsi="宋体" w:cs="Times New Roman"/>
          <w:lang w:val="zh-CN"/>
        </w:rPr>
        <w:t>齐全，</w:t>
      </w:r>
      <w:r>
        <w:rPr>
          <w:rFonts w:hint="eastAsia" w:hAnsi="宋体" w:cs="Times New Roman"/>
          <w:lang w:val="zh-CN"/>
        </w:rPr>
        <w:t>施工期</w:t>
      </w:r>
      <w:r>
        <w:rPr>
          <w:rFonts w:hAnsi="宋体" w:cs="Times New Roman"/>
          <w:lang w:val="zh-CN"/>
        </w:rPr>
        <w:t>不设置施工营地，施工期</w:t>
      </w:r>
      <w:r>
        <w:rPr>
          <w:rFonts w:hint="eastAsia" w:cs="Times New Roman"/>
        </w:rPr>
        <w:t>高峰</w:t>
      </w:r>
      <w:r>
        <w:rPr>
          <w:rFonts w:cs="Times New Roman"/>
        </w:rPr>
        <w:t>施工人数约</w:t>
      </w:r>
      <w:r>
        <w:rPr>
          <w:rFonts w:hint="eastAsia" w:cs="Times New Roman"/>
        </w:rPr>
        <w:t>为</w:t>
      </w:r>
      <w:r>
        <w:rPr>
          <w:rFonts w:cs="Times New Roman"/>
        </w:rPr>
        <w:t>15人。用水</w:t>
      </w:r>
      <w:r>
        <w:rPr>
          <w:rFonts w:hint="eastAsia" w:cs="Times New Roman"/>
        </w:rPr>
        <w:t>量</w:t>
      </w:r>
      <w:r>
        <w:rPr>
          <w:rFonts w:cs="Times New Roman"/>
        </w:rPr>
        <w:t>0.52m</w:t>
      </w:r>
      <w:r>
        <w:rPr>
          <w:rFonts w:cs="Times New Roman"/>
          <w:vertAlign w:val="superscript"/>
        </w:rPr>
        <w:t>3</w:t>
      </w:r>
      <w:r>
        <w:rPr>
          <w:rFonts w:cs="Times New Roman"/>
        </w:rPr>
        <w:t>/d，施工期生活污水最大排放量为0.45m</w:t>
      </w:r>
      <w:r>
        <w:rPr>
          <w:rFonts w:cs="Times New Roman"/>
          <w:vertAlign w:val="superscript"/>
        </w:rPr>
        <w:t>3</w:t>
      </w:r>
      <w:r>
        <w:rPr>
          <w:rFonts w:cs="Times New Roman"/>
        </w:rPr>
        <w:t>/d。生活污水中的主要污染物为COD、SS和氨氮，</w:t>
      </w:r>
      <w:r>
        <w:rPr>
          <w:rFonts w:hint="eastAsia" w:cs="Times New Roman"/>
        </w:rPr>
        <w:t>生活</w:t>
      </w:r>
      <w:r>
        <w:rPr>
          <w:rFonts w:cs="Times New Roman"/>
        </w:rPr>
        <w:t>废水依托</w:t>
      </w:r>
      <w:r>
        <w:rPr>
          <w:rFonts w:hint="eastAsia" w:cs="Times New Roman"/>
        </w:rPr>
        <w:t>国厂区内</w:t>
      </w:r>
      <w:r>
        <w:rPr>
          <w:rFonts w:cs="Times New Roman"/>
        </w:rPr>
        <w:t>已建成的化粪池</w:t>
      </w:r>
      <w:r>
        <w:rPr>
          <w:rFonts w:hint="eastAsia" w:cs="Times New Roman"/>
        </w:rPr>
        <w:t>处理</w:t>
      </w:r>
      <w:r>
        <w:rPr>
          <w:rFonts w:cs="Times New Roman"/>
        </w:rPr>
        <w:t>，经化粪池处理后排入</w:t>
      </w:r>
      <w:r>
        <w:rPr>
          <w:rFonts w:hint="eastAsia" w:cs="Times New Roman"/>
        </w:rPr>
        <w:t>吕河镇</w:t>
      </w:r>
      <w:r>
        <w:rPr>
          <w:rFonts w:cs="Times New Roman"/>
        </w:rPr>
        <w:t>污水处理厂</w:t>
      </w:r>
      <w:r>
        <w:rPr>
          <w:rFonts w:hint="eastAsia" w:cs="Times New Roman"/>
        </w:rPr>
        <w:t>，</w:t>
      </w:r>
      <w:r>
        <w:rPr>
          <w:rFonts w:cs="Times New Roman"/>
        </w:rPr>
        <w:t>对项目周围的水环境影响较小。</w:t>
      </w:r>
    </w:p>
    <w:p>
      <w:pPr>
        <w:pStyle w:val="4"/>
      </w:pPr>
      <w:bookmarkStart w:id="112" w:name="_Toc12109"/>
      <w:r>
        <w:t>施工期声环境影响分析</w:t>
      </w:r>
      <w:bookmarkEnd w:id="112"/>
    </w:p>
    <w:p>
      <w:pPr>
        <w:pStyle w:val="87"/>
        <w:ind w:firstLine="480"/>
      </w:pPr>
      <w:bookmarkStart w:id="113" w:name="_Toc16715"/>
      <w:bookmarkStart w:id="114" w:name="_Toc400975756"/>
      <w:bookmarkStart w:id="115" w:name="_Toc30961"/>
      <w:bookmarkStart w:id="116" w:name="_Toc391912395"/>
      <w:bookmarkStart w:id="117" w:name="_Toc25590"/>
      <w:bookmarkStart w:id="118" w:name="_Toc406942378"/>
      <w:r>
        <w:rPr>
          <w:rFonts w:hint="eastAsia"/>
          <w:snapToGrid w:val="0"/>
        </w:rPr>
        <w:t>施工期主要噪声源为施工机械的高噪声以及运输车辆的交通噪声，施工期噪声对施工现场人员及周围的环境敏感目标环境将产生一定的影响，但为暂时性的，随着施</w:t>
      </w:r>
      <w:r>
        <w:rPr>
          <w:rFonts w:hint="eastAsia"/>
        </w:rPr>
        <w:t>工的结束影响将结束。</w:t>
      </w:r>
    </w:p>
    <w:p>
      <w:pPr>
        <w:pStyle w:val="87"/>
        <w:ind w:firstLine="482"/>
        <w:rPr>
          <w:b/>
        </w:rPr>
      </w:pPr>
      <w:r>
        <w:rPr>
          <w:rFonts w:hint="eastAsia"/>
          <w:b/>
        </w:rPr>
        <w:t>1、施工期主要噪声源</w:t>
      </w:r>
    </w:p>
    <w:p>
      <w:pPr>
        <w:ind w:firstLine="480"/>
      </w:pPr>
      <w:r>
        <w:rPr>
          <w:rFonts w:hint="eastAsia"/>
        </w:rPr>
        <w:t>噪声污染是施工期的主要环境问题，噪声源主要为各种施工机械和运输车辆，施工期主要设备噪声源为切割机</w:t>
      </w:r>
      <w:r>
        <w:t>、电焊机</w:t>
      </w:r>
      <w:r>
        <w:rPr>
          <w:rFonts w:hint="eastAsia"/>
        </w:rPr>
        <w:t>、</w:t>
      </w:r>
      <w:r>
        <w:t>电钻</w:t>
      </w:r>
      <w:r>
        <w:rPr>
          <w:rFonts w:hint="eastAsia"/>
        </w:rPr>
        <w:t>、</w:t>
      </w:r>
      <w:r>
        <w:t>电锯</w:t>
      </w:r>
      <w:r>
        <w:rPr>
          <w:rFonts w:hint="eastAsia"/>
        </w:rPr>
        <w:t>等。噪声源强约在</w:t>
      </w:r>
      <w:r>
        <w:t>85~95dB</w:t>
      </w:r>
      <w:r>
        <w:rPr>
          <w:rFonts w:hint="eastAsia"/>
        </w:rPr>
        <w:t>（</w:t>
      </w:r>
      <w:r>
        <w:t>A</w:t>
      </w:r>
      <w:r>
        <w:rPr>
          <w:rFonts w:hint="eastAsia"/>
        </w:rPr>
        <w:t>），具有噪声源相对稳定和施工作业时间不稳定、波动性大的特征。应做好施工的程序安排，将施工期间产生的噪声污染降低到最小程度。</w:t>
      </w:r>
    </w:p>
    <w:p>
      <w:pPr>
        <w:pStyle w:val="87"/>
        <w:ind w:firstLine="482"/>
        <w:rPr>
          <w:b/>
        </w:rPr>
      </w:pPr>
      <w:r>
        <w:rPr>
          <w:rFonts w:hint="eastAsia"/>
          <w:b/>
        </w:rPr>
        <w:t>2、施工期噪声预测结果及影响分析</w:t>
      </w:r>
    </w:p>
    <w:p>
      <w:pPr>
        <w:pStyle w:val="87"/>
        <w:ind w:firstLine="480"/>
      </w:pPr>
      <w:r>
        <w:rPr>
          <w:rFonts w:hint="eastAsia"/>
        </w:rPr>
        <w:t>根据声环境评价导则的有关规定，选用噪声预测模式。</w:t>
      </w:r>
    </w:p>
    <w:p>
      <w:pPr>
        <w:pStyle w:val="87"/>
        <w:ind w:firstLine="480"/>
      </w:pPr>
      <w:r>
        <w:rPr>
          <w:rFonts w:hint="eastAsia"/>
        </w:rPr>
        <w:t>噪声从声源传播到受声点，受传播距离，空气吸收，阻挡物的反射与屏障等因素的影响而产生衰减。用</w:t>
      </w:r>
      <w:r>
        <w:t>A</w:t>
      </w:r>
      <w:r>
        <w:rPr>
          <w:rFonts w:hint="eastAsia"/>
        </w:rPr>
        <w:t>声级进行预测时，其预测模式如下：</w:t>
      </w:r>
    </w:p>
    <w:p>
      <w:pPr>
        <w:ind w:firstLine="480"/>
        <w:jc w:val="center"/>
        <w:rPr>
          <w:szCs w:val="24"/>
        </w:rPr>
      </w:pPr>
      <w:r>
        <w:rPr>
          <w:szCs w:val="24"/>
        </w:rPr>
        <w:t>LA(r)</w:t>
      </w:r>
      <w:r>
        <w:rPr>
          <w:rFonts w:hint="eastAsia"/>
          <w:szCs w:val="24"/>
        </w:rPr>
        <w:t>＝</w:t>
      </w:r>
      <w:r>
        <w:rPr>
          <w:szCs w:val="24"/>
        </w:rPr>
        <w:t>LA(r</w:t>
      </w:r>
      <w:r>
        <w:rPr>
          <w:szCs w:val="24"/>
          <w:vertAlign w:val="subscript"/>
        </w:rPr>
        <w:t>0</w:t>
      </w:r>
      <w:r>
        <w:rPr>
          <w:szCs w:val="24"/>
        </w:rPr>
        <w:t>)</w:t>
      </w:r>
      <w:r>
        <w:rPr>
          <w:rFonts w:hint="eastAsia"/>
          <w:szCs w:val="24"/>
        </w:rPr>
        <w:t>－</w:t>
      </w:r>
      <w:r>
        <w:rPr>
          <w:szCs w:val="24"/>
        </w:rPr>
        <w:t>(A</w:t>
      </w:r>
      <w:r>
        <w:rPr>
          <w:szCs w:val="24"/>
          <w:vertAlign w:val="subscript"/>
        </w:rPr>
        <w:t>der</w:t>
      </w:r>
      <w:r>
        <w:rPr>
          <w:rFonts w:hint="eastAsia"/>
          <w:szCs w:val="24"/>
        </w:rPr>
        <w:t>＋</w:t>
      </w:r>
      <w:r>
        <w:rPr>
          <w:szCs w:val="24"/>
        </w:rPr>
        <w:t>A</w:t>
      </w:r>
      <w:r>
        <w:rPr>
          <w:szCs w:val="24"/>
          <w:vertAlign w:val="subscript"/>
        </w:rPr>
        <w:t>bar</w:t>
      </w:r>
      <w:r>
        <w:rPr>
          <w:rFonts w:hint="eastAsia"/>
          <w:szCs w:val="24"/>
        </w:rPr>
        <w:t>＋</w:t>
      </w:r>
      <w:r>
        <w:rPr>
          <w:szCs w:val="24"/>
        </w:rPr>
        <w:t>A</w:t>
      </w:r>
      <w:r>
        <w:rPr>
          <w:szCs w:val="24"/>
          <w:vertAlign w:val="subscript"/>
        </w:rPr>
        <w:t>atam</w:t>
      </w:r>
      <w:r>
        <w:rPr>
          <w:rFonts w:hint="eastAsia"/>
          <w:szCs w:val="24"/>
        </w:rPr>
        <w:t>＋</w:t>
      </w:r>
      <w:r>
        <w:rPr>
          <w:szCs w:val="24"/>
        </w:rPr>
        <w:t>A</w:t>
      </w:r>
      <w:r>
        <w:rPr>
          <w:szCs w:val="24"/>
          <w:vertAlign w:val="subscript"/>
        </w:rPr>
        <w:t>exc</w:t>
      </w:r>
      <w:r>
        <w:rPr>
          <w:szCs w:val="24"/>
        </w:rPr>
        <w:t>)</w:t>
      </w:r>
    </w:p>
    <w:p>
      <w:pPr>
        <w:ind w:firstLine="480"/>
        <w:rPr>
          <w:szCs w:val="24"/>
        </w:rPr>
      </w:pPr>
      <w:r>
        <w:rPr>
          <w:rFonts w:hint="eastAsia"/>
          <w:szCs w:val="24"/>
        </w:rPr>
        <w:t>式中，</w:t>
      </w:r>
      <w:r>
        <w:rPr>
          <w:szCs w:val="24"/>
        </w:rPr>
        <w:t>LA(r)</w:t>
      </w:r>
      <w:r>
        <w:rPr>
          <w:rFonts w:hint="eastAsia"/>
          <w:szCs w:val="24"/>
        </w:rPr>
        <w:t>－距声源</w:t>
      </w:r>
      <w:r>
        <w:rPr>
          <w:szCs w:val="24"/>
        </w:rPr>
        <w:t>r</w:t>
      </w:r>
      <w:r>
        <w:rPr>
          <w:rFonts w:hint="eastAsia"/>
          <w:szCs w:val="24"/>
        </w:rPr>
        <w:t>处的</w:t>
      </w:r>
      <w:r>
        <w:rPr>
          <w:szCs w:val="24"/>
        </w:rPr>
        <w:t>A</w:t>
      </w:r>
      <w:r>
        <w:rPr>
          <w:rFonts w:hint="eastAsia"/>
          <w:szCs w:val="24"/>
        </w:rPr>
        <w:t>声级；</w:t>
      </w:r>
    </w:p>
    <w:p>
      <w:pPr>
        <w:ind w:firstLine="480"/>
        <w:rPr>
          <w:szCs w:val="24"/>
        </w:rPr>
      </w:pPr>
      <w:r>
        <w:rPr>
          <w:szCs w:val="24"/>
        </w:rPr>
        <w:t>LA(r</w:t>
      </w:r>
      <w:r>
        <w:rPr>
          <w:szCs w:val="24"/>
          <w:vertAlign w:val="subscript"/>
        </w:rPr>
        <w:t>0</w:t>
      </w:r>
      <w:r>
        <w:rPr>
          <w:szCs w:val="24"/>
        </w:rPr>
        <w:t>)</w:t>
      </w:r>
      <w:r>
        <w:rPr>
          <w:rFonts w:hint="eastAsia"/>
          <w:szCs w:val="24"/>
        </w:rPr>
        <w:t>－参考位置</w:t>
      </w:r>
      <w:r>
        <w:rPr>
          <w:szCs w:val="24"/>
        </w:rPr>
        <w:t>r</w:t>
      </w:r>
      <w:r>
        <w:rPr>
          <w:szCs w:val="24"/>
          <w:vertAlign w:val="subscript"/>
        </w:rPr>
        <w:t>0</w:t>
      </w:r>
      <w:r>
        <w:rPr>
          <w:rFonts w:hint="eastAsia"/>
          <w:szCs w:val="24"/>
        </w:rPr>
        <w:t>处的</w:t>
      </w:r>
      <w:r>
        <w:rPr>
          <w:szCs w:val="24"/>
        </w:rPr>
        <w:t>A</w:t>
      </w:r>
      <w:r>
        <w:rPr>
          <w:rFonts w:hint="eastAsia"/>
          <w:szCs w:val="24"/>
        </w:rPr>
        <w:t>声级；</w:t>
      </w:r>
    </w:p>
    <w:p>
      <w:pPr>
        <w:ind w:firstLine="480"/>
        <w:rPr>
          <w:szCs w:val="24"/>
        </w:rPr>
      </w:pPr>
      <w:r>
        <w:rPr>
          <w:szCs w:val="24"/>
        </w:rPr>
        <w:t>A</w:t>
      </w:r>
      <w:r>
        <w:rPr>
          <w:szCs w:val="24"/>
          <w:vertAlign w:val="subscript"/>
        </w:rPr>
        <w:t>der</w:t>
      </w:r>
      <w:r>
        <w:rPr>
          <w:rFonts w:hint="eastAsia"/>
          <w:szCs w:val="24"/>
        </w:rPr>
        <w:t>－声波几何发散所引起的</w:t>
      </w:r>
      <w:r>
        <w:rPr>
          <w:szCs w:val="24"/>
        </w:rPr>
        <w:t>A</w:t>
      </w:r>
      <w:r>
        <w:rPr>
          <w:rFonts w:hint="eastAsia"/>
          <w:szCs w:val="24"/>
        </w:rPr>
        <w:t>声级衰减量，即距离所引起的衰减；</w:t>
      </w:r>
    </w:p>
    <w:p>
      <w:pPr>
        <w:ind w:firstLine="480"/>
        <w:rPr>
          <w:szCs w:val="24"/>
        </w:rPr>
      </w:pPr>
      <w:r>
        <w:rPr>
          <w:szCs w:val="24"/>
        </w:rPr>
        <w:t>A</w:t>
      </w:r>
      <w:r>
        <w:rPr>
          <w:szCs w:val="24"/>
          <w:vertAlign w:val="subscript"/>
        </w:rPr>
        <w:t>bar</w:t>
      </w:r>
      <w:r>
        <w:rPr>
          <w:rFonts w:hint="eastAsia"/>
          <w:szCs w:val="24"/>
        </w:rPr>
        <w:t>－遮挡物所引起的</w:t>
      </w:r>
      <w:r>
        <w:rPr>
          <w:szCs w:val="24"/>
        </w:rPr>
        <w:t>A</w:t>
      </w:r>
      <w:r>
        <w:rPr>
          <w:rFonts w:hint="eastAsia"/>
          <w:szCs w:val="24"/>
        </w:rPr>
        <w:t>声级衰减量；</w:t>
      </w:r>
    </w:p>
    <w:p>
      <w:pPr>
        <w:ind w:firstLine="480"/>
        <w:rPr>
          <w:szCs w:val="24"/>
        </w:rPr>
      </w:pPr>
      <w:r>
        <w:rPr>
          <w:szCs w:val="24"/>
        </w:rPr>
        <w:t>A</w:t>
      </w:r>
      <w:r>
        <w:rPr>
          <w:szCs w:val="24"/>
          <w:vertAlign w:val="subscript"/>
        </w:rPr>
        <w:t>atam</w:t>
      </w:r>
      <w:r>
        <w:rPr>
          <w:rFonts w:hint="eastAsia"/>
          <w:szCs w:val="24"/>
        </w:rPr>
        <w:t>－空气吸收所引起的</w:t>
      </w:r>
      <w:r>
        <w:rPr>
          <w:szCs w:val="24"/>
        </w:rPr>
        <w:t>A</w:t>
      </w:r>
      <w:r>
        <w:rPr>
          <w:rFonts w:hint="eastAsia"/>
          <w:szCs w:val="24"/>
        </w:rPr>
        <w:t>声级衰减量，一般情况下可忽略不计；</w:t>
      </w:r>
    </w:p>
    <w:p>
      <w:pPr>
        <w:ind w:firstLine="480"/>
        <w:rPr>
          <w:szCs w:val="24"/>
        </w:rPr>
      </w:pPr>
      <w:r>
        <w:rPr>
          <w:szCs w:val="24"/>
        </w:rPr>
        <w:t>A</w:t>
      </w:r>
      <w:r>
        <w:rPr>
          <w:szCs w:val="24"/>
          <w:vertAlign w:val="subscript"/>
        </w:rPr>
        <w:t>exc</w:t>
      </w:r>
      <w:r>
        <w:rPr>
          <w:rFonts w:hint="eastAsia"/>
          <w:szCs w:val="24"/>
        </w:rPr>
        <w:t>－附加</w:t>
      </w:r>
      <w:r>
        <w:rPr>
          <w:szCs w:val="24"/>
        </w:rPr>
        <w:t>A</w:t>
      </w:r>
      <w:r>
        <w:rPr>
          <w:rFonts w:hint="eastAsia"/>
          <w:szCs w:val="24"/>
        </w:rPr>
        <w:t>声级衰减量。一般情况下的环境影响评价中，不需考虑风、云、雾及温度梯度所引起的附加影响。</w:t>
      </w:r>
    </w:p>
    <w:p>
      <w:pPr>
        <w:ind w:firstLine="480"/>
        <w:rPr>
          <w:szCs w:val="24"/>
        </w:rPr>
      </w:pPr>
      <w:r>
        <w:rPr>
          <w:rFonts w:hint="eastAsia"/>
          <w:szCs w:val="24"/>
        </w:rPr>
        <w:t>本次评价采用下列公式计算距离施工机械不同距离处的噪声值。</w:t>
      </w:r>
    </w:p>
    <w:p>
      <w:pPr>
        <w:ind w:firstLine="480"/>
        <w:rPr>
          <w:szCs w:val="24"/>
        </w:rPr>
      </w:pPr>
      <w:r>
        <w:rPr>
          <w:szCs w:val="24"/>
        </w:rPr>
        <w:t xml:space="preserve"> L</w:t>
      </w:r>
      <w:r>
        <w:rPr>
          <w:szCs w:val="24"/>
          <w:vertAlign w:val="subscript"/>
        </w:rPr>
        <w:t>A</w:t>
      </w:r>
      <w:r>
        <w:rPr>
          <w:szCs w:val="24"/>
        </w:rPr>
        <w:t>(r)</w:t>
      </w:r>
      <w:r>
        <w:rPr>
          <w:rFonts w:hint="eastAsia"/>
          <w:szCs w:val="24"/>
        </w:rPr>
        <w:t>＝</w:t>
      </w:r>
      <w:r>
        <w:rPr>
          <w:szCs w:val="24"/>
        </w:rPr>
        <w:t>L</w:t>
      </w:r>
      <w:r>
        <w:rPr>
          <w:szCs w:val="24"/>
          <w:vertAlign w:val="subscript"/>
        </w:rPr>
        <w:t>A</w:t>
      </w:r>
      <w:r>
        <w:rPr>
          <w:szCs w:val="24"/>
        </w:rPr>
        <w:t>(r</w:t>
      </w:r>
      <w:r>
        <w:rPr>
          <w:szCs w:val="24"/>
          <w:vertAlign w:val="subscript"/>
        </w:rPr>
        <w:t>0</w:t>
      </w:r>
      <w:r>
        <w:rPr>
          <w:szCs w:val="24"/>
        </w:rPr>
        <w:t>)</w:t>
      </w:r>
      <w:r>
        <w:rPr>
          <w:rFonts w:hint="eastAsia"/>
          <w:szCs w:val="24"/>
        </w:rPr>
        <w:t>－</w:t>
      </w:r>
      <w:r>
        <w:rPr>
          <w:szCs w:val="24"/>
        </w:rPr>
        <w:t>A</w:t>
      </w:r>
      <w:r>
        <w:rPr>
          <w:szCs w:val="24"/>
          <w:vertAlign w:val="subscript"/>
        </w:rPr>
        <w:t>der</w:t>
      </w:r>
      <w:r>
        <w:rPr>
          <w:rFonts w:hint="eastAsia"/>
          <w:szCs w:val="24"/>
        </w:rPr>
        <w:t>＝</w:t>
      </w:r>
      <w:r>
        <w:rPr>
          <w:szCs w:val="24"/>
        </w:rPr>
        <w:t>L</w:t>
      </w:r>
      <w:r>
        <w:rPr>
          <w:szCs w:val="24"/>
          <w:vertAlign w:val="subscript"/>
        </w:rPr>
        <w:t>A</w:t>
      </w:r>
      <w:r>
        <w:rPr>
          <w:szCs w:val="24"/>
        </w:rPr>
        <w:t>(r</w:t>
      </w:r>
      <w:r>
        <w:rPr>
          <w:szCs w:val="24"/>
          <w:vertAlign w:val="subscript"/>
        </w:rPr>
        <w:t>0</w:t>
      </w:r>
      <w:r>
        <w:rPr>
          <w:szCs w:val="24"/>
        </w:rPr>
        <w:t>)</w:t>
      </w:r>
      <w:r>
        <w:rPr>
          <w:rFonts w:hint="eastAsia"/>
          <w:szCs w:val="24"/>
        </w:rPr>
        <w:t>－</w:t>
      </w:r>
      <w:r>
        <w:rPr>
          <w:szCs w:val="24"/>
        </w:rPr>
        <w:t>20 lg(r /r</w:t>
      </w:r>
      <w:r>
        <w:rPr>
          <w:szCs w:val="24"/>
          <w:vertAlign w:val="subscript"/>
        </w:rPr>
        <w:t>0</w:t>
      </w:r>
      <w:r>
        <w:rPr>
          <w:szCs w:val="24"/>
        </w:rPr>
        <w:t>)</w:t>
      </w:r>
    </w:p>
    <w:p>
      <w:pPr>
        <w:ind w:firstLine="480"/>
        <w:rPr>
          <w:szCs w:val="24"/>
        </w:rPr>
      </w:pPr>
      <w:r>
        <w:rPr>
          <w:rFonts w:hint="eastAsia"/>
          <w:szCs w:val="24"/>
        </w:rPr>
        <w:t>多个机械同时作业的总等效连续</w:t>
      </w:r>
      <w:r>
        <w:rPr>
          <w:szCs w:val="24"/>
        </w:rPr>
        <w:t>A</w:t>
      </w:r>
      <w:r>
        <w:rPr>
          <w:rFonts w:hint="eastAsia"/>
          <w:szCs w:val="24"/>
        </w:rPr>
        <w:t>声级计算公式为：</w:t>
      </w:r>
    </w:p>
    <w:p>
      <w:pPr>
        <w:ind w:firstLine="480"/>
        <w:jc w:val="center"/>
        <w:rPr>
          <w:szCs w:val="24"/>
        </w:rPr>
      </w:pPr>
      <w:r>
        <w:rPr>
          <w:position w:val="-28"/>
        </w:rPr>
        <w:object>
          <v:shape id="_x0000_i1031" o:spt="75" type="#_x0000_t75" style="height:36.75pt;width:129.75pt;" o:ole="t" filled="f" coordsize="21600,21600">
            <v:path/>
            <v:fill on="f" focussize="0,0"/>
            <v:stroke/>
            <v:imagedata r:id="rId88" o:title=""/>
            <o:lock v:ext="edit" aspectratio="t"/>
            <w10:wrap type="none"/>
            <w10:anchorlock/>
          </v:shape>
          <o:OLEObject Type="Embed" ProgID="Equation.3" ShapeID="_x0000_i1031" DrawAspect="Content" ObjectID="_1468075731" r:id="rId87">
            <o:LockedField>false</o:LockedField>
          </o:OLEObject>
        </w:object>
      </w:r>
    </w:p>
    <w:p>
      <w:pPr>
        <w:ind w:firstLine="480"/>
        <w:rPr>
          <w:szCs w:val="24"/>
        </w:rPr>
      </w:pPr>
      <w:r>
        <w:rPr>
          <w:rFonts w:hint="eastAsia"/>
          <w:szCs w:val="24"/>
        </w:rPr>
        <w:t>式中，</w:t>
      </w:r>
      <w:r>
        <w:rPr>
          <w:szCs w:val="24"/>
        </w:rPr>
        <w:t>Leq</w:t>
      </w:r>
      <w:r>
        <w:rPr>
          <w:szCs w:val="24"/>
          <w:vertAlign w:val="subscript"/>
        </w:rPr>
        <w:t>i</w:t>
      </w:r>
      <w:r>
        <w:rPr>
          <w:rFonts w:hint="eastAsia"/>
          <w:szCs w:val="24"/>
        </w:rPr>
        <w:t>－第</w:t>
      </w:r>
      <w:r>
        <w:rPr>
          <w:szCs w:val="24"/>
        </w:rPr>
        <w:t>i</w:t>
      </w:r>
      <w:r>
        <w:rPr>
          <w:rFonts w:hint="eastAsia"/>
          <w:szCs w:val="24"/>
        </w:rPr>
        <w:t>个声源对某预测点的等效声级。</w:t>
      </w:r>
    </w:p>
    <w:p>
      <w:pPr>
        <w:ind w:firstLine="480"/>
        <w:rPr>
          <w:szCs w:val="24"/>
        </w:rPr>
      </w:pPr>
      <w:r>
        <w:rPr>
          <w:rFonts w:hint="eastAsia"/>
          <w:szCs w:val="24"/>
        </w:rPr>
        <w:t>在预测某处的噪声值时，首先利用上式计算声源在该处的总等效连续</w:t>
      </w:r>
      <w:r>
        <w:rPr>
          <w:szCs w:val="24"/>
        </w:rPr>
        <w:t>A</w:t>
      </w:r>
      <w:r>
        <w:rPr>
          <w:rFonts w:hint="eastAsia"/>
          <w:szCs w:val="24"/>
        </w:rPr>
        <w:t>声级，然后叠加该处的背景值，具体计算公式如下：</w:t>
      </w:r>
      <w:r>
        <w:rPr>
          <w:szCs w:val="24"/>
        </w:rPr>
        <w:t xml:space="preserve"> </w:t>
      </w:r>
    </w:p>
    <w:p>
      <w:pPr>
        <w:ind w:firstLine="480"/>
        <w:jc w:val="center"/>
        <w:rPr>
          <w:szCs w:val="24"/>
        </w:rPr>
      </w:pPr>
      <w:r>
        <w:rPr>
          <w:szCs w:val="24"/>
        </w:rPr>
        <w:t>L</w:t>
      </w:r>
      <w:r>
        <w:rPr>
          <w:szCs w:val="24"/>
          <w:vertAlign w:val="subscript"/>
        </w:rPr>
        <w:t>pt</w:t>
      </w:r>
      <w:r>
        <w:rPr>
          <w:szCs w:val="24"/>
        </w:rPr>
        <w:t>=10 lg(10</w:t>
      </w:r>
      <w:r>
        <w:rPr>
          <w:szCs w:val="24"/>
          <w:vertAlign w:val="superscript"/>
        </w:rPr>
        <w:t>0.1L</w:t>
      </w:r>
      <w:r>
        <w:rPr>
          <w:position w:val="-10"/>
          <w:szCs w:val="24"/>
          <w:vertAlign w:val="superscript"/>
        </w:rPr>
        <w:object>
          <v:shape id="_x0000_i1032" o:spt="75" type="#_x0000_t75" style="height:21.75pt;width:7.5pt;" o:ole="t" fillcolor="#6D6D6D" filled="t" coordsize="21600,21600">
            <v:path/>
            <v:fill on="t" focussize="0,0"/>
            <v:stroke/>
            <v:imagedata r:id="rId90" o:title=""/>
            <o:lock v:ext="edit" aspectratio="t"/>
            <w10:wrap type="none"/>
            <w10:anchorlock/>
          </v:shape>
          <o:OLEObject Type="Embed" ProgID="Equation.3" ShapeID="_x0000_i1032" DrawAspect="Content" ObjectID="_1468075732" r:id="rId89">
            <o:LockedField>false</o:LockedField>
          </o:OLEObject>
        </w:object>
      </w:r>
      <w:r>
        <w:rPr>
          <w:szCs w:val="24"/>
        </w:rPr>
        <w:t>+10</w:t>
      </w:r>
      <w:r>
        <w:rPr>
          <w:szCs w:val="24"/>
          <w:vertAlign w:val="superscript"/>
        </w:rPr>
        <w:t>0.1L</w:t>
      </w:r>
      <w:r>
        <w:rPr>
          <w:position w:val="-10"/>
          <w:szCs w:val="24"/>
          <w:vertAlign w:val="superscript"/>
        </w:rPr>
        <w:object>
          <v:shape id="_x0000_i1033" o:spt="75" type="#_x0000_t75" style="height:21.75pt;width:7.5pt;" o:ole="t" fillcolor="#6D6D6D" filled="t" coordsize="21600,21600">
            <v:path/>
            <v:fill on="t" focussize="0,0"/>
            <v:stroke/>
            <v:imagedata r:id="rId92" o:title=""/>
            <o:lock v:ext="edit" aspectratio="t"/>
            <w10:wrap type="none"/>
            <w10:anchorlock/>
          </v:shape>
          <o:OLEObject Type="Embed" ProgID="Equation.3" ShapeID="_x0000_i1033" DrawAspect="Content" ObjectID="_1468075733" r:id="rId91">
            <o:LockedField>false</o:LockedField>
          </o:OLEObject>
        </w:object>
      </w:r>
      <w:r>
        <w:rPr>
          <w:szCs w:val="24"/>
        </w:rPr>
        <w:t>)</w:t>
      </w:r>
    </w:p>
    <w:p>
      <w:pPr>
        <w:ind w:firstLine="480"/>
        <w:rPr>
          <w:szCs w:val="24"/>
        </w:rPr>
      </w:pPr>
      <w:r>
        <w:rPr>
          <w:rFonts w:hint="eastAsia"/>
          <w:szCs w:val="24"/>
        </w:rPr>
        <w:t>式中，</w:t>
      </w:r>
      <w:r>
        <w:rPr>
          <w:szCs w:val="24"/>
        </w:rPr>
        <w:t>L</w:t>
      </w:r>
      <w:r>
        <w:rPr>
          <w:szCs w:val="24"/>
          <w:vertAlign w:val="subscript"/>
        </w:rPr>
        <w:t>pt</w:t>
      </w:r>
      <w:r>
        <w:rPr>
          <w:rFonts w:hint="eastAsia"/>
          <w:szCs w:val="24"/>
        </w:rPr>
        <w:t>－声场中某一点两个声源不同作用产生的总的声级；</w:t>
      </w:r>
    </w:p>
    <w:p>
      <w:pPr>
        <w:ind w:firstLine="480"/>
        <w:rPr>
          <w:szCs w:val="24"/>
        </w:rPr>
      </w:pPr>
      <w:r>
        <w:rPr>
          <w:szCs w:val="24"/>
        </w:rPr>
        <w:t xml:space="preserve">      L</w:t>
      </w:r>
      <w:r>
        <w:rPr>
          <w:szCs w:val="24"/>
          <w:vertAlign w:val="subscript"/>
        </w:rPr>
        <w:t>1</w:t>
      </w:r>
      <w:r>
        <w:rPr>
          <w:rFonts w:hint="eastAsia"/>
          <w:szCs w:val="24"/>
        </w:rPr>
        <w:t>－该点的背景噪声值；</w:t>
      </w:r>
    </w:p>
    <w:p>
      <w:pPr>
        <w:ind w:firstLine="1200" w:firstLineChars="500"/>
        <w:rPr>
          <w:snapToGrid w:val="0"/>
          <w:kern w:val="0"/>
          <w:szCs w:val="24"/>
        </w:rPr>
      </w:pPr>
      <w:r>
        <w:rPr>
          <w:szCs w:val="24"/>
        </w:rPr>
        <w:t>L</w:t>
      </w:r>
      <w:r>
        <w:rPr>
          <w:szCs w:val="24"/>
          <w:vertAlign w:val="subscript"/>
        </w:rPr>
        <w:t>2</w:t>
      </w:r>
      <w:r>
        <w:rPr>
          <w:rFonts w:hint="eastAsia"/>
          <w:szCs w:val="24"/>
        </w:rPr>
        <w:t>－各声源叠加到该点的总等效声级值。</w:t>
      </w:r>
    </w:p>
    <w:p>
      <w:pPr>
        <w:ind w:firstLine="480"/>
        <w:rPr>
          <w:szCs w:val="24"/>
        </w:rPr>
      </w:pPr>
      <w:r>
        <w:rPr>
          <w:rFonts w:hint="eastAsia"/>
          <w:szCs w:val="24"/>
        </w:rPr>
        <w:t>根据以上预测方法，按不同施工阶段施工机械组合作业情况，在未采取任何降噪措施的情况下，得出不同施工阶段不同距离处的噪声预测值。</w:t>
      </w:r>
    </w:p>
    <w:p>
      <w:pPr>
        <w:ind w:firstLine="480"/>
        <w:rPr>
          <w:rStyle w:val="88"/>
        </w:rPr>
      </w:pPr>
      <w:r>
        <w:rPr>
          <w:rFonts w:hint="eastAsia" w:hAnsi="宋体" w:cs="宋体"/>
          <w:szCs w:val="20"/>
        </w:rPr>
        <w:t>对比《建筑施工场界环境噪声排放标准》（</w:t>
      </w:r>
      <w:r>
        <w:rPr>
          <w:rFonts w:hAnsi="宋体" w:cs="宋体"/>
          <w:szCs w:val="20"/>
        </w:rPr>
        <w:t>GB12523-2011</w:t>
      </w:r>
      <w:r>
        <w:rPr>
          <w:rFonts w:hint="eastAsia" w:hAnsi="宋体" w:cs="宋体"/>
          <w:szCs w:val="20"/>
        </w:rPr>
        <w:t>）的限值（</w:t>
      </w:r>
      <w:r>
        <w:rPr>
          <w:rFonts w:hint="eastAsia" w:hAnsi="宋体"/>
        </w:rPr>
        <w:t>昼间</w:t>
      </w:r>
      <w:r>
        <w:t>70dB</w:t>
      </w:r>
      <w:r>
        <w:rPr>
          <w:rFonts w:hint="eastAsia" w:hAnsi="宋体"/>
        </w:rPr>
        <w:t>（</w:t>
      </w:r>
      <w:r>
        <w:t>A</w:t>
      </w:r>
      <w:r>
        <w:rPr>
          <w:rFonts w:hint="eastAsia" w:hAnsi="宋体"/>
        </w:rPr>
        <w:t>）、夜间</w:t>
      </w:r>
      <w:r>
        <w:t>55dB</w:t>
      </w:r>
      <w:r>
        <w:rPr>
          <w:rFonts w:hint="eastAsia" w:hAnsi="宋体"/>
        </w:rPr>
        <w:t>（</w:t>
      </w:r>
      <w:r>
        <w:t>A</w:t>
      </w:r>
      <w:r>
        <w:rPr>
          <w:rFonts w:hint="eastAsia" w:hAnsi="宋体"/>
        </w:rPr>
        <w:t>）</w:t>
      </w:r>
      <w:r>
        <w:rPr>
          <w:rFonts w:hint="eastAsia" w:hAnsi="宋体" w:cs="宋体"/>
          <w:szCs w:val="20"/>
        </w:rPr>
        <w:t>），各种建筑施工机械满足国家标准的距</w:t>
      </w:r>
      <w:r>
        <w:rPr>
          <w:rStyle w:val="88"/>
          <w:rFonts w:hint="eastAsia"/>
        </w:rPr>
        <w:t>离列于表5.1-2。</w:t>
      </w:r>
    </w:p>
    <w:p>
      <w:pPr>
        <w:pStyle w:val="93"/>
      </w:pPr>
      <w:bookmarkStart w:id="119" w:name="_Ref25683642"/>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5.1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119"/>
      <w:r>
        <w:t xml:space="preserve">  </w:t>
      </w:r>
      <w:r>
        <w:rPr>
          <w:rFonts w:hint="eastAsia"/>
        </w:rPr>
        <w:t>施工阶段主要噪声源及主要设备在不同距离的声级</w:t>
      </w:r>
      <w:r>
        <w:t xml:space="preserve">  </w:t>
      </w:r>
      <w:r>
        <w:rPr>
          <w:rFonts w:hint="eastAsia"/>
        </w:rPr>
        <w:t>单位：</w:t>
      </w:r>
      <w:r>
        <w:t>dB</w:t>
      </w:r>
      <w:r>
        <w:rPr>
          <w:rFonts w:hint="eastAsia"/>
        </w:rPr>
        <w:t>（</w:t>
      </w:r>
      <w:r>
        <w:t>A</w:t>
      </w:r>
      <w:r>
        <w:rPr>
          <w:rFonts w:hint="eastAsia"/>
        </w:rPr>
        <w:t>）</w:t>
      </w:r>
    </w:p>
    <w:tbl>
      <w:tblPr>
        <w:tblStyle w:val="35"/>
        <w:tblW w:w="87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8"/>
        <w:gridCol w:w="657"/>
        <w:gridCol w:w="657"/>
        <w:gridCol w:w="657"/>
        <w:gridCol w:w="655"/>
        <w:gridCol w:w="655"/>
        <w:gridCol w:w="659"/>
        <w:gridCol w:w="655"/>
        <w:gridCol w:w="664"/>
        <w:gridCol w:w="655"/>
        <w:gridCol w:w="657"/>
        <w:gridCol w:w="655"/>
        <w:gridCol w:w="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5" w:hRule="exact"/>
        </w:trPr>
        <w:tc>
          <w:tcPr>
            <w:tcW w:w="878" w:type="dxa"/>
            <w:vMerge w:val="restart"/>
            <w:vAlign w:val="center"/>
          </w:tcPr>
          <w:p>
            <w:pPr>
              <w:adjustRightInd/>
              <w:spacing w:line="240" w:lineRule="auto"/>
              <w:ind w:firstLine="420" w:firstLineChars="0"/>
              <w:jc w:val="center"/>
              <w:rPr>
                <w:sz w:val="21"/>
                <w:szCs w:val="21"/>
              </w:rPr>
            </w:pPr>
            <w:r>
              <w:rPr>
                <w:sz w:val="21"/>
                <w:szCs w:val="21"/>
              </w:rPr>
              <w:t>噪声源</w:t>
            </w:r>
          </w:p>
        </w:tc>
        <w:tc>
          <w:tcPr>
            <w:tcW w:w="657" w:type="dxa"/>
            <w:vAlign w:val="center"/>
          </w:tcPr>
          <w:p>
            <w:pPr>
              <w:adjustRightInd/>
              <w:spacing w:line="240" w:lineRule="auto"/>
              <w:ind w:firstLine="0" w:firstLineChars="0"/>
              <w:jc w:val="center"/>
              <w:rPr>
                <w:sz w:val="21"/>
                <w:szCs w:val="21"/>
              </w:rPr>
            </w:pPr>
            <w:r>
              <w:rPr>
                <w:sz w:val="21"/>
                <w:szCs w:val="21"/>
              </w:rPr>
              <w:t>源强</w:t>
            </w:r>
          </w:p>
        </w:tc>
        <w:tc>
          <w:tcPr>
            <w:tcW w:w="4602" w:type="dxa"/>
            <w:gridSpan w:val="7"/>
            <w:vAlign w:val="center"/>
          </w:tcPr>
          <w:p>
            <w:pPr>
              <w:adjustRightInd/>
              <w:spacing w:line="240" w:lineRule="auto"/>
              <w:ind w:firstLine="0" w:firstLineChars="0"/>
              <w:jc w:val="center"/>
              <w:rPr>
                <w:sz w:val="21"/>
                <w:szCs w:val="21"/>
              </w:rPr>
            </w:pPr>
            <w:r>
              <w:rPr>
                <w:sz w:val="21"/>
                <w:szCs w:val="21"/>
              </w:rPr>
              <w:t>距噪声源不同距离（m）噪声贡献值</w:t>
            </w:r>
          </w:p>
        </w:tc>
        <w:tc>
          <w:tcPr>
            <w:tcW w:w="1312" w:type="dxa"/>
            <w:gridSpan w:val="2"/>
            <w:vAlign w:val="center"/>
          </w:tcPr>
          <w:p>
            <w:pPr>
              <w:adjustRightInd/>
              <w:spacing w:line="240" w:lineRule="auto"/>
              <w:ind w:firstLine="0" w:firstLineChars="0"/>
              <w:jc w:val="center"/>
              <w:rPr>
                <w:sz w:val="21"/>
                <w:szCs w:val="21"/>
              </w:rPr>
            </w:pPr>
            <w:r>
              <w:rPr>
                <w:sz w:val="21"/>
                <w:szCs w:val="21"/>
              </w:rPr>
              <w:t>评价标准</w:t>
            </w:r>
          </w:p>
          <w:p>
            <w:pPr>
              <w:adjustRightInd/>
              <w:spacing w:line="240" w:lineRule="auto"/>
              <w:ind w:firstLine="0" w:firstLineChars="0"/>
              <w:jc w:val="center"/>
              <w:rPr>
                <w:sz w:val="21"/>
                <w:szCs w:val="21"/>
              </w:rPr>
            </w:pPr>
            <w:r>
              <w:rPr>
                <w:sz w:val="21"/>
                <w:szCs w:val="21"/>
              </w:rPr>
              <w:t>dB(A)</w:t>
            </w:r>
          </w:p>
        </w:tc>
        <w:tc>
          <w:tcPr>
            <w:tcW w:w="1308" w:type="dxa"/>
            <w:gridSpan w:val="2"/>
            <w:vAlign w:val="center"/>
          </w:tcPr>
          <w:p>
            <w:pPr>
              <w:adjustRightInd/>
              <w:spacing w:line="240" w:lineRule="auto"/>
              <w:ind w:firstLine="0" w:firstLineChars="0"/>
              <w:jc w:val="center"/>
              <w:rPr>
                <w:sz w:val="21"/>
                <w:szCs w:val="21"/>
              </w:rPr>
            </w:pPr>
            <w:r>
              <w:rPr>
                <w:sz w:val="21"/>
                <w:szCs w:val="21"/>
              </w:rPr>
              <w:t>达标范围(m)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878" w:type="dxa"/>
            <w:vMerge w:val="continue"/>
            <w:vAlign w:val="center"/>
          </w:tcPr>
          <w:p>
            <w:pPr>
              <w:adjustRightInd/>
              <w:spacing w:line="240" w:lineRule="auto"/>
              <w:ind w:firstLine="0" w:firstLineChars="0"/>
              <w:jc w:val="center"/>
              <w:rPr>
                <w:sz w:val="21"/>
                <w:szCs w:val="21"/>
              </w:rPr>
            </w:pPr>
          </w:p>
        </w:tc>
        <w:tc>
          <w:tcPr>
            <w:tcW w:w="657" w:type="dxa"/>
            <w:vAlign w:val="center"/>
          </w:tcPr>
          <w:p>
            <w:pPr>
              <w:adjustRightInd/>
              <w:spacing w:line="240" w:lineRule="auto"/>
              <w:ind w:firstLine="0" w:firstLineChars="0"/>
              <w:jc w:val="center"/>
              <w:rPr>
                <w:sz w:val="21"/>
                <w:szCs w:val="21"/>
              </w:rPr>
            </w:pPr>
            <w:r>
              <w:rPr>
                <w:sz w:val="21"/>
                <w:szCs w:val="21"/>
              </w:rPr>
              <w:t>5m</w:t>
            </w:r>
          </w:p>
        </w:tc>
        <w:tc>
          <w:tcPr>
            <w:tcW w:w="657" w:type="dxa"/>
            <w:vAlign w:val="center"/>
          </w:tcPr>
          <w:p>
            <w:pPr>
              <w:adjustRightInd/>
              <w:spacing w:line="240" w:lineRule="auto"/>
              <w:ind w:firstLine="0" w:firstLineChars="0"/>
              <w:jc w:val="center"/>
              <w:rPr>
                <w:sz w:val="21"/>
                <w:szCs w:val="21"/>
              </w:rPr>
            </w:pPr>
            <w:r>
              <w:rPr>
                <w:sz w:val="21"/>
                <w:szCs w:val="21"/>
              </w:rPr>
              <w:t>10</w:t>
            </w:r>
          </w:p>
        </w:tc>
        <w:tc>
          <w:tcPr>
            <w:tcW w:w="657" w:type="dxa"/>
            <w:vAlign w:val="center"/>
          </w:tcPr>
          <w:p>
            <w:pPr>
              <w:adjustRightInd/>
              <w:spacing w:line="240" w:lineRule="auto"/>
              <w:ind w:firstLine="0" w:firstLineChars="0"/>
              <w:jc w:val="center"/>
              <w:rPr>
                <w:sz w:val="21"/>
                <w:szCs w:val="21"/>
              </w:rPr>
            </w:pPr>
            <w:r>
              <w:rPr>
                <w:sz w:val="21"/>
                <w:szCs w:val="21"/>
              </w:rPr>
              <w:t>20</w:t>
            </w:r>
          </w:p>
        </w:tc>
        <w:tc>
          <w:tcPr>
            <w:tcW w:w="655" w:type="dxa"/>
            <w:vAlign w:val="center"/>
          </w:tcPr>
          <w:p>
            <w:pPr>
              <w:adjustRightInd/>
              <w:spacing w:line="240" w:lineRule="auto"/>
              <w:ind w:firstLine="0" w:firstLineChars="0"/>
              <w:jc w:val="center"/>
              <w:rPr>
                <w:sz w:val="21"/>
                <w:szCs w:val="21"/>
              </w:rPr>
            </w:pPr>
            <w:r>
              <w:rPr>
                <w:sz w:val="21"/>
                <w:szCs w:val="21"/>
              </w:rPr>
              <w:t>30</w:t>
            </w:r>
          </w:p>
        </w:tc>
        <w:tc>
          <w:tcPr>
            <w:tcW w:w="655" w:type="dxa"/>
            <w:vAlign w:val="center"/>
          </w:tcPr>
          <w:p>
            <w:pPr>
              <w:adjustRightInd/>
              <w:spacing w:line="240" w:lineRule="auto"/>
              <w:ind w:firstLine="0" w:firstLineChars="0"/>
              <w:jc w:val="center"/>
              <w:rPr>
                <w:sz w:val="21"/>
                <w:szCs w:val="21"/>
              </w:rPr>
            </w:pPr>
            <w:r>
              <w:rPr>
                <w:sz w:val="21"/>
                <w:szCs w:val="21"/>
              </w:rPr>
              <w:t>40</w:t>
            </w:r>
          </w:p>
        </w:tc>
        <w:tc>
          <w:tcPr>
            <w:tcW w:w="659" w:type="dxa"/>
            <w:vAlign w:val="center"/>
          </w:tcPr>
          <w:p>
            <w:pPr>
              <w:adjustRightInd/>
              <w:spacing w:line="240" w:lineRule="auto"/>
              <w:ind w:firstLine="0" w:firstLineChars="0"/>
              <w:jc w:val="center"/>
              <w:rPr>
                <w:sz w:val="21"/>
                <w:szCs w:val="21"/>
              </w:rPr>
            </w:pPr>
            <w:r>
              <w:rPr>
                <w:sz w:val="21"/>
                <w:szCs w:val="21"/>
              </w:rPr>
              <w:t>50</w:t>
            </w:r>
          </w:p>
        </w:tc>
        <w:tc>
          <w:tcPr>
            <w:tcW w:w="655" w:type="dxa"/>
            <w:vAlign w:val="center"/>
          </w:tcPr>
          <w:p>
            <w:pPr>
              <w:adjustRightInd/>
              <w:spacing w:line="240" w:lineRule="auto"/>
              <w:ind w:firstLine="0" w:firstLineChars="0"/>
              <w:jc w:val="center"/>
              <w:rPr>
                <w:sz w:val="21"/>
                <w:szCs w:val="21"/>
              </w:rPr>
            </w:pPr>
            <w:r>
              <w:rPr>
                <w:sz w:val="21"/>
                <w:szCs w:val="21"/>
              </w:rPr>
              <w:t>80</w:t>
            </w:r>
          </w:p>
        </w:tc>
        <w:tc>
          <w:tcPr>
            <w:tcW w:w="664" w:type="dxa"/>
            <w:vAlign w:val="center"/>
          </w:tcPr>
          <w:p>
            <w:pPr>
              <w:adjustRightInd/>
              <w:spacing w:line="240" w:lineRule="auto"/>
              <w:ind w:firstLine="0" w:firstLineChars="0"/>
              <w:jc w:val="center"/>
              <w:rPr>
                <w:sz w:val="21"/>
                <w:szCs w:val="21"/>
              </w:rPr>
            </w:pPr>
            <w:r>
              <w:rPr>
                <w:sz w:val="21"/>
                <w:szCs w:val="21"/>
              </w:rPr>
              <w:t>100</w:t>
            </w:r>
          </w:p>
        </w:tc>
        <w:tc>
          <w:tcPr>
            <w:tcW w:w="655" w:type="dxa"/>
            <w:vAlign w:val="center"/>
          </w:tcPr>
          <w:p>
            <w:pPr>
              <w:adjustRightInd/>
              <w:spacing w:line="240" w:lineRule="auto"/>
              <w:ind w:firstLine="0" w:firstLineChars="0"/>
              <w:jc w:val="center"/>
              <w:rPr>
                <w:sz w:val="21"/>
                <w:szCs w:val="21"/>
              </w:rPr>
            </w:pPr>
            <w:r>
              <w:rPr>
                <w:sz w:val="21"/>
                <w:szCs w:val="21"/>
              </w:rPr>
              <w:t>昼间</w:t>
            </w:r>
          </w:p>
        </w:tc>
        <w:tc>
          <w:tcPr>
            <w:tcW w:w="657" w:type="dxa"/>
            <w:vAlign w:val="center"/>
          </w:tcPr>
          <w:p>
            <w:pPr>
              <w:adjustRightInd/>
              <w:spacing w:line="240" w:lineRule="auto"/>
              <w:ind w:firstLine="0" w:firstLineChars="0"/>
              <w:jc w:val="center"/>
              <w:rPr>
                <w:sz w:val="21"/>
                <w:szCs w:val="21"/>
              </w:rPr>
            </w:pPr>
            <w:r>
              <w:rPr>
                <w:sz w:val="21"/>
                <w:szCs w:val="21"/>
              </w:rPr>
              <w:t>夜间</w:t>
            </w:r>
          </w:p>
        </w:tc>
        <w:tc>
          <w:tcPr>
            <w:tcW w:w="655" w:type="dxa"/>
            <w:vAlign w:val="center"/>
          </w:tcPr>
          <w:p>
            <w:pPr>
              <w:adjustRightInd/>
              <w:spacing w:line="240" w:lineRule="auto"/>
              <w:ind w:firstLine="0" w:firstLineChars="0"/>
              <w:jc w:val="center"/>
              <w:rPr>
                <w:sz w:val="21"/>
                <w:szCs w:val="21"/>
              </w:rPr>
            </w:pPr>
            <w:r>
              <w:rPr>
                <w:sz w:val="21"/>
                <w:szCs w:val="21"/>
              </w:rPr>
              <w:t>昼间</w:t>
            </w:r>
          </w:p>
        </w:tc>
        <w:tc>
          <w:tcPr>
            <w:tcW w:w="653" w:type="dxa"/>
            <w:vAlign w:val="center"/>
          </w:tcPr>
          <w:p>
            <w:pPr>
              <w:adjustRightInd/>
              <w:spacing w:line="240" w:lineRule="auto"/>
              <w:ind w:firstLine="0" w:firstLineChars="0"/>
              <w:jc w:val="center"/>
              <w:rPr>
                <w:sz w:val="21"/>
                <w:szCs w:val="21"/>
              </w:rPr>
            </w:pPr>
            <w:r>
              <w:rPr>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878" w:type="dxa"/>
            <w:vAlign w:val="center"/>
          </w:tcPr>
          <w:p>
            <w:pPr>
              <w:adjustRightInd/>
              <w:spacing w:line="240" w:lineRule="auto"/>
              <w:ind w:firstLine="0" w:firstLineChars="0"/>
              <w:jc w:val="center"/>
              <w:rPr>
                <w:sz w:val="21"/>
                <w:szCs w:val="21"/>
              </w:rPr>
            </w:pPr>
            <w:r>
              <w:rPr>
                <w:sz w:val="21"/>
                <w:szCs w:val="21"/>
              </w:rPr>
              <w:t>切割机</w:t>
            </w:r>
          </w:p>
        </w:tc>
        <w:tc>
          <w:tcPr>
            <w:tcW w:w="657" w:type="dxa"/>
            <w:vAlign w:val="center"/>
          </w:tcPr>
          <w:p>
            <w:pPr>
              <w:adjustRightInd/>
              <w:spacing w:line="240" w:lineRule="auto"/>
              <w:ind w:firstLine="0" w:firstLineChars="0"/>
              <w:jc w:val="center"/>
              <w:rPr>
                <w:sz w:val="21"/>
                <w:szCs w:val="21"/>
              </w:rPr>
            </w:pPr>
            <w:r>
              <w:rPr>
                <w:sz w:val="21"/>
                <w:szCs w:val="21"/>
              </w:rPr>
              <w:t>95</w:t>
            </w:r>
          </w:p>
        </w:tc>
        <w:tc>
          <w:tcPr>
            <w:tcW w:w="657" w:type="dxa"/>
            <w:vAlign w:val="center"/>
          </w:tcPr>
          <w:p>
            <w:pPr>
              <w:adjustRightInd/>
              <w:spacing w:line="240" w:lineRule="auto"/>
              <w:ind w:firstLine="0" w:firstLineChars="0"/>
              <w:jc w:val="center"/>
              <w:rPr>
                <w:sz w:val="21"/>
                <w:szCs w:val="21"/>
              </w:rPr>
            </w:pPr>
            <w:r>
              <w:rPr>
                <w:sz w:val="21"/>
                <w:szCs w:val="21"/>
              </w:rPr>
              <w:t>89</w:t>
            </w:r>
          </w:p>
        </w:tc>
        <w:tc>
          <w:tcPr>
            <w:tcW w:w="657" w:type="dxa"/>
            <w:vAlign w:val="center"/>
          </w:tcPr>
          <w:p>
            <w:pPr>
              <w:adjustRightInd/>
              <w:spacing w:line="240" w:lineRule="auto"/>
              <w:ind w:firstLine="0" w:firstLineChars="0"/>
              <w:jc w:val="center"/>
              <w:rPr>
                <w:sz w:val="21"/>
                <w:szCs w:val="21"/>
              </w:rPr>
            </w:pPr>
            <w:r>
              <w:rPr>
                <w:sz w:val="21"/>
                <w:szCs w:val="21"/>
              </w:rPr>
              <w:t>83</w:t>
            </w:r>
          </w:p>
        </w:tc>
        <w:tc>
          <w:tcPr>
            <w:tcW w:w="655" w:type="dxa"/>
            <w:vAlign w:val="center"/>
          </w:tcPr>
          <w:p>
            <w:pPr>
              <w:adjustRightInd/>
              <w:spacing w:line="240" w:lineRule="auto"/>
              <w:ind w:firstLine="0" w:firstLineChars="0"/>
              <w:jc w:val="center"/>
              <w:rPr>
                <w:sz w:val="21"/>
                <w:szCs w:val="21"/>
              </w:rPr>
            </w:pPr>
            <w:r>
              <w:rPr>
                <w:sz w:val="21"/>
                <w:szCs w:val="21"/>
              </w:rPr>
              <w:t>79.4</w:t>
            </w:r>
          </w:p>
        </w:tc>
        <w:tc>
          <w:tcPr>
            <w:tcW w:w="655" w:type="dxa"/>
            <w:vAlign w:val="center"/>
          </w:tcPr>
          <w:p>
            <w:pPr>
              <w:adjustRightInd/>
              <w:spacing w:line="240" w:lineRule="auto"/>
              <w:ind w:firstLine="0" w:firstLineChars="0"/>
              <w:jc w:val="center"/>
              <w:rPr>
                <w:sz w:val="21"/>
                <w:szCs w:val="21"/>
              </w:rPr>
            </w:pPr>
            <w:r>
              <w:rPr>
                <w:sz w:val="21"/>
                <w:szCs w:val="21"/>
              </w:rPr>
              <w:t>76.9</w:t>
            </w:r>
          </w:p>
        </w:tc>
        <w:tc>
          <w:tcPr>
            <w:tcW w:w="659" w:type="dxa"/>
            <w:vAlign w:val="center"/>
          </w:tcPr>
          <w:p>
            <w:pPr>
              <w:adjustRightInd/>
              <w:spacing w:line="240" w:lineRule="auto"/>
              <w:ind w:firstLine="0" w:firstLineChars="0"/>
              <w:jc w:val="center"/>
              <w:rPr>
                <w:sz w:val="21"/>
                <w:szCs w:val="21"/>
              </w:rPr>
            </w:pPr>
            <w:r>
              <w:rPr>
                <w:sz w:val="21"/>
                <w:szCs w:val="21"/>
              </w:rPr>
              <w:t>75</w:t>
            </w:r>
          </w:p>
        </w:tc>
        <w:tc>
          <w:tcPr>
            <w:tcW w:w="655" w:type="dxa"/>
            <w:vAlign w:val="center"/>
          </w:tcPr>
          <w:p>
            <w:pPr>
              <w:adjustRightInd/>
              <w:spacing w:line="240" w:lineRule="auto"/>
              <w:ind w:firstLine="0" w:firstLineChars="0"/>
              <w:jc w:val="center"/>
              <w:rPr>
                <w:sz w:val="21"/>
                <w:szCs w:val="21"/>
              </w:rPr>
            </w:pPr>
            <w:r>
              <w:rPr>
                <w:sz w:val="21"/>
                <w:szCs w:val="21"/>
              </w:rPr>
              <w:t>70.9</w:t>
            </w:r>
          </w:p>
        </w:tc>
        <w:tc>
          <w:tcPr>
            <w:tcW w:w="664" w:type="dxa"/>
            <w:vAlign w:val="center"/>
          </w:tcPr>
          <w:p>
            <w:pPr>
              <w:adjustRightInd/>
              <w:spacing w:line="240" w:lineRule="auto"/>
              <w:ind w:firstLine="0" w:firstLineChars="0"/>
              <w:jc w:val="center"/>
              <w:rPr>
                <w:sz w:val="21"/>
                <w:szCs w:val="21"/>
              </w:rPr>
            </w:pPr>
            <w:r>
              <w:rPr>
                <w:sz w:val="21"/>
                <w:szCs w:val="21"/>
              </w:rPr>
              <w:t>69</w:t>
            </w:r>
          </w:p>
        </w:tc>
        <w:tc>
          <w:tcPr>
            <w:tcW w:w="655" w:type="dxa"/>
            <w:vMerge w:val="restart"/>
            <w:vAlign w:val="center"/>
          </w:tcPr>
          <w:p>
            <w:pPr>
              <w:adjustRightInd/>
              <w:spacing w:line="240" w:lineRule="auto"/>
              <w:ind w:firstLine="0" w:firstLineChars="0"/>
              <w:jc w:val="center"/>
              <w:rPr>
                <w:sz w:val="21"/>
                <w:szCs w:val="21"/>
              </w:rPr>
            </w:pPr>
            <w:r>
              <w:rPr>
                <w:sz w:val="21"/>
                <w:szCs w:val="21"/>
              </w:rPr>
              <w:t>70</w:t>
            </w:r>
          </w:p>
        </w:tc>
        <w:tc>
          <w:tcPr>
            <w:tcW w:w="657" w:type="dxa"/>
            <w:vMerge w:val="restart"/>
            <w:vAlign w:val="center"/>
          </w:tcPr>
          <w:p>
            <w:pPr>
              <w:adjustRightInd/>
              <w:spacing w:line="240" w:lineRule="auto"/>
              <w:ind w:firstLine="0" w:firstLineChars="0"/>
              <w:jc w:val="center"/>
              <w:rPr>
                <w:sz w:val="21"/>
                <w:szCs w:val="21"/>
              </w:rPr>
            </w:pPr>
            <w:r>
              <w:rPr>
                <w:sz w:val="21"/>
                <w:szCs w:val="21"/>
              </w:rPr>
              <w:t>55</w:t>
            </w:r>
          </w:p>
        </w:tc>
        <w:tc>
          <w:tcPr>
            <w:tcW w:w="655" w:type="dxa"/>
            <w:vAlign w:val="center"/>
          </w:tcPr>
          <w:p>
            <w:pPr>
              <w:adjustRightInd/>
              <w:spacing w:line="240" w:lineRule="auto"/>
              <w:ind w:firstLine="0" w:firstLineChars="0"/>
              <w:jc w:val="center"/>
              <w:rPr>
                <w:sz w:val="21"/>
                <w:szCs w:val="21"/>
              </w:rPr>
            </w:pPr>
            <w:r>
              <w:rPr>
                <w:sz w:val="21"/>
                <w:szCs w:val="21"/>
              </w:rPr>
              <w:t>90</w:t>
            </w:r>
          </w:p>
        </w:tc>
        <w:tc>
          <w:tcPr>
            <w:tcW w:w="653" w:type="dxa"/>
            <w:vMerge w:val="restart"/>
            <w:vAlign w:val="center"/>
          </w:tcPr>
          <w:p>
            <w:pPr>
              <w:adjustRightInd/>
              <w:spacing w:line="240" w:lineRule="auto"/>
              <w:ind w:firstLine="0" w:firstLineChars="0"/>
              <w:jc w:val="center"/>
              <w:rPr>
                <w:sz w:val="21"/>
                <w:szCs w:val="21"/>
              </w:rPr>
            </w:pPr>
            <w:r>
              <w:rPr>
                <w:sz w:val="21"/>
                <w:szCs w:val="21"/>
              </w:rPr>
              <w:t>不施工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878" w:type="dxa"/>
            <w:vAlign w:val="center"/>
          </w:tcPr>
          <w:p>
            <w:pPr>
              <w:adjustRightInd/>
              <w:spacing w:line="240" w:lineRule="auto"/>
              <w:ind w:firstLine="0" w:firstLineChars="0"/>
              <w:jc w:val="center"/>
              <w:rPr>
                <w:sz w:val="21"/>
                <w:szCs w:val="21"/>
              </w:rPr>
            </w:pPr>
            <w:r>
              <w:rPr>
                <w:sz w:val="21"/>
                <w:szCs w:val="21"/>
              </w:rPr>
              <w:t>电焊机</w:t>
            </w:r>
          </w:p>
        </w:tc>
        <w:tc>
          <w:tcPr>
            <w:tcW w:w="657" w:type="dxa"/>
            <w:vAlign w:val="center"/>
          </w:tcPr>
          <w:p>
            <w:pPr>
              <w:adjustRightInd/>
              <w:spacing w:line="240" w:lineRule="auto"/>
              <w:ind w:firstLine="0" w:firstLineChars="0"/>
              <w:jc w:val="center"/>
              <w:rPr>
                <w:sz w:val="21"/>
                <w:szCs w:val="21"/>
              </w:rPr>
            </w:pPr>
            <w:r>
              <w:rPr>
                <w:sz w:val="21"/>
                <w:szCs w:val="21"/>
              </w:rPr>
              <w:t>85</w:t>
            </w:r>
          </w:p>
        </w:tc>
        <w:tc>
          <w:tcPr>
            <w:tcW w:w="657" w:type="dxa"/>
            <w:vAlign w:val="center"/>
          </w:tcPr>
          <w:p>
            <w:pPr>
              <w:adjustRightInd/>
              <w:spacing w:line="240" w:lineRule="auto"/>
              <w:ind w:firstLine="0" w:firstLineChars="0"/>
              <w:jc w:val="center"/>
              <w:rPr>
                <w:sz w:val="21"/>
                <w:szCs w:val="21"/>
              </w:rPr>
            </w:pPr>
            <w:r>
              <w:rPr>
                <w:sz w:val="21"/>
                <w:szCs w:val="21"/>
              </w:rPr>
              <w:t>79</w:t>
            </w:r>
          </w:p>
        </w:tc>
        <w:tc>
          <w:tcPr>
            <w:tcW w:w="657" w:type="dxa"/>
            <w:vAlign w:val="center"/>
          </w:tcPr>
          <w:p>
            <w:pPr>
              <w:adjustRightInd/>
              <w:spacing w:line="240" w:lineRule="auto"/>
              <w:ind w:firstLine="0" w:firstLineChars="0"/>
              <w:jc w:val="center"/>
              <w:rPr>
                <w:sz w:val="21"/>
                <w:szCs w:val="21"/>
              </w:rPr>
            </w:pPr>
            <w:r>
              <w:rPr>
                <w:sz w:val="21"/>
                <w:szCs w:val="21"/>
              </w:rPr>
              <w:t>73</w:t>
            </w:r>
          </w:p>
        </w:tc>
        <w:tc>
          <w:tcPr>
            <w:tcW w:w="655" w:type="dxa"/>
            <w:vAlign w:val="center"/>
          </w:tcPr>
          <w:p>
            <w:pPr>
              <w:adjustRightInd/>
              <w:spacing w:line="240" w:lineRule="auto"/>
              <w:ind w:firstLine="0" w:firstLineChars="0"/>
              <w:jc w:val="center"/>
              <w:rPr>
                <w:sz w:val="21"/>
                <w:szCs w:val="21"/>
              </w:rPr>
            </w:pPr>
            <w:r>
              <w:rPr>
                <w:sz w:val="21"/>
                <w:szCs w:val="21"/>
              </w:rPr>
              <w:t>69.4</w:t>
            </w:r>
          </w:p>
        </w:tc>
        <w:tc>
          <w:tcPr>
            <w:tcW w:w="655" w:type="dxa"/>
            <w:vAlign w:val="center"/>
          </w:tcPr>
          <w:p>
            <w:pPr>
              <w:adjustRightInd/>
              <w:spacing w:line="240" w:lineRule="auto"/>
              <w:ind w:firstLine="0" w:firstLineChars="0"/>
              <w:jc w:val="center"/>
              <w:rPr>
                <w:sz w:val="21"/>
                <w:szCs w:val="21"/>
              </w:rPr>
            </w:pPr>
            <w:r>
              <w:rPr>
                <w:sz w:val="21"/>
                <w:szCs w:val="21"/>
              </w:rPr>
              <w:t>66.9</w:t>
            </w:r>
          </w:p>
        </w:tc>
        <w:tc>
          <w:tcPr>
            <w:tcW w:w="659" w:type="dxa"/>
            <w:vAlign w:val="center"/>
          </w:tcPr>
          <w:p>
            <w:pPr>
              <w:adjustRightInd/>
              <w:spacing w:line="240" w:lineRule="auto"/>
              <w:ind w:firstLine="0" w:firstLineChars="0"/>
              <w:jc w:val="center"/>
              <w:rPr>
                <w:sz w:val="21"/>
                <w:szCs w:val="21"/>
              </w:rPr>
            </w:pPr>
            <w:r>
              <w:rPr>
                <w:sz w:val="21"/>
                <w:szCs w:val="21"/>
              </w:rPr>
              <w:t>66</w:t>
            </w:r>
          </w:p>
        </w:tc>
        <w:tc>
          <w:tcPr>
            <w:tcW w:w="655" w:type="dxa"/>
            <w:vAlign w:val="center"/>
          </w:tcPr>
          <w:p>
            <w:pPr>
              <w:adjustRightInd/>
              <w:spacing w:line="240" w:lineRule="auto"/>
              <w:ind w:firstLine="0" w:firstLineChars="0"/>
              <w:jc w:val="center"/>
              <w:rPr>
                <w:sz w:val="21"/>
                <w:szCs w:val="21"/>
              </w:rPr>
            </w:pPr>
            <w:r>
              <w:rPr>
                <w:sz w:val="21"/>
                <w:szCs w:val="21"/>
              </w:rPr>
              <w:t>60.9</w:t>
            </w:r>
          </w:p>
        </w:tc>
        <w:tc>
          <w:tcPr>
            <w:tcW w:w="664" w:type="dxa"/>
            <w:vAlign w:val="center"/>
          </w:tcPr>
          <w:p>
            <w:pPr>
              <w:adjustRightInd/>
              <w:spacing w:line="240" w:lineRule="auto"/>
              <w:ind w:firstLine="0" w:firstLineChars="0"/>
              <w:jc w:val="center"/>
              <w:rPr>
                <w:sz w:val="21"/>
                <w:szCs w:val="21"/>
              </w:rPr>
            </w:pPr>
            <w:r>
              <w:rPr>
                <w:sz w:val="21"/>
                <w:szCs w:val="21"/>
              </w:rPr>
              <w:t>59</w:t>
            </w:r>
          </w:p>
        </w:tc>
        <w:tc>
          <w:tcPr>
            <w:tcW w:w="655" w:type="dxa"/>
            <w:vMerge w:val="continue"/>
            <w:vAlign w:val="center"/>
          </w:tcPr>
          <w:p>
            <w:pPr>
              <w:adjustRightInd/>
              <w:spacing w:line="240" w:lineRule="auto"/>
              <w:ind w:firstLine="0" w:firstLineChars="0"/>
              <w:jc w:val="center"/>
              <w:rPr>
                <w:sz w:val="21"/>
                <w:szCs w:val="21"/>
              </w:rPr>
            </w:pPr>
          </w:p>
        </w:tc>
        <w:tc>
          <w:tcPr>
            <w:tcW w:w="657" w:type="dxa"/>
            <w:vMerge w:val="continue"/>
            <w:vAlign w:val="center"/>
          </w:tcPr>
          <w:p>
            <w:pPr>
              <w:adjustRightInd/>
              <w:spacing w:line="240" w:lineRule="auto"/>
              <w:ind w:firstLine="0" w:firstLineChars="0"/>
              <w:jc w:val="center"/>
              <w:rPr>
                <w:sz w:val="21"/>
                <w:szCs w:val="21"/>
              </w:rPr>
            </w:pPr>
          </w:p>
        </w:tc>
        <w:tc>
          <w:tcPr>
            <w:tcW w:w="655" w:type="dxa"/>
            <w:vAlign w:val="center"/>
          </w:tcPr>
          <w:p>
            <w:pPr>
              <w:adjustRightInd/>
              <w:spacing w:line="240" w:lineRule="auto"/>
              <w:ind w:firstLine="0" w:firstLineChars="0"/>
              <w:jc w:val="center"/>
              <w:rPr>
                <w:sz w:val="21"/>
                <w:szCs w:val="21"/>
              </w:rPr>
            </w:pPr>
            <w:r>
              <w:rPr>
                <w:sz w:val="21"/>
                <w:szCs w:val="21"/>
              </w:rPr>
              <w:t>30</w:t>
            </w:r>
          </w:p>
        </w:tc>
        <w:tc>
          <w:tcPr>
            <w:tcW w:w="653" w:type="dxa"/>
            <w:vMerge w:val="continue"/>
            <w:vAlign w:val="center"/>
          </w:tcPr>
          <w:p>
            <w:pPr>
              <w:adjustRightInd/>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878" w:type="dxa"/>
            <w:vAlign w:val="center"/>
          </w:tcPr>
          <w:p>
            <w:pPr>
              <w:adjustRightInd/>
              <w:spacing w:line="240" w:lineRule="auto"/>
              <w:ind w:firstLine="0" w:firstLineChars="0"/>
              <w:jc w:val="center"/>
              <w:rPr>
                <w:sz w:val="21"/>
                <w:szCs w:val="21"/>
              </w:rPr>
            </w:pPr>
            <w:r>
              <w:rPr>
                <w:sz w:val="21"/>
                <w:szCs w:val="21"/>
              </w:rPr>
              <w:t>电钻</w:t>
            </w:r>
          </w:p>
        </w:tc>
        <w:tc>
          <w:tcPr>
            <w:tcW w:w="657" w:type="dxa"/>
            <w:vAlign w:val="center"/>
          </w:tcPr>
          <w:p>
            <w:pPr>
              <w:adjustRightInd/>
              <w:spacing w:line="240" w:lineRule="auto"/>
              <w:ind w:firstLine="0" w:firstLineChars="0"/>
              <w:jc w:val="center"/>
              <w:rPr>
                <w:sz w:val="21"/>
                <w:szCs w:val="21"/>
              </w:rPr>
            </w:pPr>
            <w:r>
              <w:rPr>
                <w:sz w:val="21"/>
                <w:szCs w:val="21"/>
              </w:rPr>
              <w:t>95</w:t>
            </w:r>
          </w:p>
        </w:tc>
        <w:tc>
          <w:tcPr>
            <w:tcW w:w="657" w:type="dxa"/>
            <w:vAlign w:val="center"/>
          </w:tcPr>
          <w:p>
            <w:pPr>
              <w:adjustRightInd/>
              <w:spacing w:line="240" w:lineRule="auto"/>
              <w:ind w:firstLine="0" w:firstLineChars="0"/>
              <w:jc w:val="center"/>
              <w:rPr>
                <w:sz w:val="21"/>
                <w:szCs w:val="21"/>
              </w:rPr>
            </w:pPr>
            <w:r>
              <w:rPr>
                <w:sz w:val="21"/>
                <w:szCs w:val="21"/>
              </w:rPr>
              <w:t>89</w:t>
            </w:r>
          </w:p>
        </w:tc>
        <w:tc>
          <w:tcPr>
            <w:tcW w:w="657" w:type="dxa"/>
            <w:vAlign w:val="center"/>
          </w:tcPr>
          <w:p>
            <w:pPr>
              <w:adjustRightInd/>
              <w:spacing w:line="240" w:lineRule="auto"/>
              <w:ind w:firstLine="0" w:firstLineChars="0"/>
              <w:jc w:val="center"/>
              <w:rPr>
                <w:sz w:val="21"/>
                <w:szCs w:val="21"/>
              </w:rPr>
            </w:pPr>
            <w:r>
              <w:rPr>
                <w:sz w:val="21"/>
                <w:szCs w:val="21"/>
              </w:rPr>
              <w:t>83</w:t>
            </w:r>
          </w:p>
        </w:tc>
        <w:tc>
          <w:tcPr>
            <w:tcW w:w="655" w:type="dxa"/>
            <w:vAlign w:val="center"/>
          </w:tcPr>
          <w:p>
            <w:pPr>
              <w:adjustRightInd/>
              <w:spacing w:line="240" w:lineRule="auto"/>
              <w:ind w:firstLine="0" w:firstLineChars="0"/>
              <w:jc w:val="center"/>
              <w:rPr>
                <w:sz w:val="21"/>
                <w:szCs w:val="21"/>
              </w:rPr>
            </w:pPr>
            <w:r>
              <w:rPr>
                <w:sz w:val="21"/>
                <w:szCs w:val="21"/>
              </w:rPr>
              <w:t>79.4</w:t>
            </w:r>
          </w:p>
        </w:tc>
        <w:tc>
          <w:tcPr>
            <w:tcW w:w="655" w:type="dxa"/>
            <w:vAlign w:val="center"/>
          </w:tcPr>
          <w:p>
            <w:pPr>
              <w:adjustRightInd/>
              <w:spacing w:line="240" w:lineRule="auto"/>
              <w:ind w:firstLine="0" w:firstLineChars="0"/>
              <w:jc w:val="center"/>
              <w:rPr>
                <w:sz w:val="21"/>
                <w:szCs w:val="21"/>
              </w:rPr>
            </w:pPr>
            <w:r>
              <w:rPr>
                <w:sz w:val="21"/>
                <w:szCs w:val="21"/>
              </w:rPr>
              <w:t>76.9</w:t>
            </w:r>
          </w:p>
        </w:tc>
        <w:tc>
          <w:tcPr>
            <w:tcW w:w="659" w:type="dxa"/>
            <w:vAlign w:val="center"/>
          </w:tcPr>
          <w:p>
            <w:pPr>
              <w:adjustRightInd/>
              <w:spacing w:line="240" w:lineRule="auto"/>
              <w:ind w:firstLine="0" w:firstLineChars="0"/>
              <w:jc w:val="center"/>
              <w:rPr>
                <w:sz w:val="21"/>
                <w:szCs w:val="21"/>
              </w:rPr>
            </w:pPr>
            <w:r>
              <w:rPr>
                <w:sz w:val="21"/>
                <w:szCs w:val="21"/>
              </w:rPr>
              <w:t>75</w:t>
            </w:r>
          </w:p>
        </w:tc>
        <w:tc>
          <w:tcPr>
            <w:tcW w:w="655" w:type="dxa"/>
            <w:vAlign w:val="center"/>
          </w:tcPr>
          <w:p>
            <w:pPr>
              <w:adjustRightInd/>
              <w:spacing w:line="240" w:lineRule="auto"/>
              <w:ind w:firstLine="0" w:firstLineChars="0"/>
              <w:jc w:val="center"/>
              <w:rPr>
                <w:sz w:val="21"/>
                <w:szCs w:val="21"/>
              </w:rPr>
            </w:pPr>
            <w:r>
              <w:rPr>
                <w:sz w:val="21"/>
                <w:szCs w:val="21"/>
              </w:rPr>
              <w:t>70.9</w:t>
            </w:r>
          </w:p>
        </w:tc>
        <w:tc>
          <w:tcPr>
            <w:tcW w:w="664" w:type="dxa"/>
            <w:vAlign w:val="center"/>
          </w:tcPr>
          <w:p>
            <w:pPr>
              <w:adjustRightInd/>
              <w:spacing w:line="240" w:lineRule="auto"/>
              <w:ind w:firstLine="0" w:firstLineChars="0"/>
              <w:jc w:val="center"/>
              <w:rPr>
                <w:sz w:val="21"/>
                <w:szCs w:val="21"/>
              </w:rPr>
            </w:pPr>
            <w:r>
              <w:rPr>
                <w:sz w:val="21"/>
                <w:szCs w:val="21"/>
              </w:rPr>
              <w:t>69</w:t>
            </w:r>
          </w:p>
        </w:tc>
        <w:tc>
          <w:tcPr>
            <w:tcW w:w="655" w:type="dxa"/>
            <w:vMerge w:val="continue"/>
            <w:vAlign w:val="center"/>
          </w:tcPr>
          <w:p>
            <w:pPr>
              <w:adjustRightInd/>
              <w:spacing w:line="240" w:lineRule="auto"/>
              <w:ind w:firstLine="0" w:firstLineChars="0"/>
              <w:jc w:val="center"/>
              <w:rPr>
                <w:sz w:val="21"/>
                <w:szCs w:val="21"/>
              </w:rPr>
            </w:pPr>
          </w:p>
        </w:tc>
        <w:tc>
          <w:tcPr>
            <w:tcW w:w="657" w:type="dxa"/>
            <w:vMerge w:val="continue"/>
            <w:vAlign w:val="center"/>
          </w:tcPr>
          <w:p>
            <w:pPr>
              <w:adjustRightInd/>
              <w:spacing w:line="240" w:lineRule="auto"/>
              <w:ind w:firstLine="0" w:firstLineChars="0"/>
              <w:jc w:val="center"/>
              <w:rPr>
                <w:sz w:val="21"/>
                <w:szCs w:val="21"/>
              </w:rPr>
            </w:pPr>
          </w:p>
        </w:tc>
        <w:tc>
          <w:tcPr>
            <w:tcW w:w="655" w:type="dxa"/>
            <w:vAlign w:val="center"/>
          </w:tcPr>
          <w:p>
            <w:pPr>
              <w:adjustRightInd/>
              <w:spacing w:line="240" w:lineRule="auto"/>
              <w:ind w:firstLine="0" w:firstLineChars="0"/>
              <w:jc w:val="center"/>
              <w:rPr>
                <w:sz w:val="21"/>
                <w:szCs w:val="21"/>
              </w:rPr>
            </w:pPr>
            <w:r>
              <w:rPr>
                <w:sz w:val="21"/>
                <w:szCs w:val="21"/>
              </w:rPr>
              <w:t>90</w:t>
            </w:r>
          </w:p>
        </w:tc>
        <w:tc>
          <w:tcPr>
            <w:tcW w:w="653" w:type="dxa"/>
            <w:vMerge w:val="continue"/>
            <w:vAlign w:val="center"/>
          </w:tcPr>
          <w:p>
            <w:pPr>
              <w:adjustRightInd/>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trPr>
        <w:tc>
          <w:tcPr>
            <w:tcW w:w="878" w:type="dxa"/>
            <w:vAlign w:val="center"/>
          </w:tcPr>
          <w:p>
            <w:pPr>
              <w:adjustRightInd/>
              <w:spacing w:line="240" w:lineRule="auto"/>
              <w:ind w:firstLine="0" w:firstLineChars="0"/>
              <w:jc w:val="center"/>
              <w:rPr>
                <w:sz w:val="21"/>
                <w:szCs w:val="21"/>
              </w:rPr>
            </w:pPr>
            <w:r>
              <w:rPr>
                <w:sz w:val="21"/>
                <w:szCs w:val="21"/>
              </w:rPr>
              <w:t>电锯</w:t>
            </w:r>
          </w:p>
        </w:tc>
        <w:tc>
          <w:tcPr>
            <w:tcW w:w="657" w:type="dxa"/>
            <w:vAlign w:val="center"/>
          </w:tcPr>
          <w:p>
            <w:pPr>
              <w:adjustRightInd/>
              <w:spacing w:line="240" w:lineRule="auto"/>
              <w:ind w:firstLine="0" w:firstLineChars="0"/>
              <w:jc w:val="center"/>
              <w:rPr>
                <w:sz w:val="21"/>
                <w:szCs w:val="21"/>
              </w:rPr>
            </w:pPr>
            <w:r>
              <w:rPr>
                <w:sz w:val="21"/>
                <w:szCs w:val="21"/>
              </w:rPr>
              <w:t>95</w:t>
            </w:r>
          </w:p>
        </w:tc>
        <w:tc>
          <w:tcPr>
            <w:tcW w:w="657" w:type="dxa"/>
            <w:vAlign w:val="center"/>
          </w:tcPr>
          <w:p>
            <w:pPr>
              <w:adjustRightInd/>
              <w:spacing w:line="240" w:lineRule="auto"/>
              <w:ind w:firstLine="0" w:firstLineChars="0"/>
              <w:jc w:val="center"/>
              <w:rPr>
                <w:sz w:val="21"/>
                <w:szCs w:val="21"/>
              </w:rPr>
            </w:pPr>
            <w:r>
              <w:rPr>
                <w:sz w:val="21"/>
                <w:szCs w:val="21"/>
              </w:rPr>
              <w:t>89</w:t>
            </w:r>
          </w:p>
        </w:tc>
        <w:tc>
          <w:tcPr>
            <w:tcW w:w="657" w:type="dxa"/>
            <w:vAlign w:val="center"/>
          </w:tcPr>
          <w:p>
            <w:pPr>
              <w:adjustRightInd/>
              <w:spacing w:line="240" w:lineRule="auto"/>
              <w:ind w:firstLine="0" w:firstLineChars="0"/>
              <w:jc w:val="center"/>
              <w:rPr>
                <w:sz w:val="21"/>
                <w:szCs w:val="21"/>
              </w:rPr>
            </w:pPr>
            <w:r>
              <w:rPr>
                <w:sz w:val="21"/>
                <w:szCs w:val="21"/>
              </w:rPr>
              <w:t>83</w:t>
            </w:r>
          </w:p>
        </w:tc>
        <w:tc>
          <w:tcPr>
            <w:tcW w:w="655" w:type="dxa"/>
            <w:vAlign w:val="center"/>
          </w:tcPr>
          <w:p>
            <w:pPr>
              <w:adjustRightInd/>
              <w:spacing w:line="240" w:lineRule="auto"/>
              <w:ind w:firstLine="0" w:firstLineChars="0"/>
              <w:jc w:val="center"/>
              <w:rPr>
                <w:sz w:val="21"/>
                <w:szCs w:val="21"/>
              </w:rPr>
            </w:pPr>
            <w:r>
              <w:rPr>
                <w:sz w:val="21"/>
                <w:szCs w:val="21"/>
              </w:rPr>
              <w:t>79.4</w:t>
            </w:r>
          </w:p>
        </w:tc>
        <w:tc>
          <w:tcPr>
            <w:tcW w:w="655" w:type="dxa"/>
            <w:vAlign w:val="center"/>
          </w:tcPr>
          <w:p>
            <w:pPr>
              <w:adjustRightInd/>
              <w:spacing w:line="240" w:lineRule="auto"/>
              <w:ind w:firstLine="0" w:firstLineChars="0"/>
              <w:jc w:val="center"/>
              <w:rPr>
                <w:sz w:val="21"/>
                <w:szCs w:val="21"/>
              </w:rPr>
            </w:pPr>
            <w:r>
              <w:rPr>
                <w:sz w:val="21"/>
                <w:szCs w:val="21"/>
              </w:rPr>
              <w:t>76.9</w:t>
            </w:r>
          </w:p>
        </w:tc>
        <w:tc>
          <w:tcPr>
            <w:tcW w:w="659" w:type="dxa"/>
            <w:vAlign w:val="center"/>
          </w:tcPr>
          <w:p>
            <w:pPr>
              <w:adjustRightInd/>
              <w:spacing w:line="240" w:lineRule="auto"/>
              <w:ind w:firstLine="0" w:firstLineChars="0"/>
              <w:jc w:val="center"/>
              <w:rPr>
                <w:sz w:val="21"/>
                <w:szCs w:val="21"/>
              </w:rPr>
            </w:pPr>
            <w:r>
              <w:rPr>
                <w:sz w:val="21"/>
                <w:szCs w:val="21"/>
              </w:rPr>
              <w:t>75</w:t>
            </w:r>
          </w:p>
        </w:tc>
        <w:tc>
          <w:tcPr>
            <w:tcW w:w="655" w:type="dxa"/>
            <w:vAlign w:val="center"/>
          </w:tcPr>
          <w:p>
            <w:pPr>
              <w:adjustRightInd/>
              <w:spacing w:line="240" w:lineRule="auto"/>
              <w:ind w:firstLine="0" w:firstLineChars="0"/>
              <w:jc w:val="center"/>
              <w:rPr>
                <w:sz w:val="21"/>
                <w:szCs w:val="21"/>
              </w:rPr>
            </w:pPr>
            <w:r>
              <w:rPr>
                <w:sz w:val="21"/>
                <w:szCs w:val="21"/>
              </w:rPr>
              <w:t>70.9</w:t>
            </w:r>
          </w:p>
        </w:tc>
        <w:tc>
          <w:tcPr>
            <w:tcW w:w="664" w:type="dxa"/>
            <w:vAlign w:val="center"/>
          </w:tcPr>
          <w:p>
            <w:pPr>
              <w:adjustRightInd/>
              <w:spacing w:line="240" w:lineRule="auto"/>
              <w:ind w:firstLine="0" w:firstLineChars="0"/>
              <w:jc w:val="center"/>
              <w:rPr>
                <w:sz w:val="21"/>
                <w:szCs w:val="21"/>
              </w:rPr>
            </w:pPr>
            <w:r>
              <w:rPr>
                <w:sz w:val="21"/>
                <w:szCs w:val="21"/>
              </w:rPr>
              <w:t>69</w:t>
            </w:r>
          </w:p>
        </w:tc>
        <w:tc>
          <w:tcPr>
            <w:tcW w:w="655" w:type="dxa"/>
            <w:vMerge w:val="continue"/>
            <w:vAlign w:val="center"/>
          </w:tcPr>
          <w:p>
            <w:pPr>
              <w:adjustRightInd/>
              <w:spacing w:line="240" w:lineRule="auto"/>
              <w:ind w:firstLine="0" w:firstLineChars="0"/>
              <w:jc w:val="center"/>
              <w:rPr>
                <w:sz w:val="21"/>
                <w:szCs w:val="21"/>
              </w:rPr>
            </w:pPr>
          </w:p>
        </w:tc>
        <w:tc>
          <w:tcPr>
            <w:tcW w:w="657" w:type="dxa"/>
            <w:vMerge w:val="continue"/>
            <w:vAlign w:val="center"/>
          </w:tcPr>
          <w:p>
            <w:pPr>
              <w:adjustRightInd/>
              <w:spacing w:line="240" w:lineRule="auto"/>
              <w:ind w:firstLine="0" w:firstLineChars="0"/>
              <w:jc w:val="center"/>
              <w:rPr>
                <w:sz w:val="21"/>
                <w:szCs w:val="21"/>
              </w:rPr>
            </w:pPr>
          </w:p>
        </w:tc>
        <w:tc>
          <w:tcPr>
            <w:tcW w:w="655" w:type="dxa"/>
            <w:vAlign w:val="center"/>
          </w:tcPr>
          <w:p>
            <w:pPr>
              <w:adjustRightInd/>
              <w:spacing w:line="240" w:lineRule="auto"/>
              <w:ind w:firstLine="0" w:firstLineChars="0"/>
              <w:jc w:val="center"/>
              <w:rPr>
                <w:sz w:val="21"/>
                <w:szCs w:val="21"/>
              </w:rPr>
            </w:pPr>
            <w:r>
              <w:rPr>
                <w:sz w:val="21"/>
                <w:szCs w:val="21"/>
              </w:rPr>
              <w:t>90</w:t>
            </w:r>
          </w:p>
        </w:tc>
        <w:tc>
          <w:tcPr>
            <w:tcW w:w="653" w:type="dxa"/>
            <w:vMerge w:val="continue"/>
            <w:vAlign w:val="center"/>
          </w:tcPr>
          <w:p>
            <w:pPr>
              <w:adjustRightInd/>
              <w:spacing w:line="240" w:lineRule="auto"/>
              <w:ind w:firstLine="0" w:firstLineChars="0"/>
              <w:jc w:val="center"/>
              <w:rPr>
                <w:sz w:val="21"/>
                <w:szCs w:val="21"/>
              </w:rPr>
            </w:pPr>
          </w:p>
        </w:tc>
      </w:tr>
    </w:tbl>
    <w:p>
      <w:pPr>
        <w:pStyle w:val="93"/>
      </w:pPr>
    </w:p>
    <w:p>
      <w:pPr>
        <w:ind w:firstLine="480"/>
        <w:rPr>
          <w:rFonts w:cs="宋体"/>
          <w:kern w:val="0"/>
          <w:szCs w:val="20"/>
        </w:rPr>
      </w:pPr>
      <w:r>
        <w:rPr>
          <w:rFonts w:hint="eastAsia"/>
        </w:rPr>
        <w:t>根据</w:t>
      </w:r>
      <w:r>
        <w:rPr>
          <w:rStyle w:val="88"/>
          <w:rFonts w:hint="eastAsia"/>
        </w:rPr>
        <w:t>表5.1-2的</w:t>
      </w:r>
      <w:r>
        <w:rPr>
          <w:rFonts w:hint="eastAsia"/>
        </w:rPr>
        <w:t>预测结果，</w:t>
      </w:r>
      <w:r>
        <w:rPr>
          <w:rFonts w:hint="eastAsia" w:cs="宋体"/>
          <w:kern w:val="0"/>
          <w:szCs w:val="20"/>
        </w:rPr>
        <w:t>施工机械最近达标范围为</w:t>
      </w:r>
      <w:r>
        <w:rPr>
          <w:rFonts w:cs="宋体"/>
          <w:kern w:val="0"/>
          <w:szCs w:val="20"/>
        </w:rPr>
        <w:t>90m</w:t>
      </w:r>
      <w:r>
        <w:rPr>
          <w:rFonts w:hint="eastAsia" w:cs="宋体"/>
          <w:kern w:val="0"/>
          <w:szCs w:val="20"/>
        </w:rPr>
        <w:t>，项目</w:t>
      </w:r>
      <w:r>
        <w:rPr>
          <w:rFonts w:cs="宋体"/>
          <w:kern w:val="0"/>
          <w:szCs w:val="20"/>
        </w:rPr>
        <w:t>周围200</w:t>
      </w:r>
      <w:r>
        <w:rPr>
          <w:rFonts w:hint="eastAsia" w:cs="宋体"/>
          <w:kern w:val="0"/>
          <w:szCs w:val="20"/>
        </w:rPr>
        <w:t>m范围</w:t>
      </w:r>
      <w:r>
        <w:rPr>
          <w:rFonts w:cs="宋体"/>
          <w:kern w:val="0"/>
          <w:szCs w:val="20"/>
        </w:rPr>
        <w:t>内</w:t>
      </w:r>
      <w:r>
        <w:rPr>
          <w:rFonts w:hint="eastAsia" w:cs="宋体"/>
          <w:kern w:val="0"/>
          <w:szCs w:val="20"/>
        </w:rPr>
        <w:t>敏感点</w:t>
      </w:r>
      <w:r>
        <w:rPr>
          <w:rFonts w:cs="宋体"/>
          <w:kern w:val="0"/>
          <w:szCs w:val="20"/>
        </w:rPr>
        <w:t>为东侧</w:t>
      </w:r>
      <w:r>
        <w:rPr>
          <w:rFonts w:hint="eastAsia" w:cs="宋体"/>
          <w:kern w:val="0"/>
          <w:szCs w:val="20"/>
        </w:rPr>
        <w:t>50</w:t>
      </w:r>
      <w:r>
        <w:rPr>
          <w:rFonts w:cs="宋体"/>
          <w:kern w:val="0"/>
          <w:szCs w:val="20"/>
        </w:rPr>
        <w:t>m的江家店村居民点</w:t>
      </w:r>
      <w:r>
        <w:rPr>
          <w:rFonts w:hint="eastAsia" w:cs="宋体"/>
          <w:kern w:val="0"/>
          <w:szCs w:val="20"/>
        </w:rPr>
        <w:t>，因此项目施工期噪声会对周围敏感点产生</w:t>
      </w:r>
      <w:r>
        <w:rPr>
          <w:rFonts w:cs="宋体"/>
          <w:kern w:val="0"/>
          <w:szCs w:val="20"/>
        </w:rPr>
        <w:t>影响</w:t>
      </w:r>
      <w:r>
        <w:rPr>
          <w:rFonts w:hint="eastAsia" w:cs="宋体"/>
          <w:kern w:val="0"/>
          <w:szCs w:val="20"/>
        </w:rPr>
        <w:t>。</w:t>
      </w:r>
    </w:p>
    <w:p>
      <w:pPr>
        <w:ind w:firstLine="480"/>
      </w:pPr>
      <w:r>
        <w:rPr>
          <w:rFonts w:hint="eastAsia"/>
        </w:rPr>
        <w:t>环评要求建设单位应做好施工期的工程管理工作，合理安排工期和施工工序，严格控制高噪声设备的运行时段，并按照《建筑施工场界环境噪声排放标准》</w:t>
      </w:r>
      <w:r>
        <w:rPr>
          <w:rFonts w:hint="eastAsia" w:hAnsi="宋体" w:cs="宋体"/>
          <w:szCs w:val="20"/>
        </w:rPr>
        <w:t>（</w:t>
      </w:r>
      <w:r>
        <w:rPr>
          <w:rFonts w:hAnsi="宋体" w:cs="宋体"/>
          <w:szCs w:val="20"/>
        </w:rPr>
        <w:t>GB12523-2011</w:t>
      </w:r>
      <w:r>
        <w:rPr>
          <w:rFonts w:hint="eastAsia" w:hAnsi="宋体" w:cs="宋体"/>
          <w:szCs w:val="20"/>
        </w:rPr>
        <w:t>）</w:t>
      </w:r>
      <w:r>
        <w:rPr>
          <w:rFonts w:hint="eastAsia"/>
        </w:rPr>
        <w:t>要求，严禁夜间施工（夜间</w:t>
      </w:r>
      <w:r>
        <w:t>22</w:t>
      </w:r>
      <w:r>
        <w:rPr>
          <w:rFonts w:hint="eastAsia"/>
        </w:rPr>
        <w:t>：</w:t>
      </w:r>
      <w:r>
        <w:t>00</w:t>
      </w:r>
      <w:r>
        <w:rPr>
          <w:rFonts w:hint="eastAsia"/>
        </w:rPr>
        <w:t>～</w:t>
      </w:r>
      <w:r>
        <w:t>06</w:t>
      </w:r>
      <w:r>
        <w:rPr>
          <w:rFonts w:hint="eastAsia"/>
        </w:rPr>
        <w:t>：</w:t>
      </w:r>
      <w:r>
        <w:t>00</w:t>
      </w:r>
      <w:r>
        <w:rPr>
          <w:rFonts w:hint="eastAsia"/>
        </w:rPr>
        <w:t>），避免夜间施工产生扰民现象，对于确需夜间连续施工的，应办理相关施工环保手续。施工噪声将会对周围声环境产生一定的影响，但是施工噪声对周围声环境的影响会随着施工期的结束而消失。</w:t>
      </w:r>
    </w:p>
    <w:bookmarkEnd w:id="113"/>
    <w:bookmarkEnd w:id="114"/>
    <w:bookmarkEnd w:id="115"/>
    <w:bookmarkEnd w:id="116"/>
    <w:bookmarkEnd w:id="117"/>
    <w:bookmarkEnd w:id="118"/>
    <w:p>
      <w:pPr>
        <w:pStyle w:val="4"/>
      </w:pPr>
      <w:bookmarkStart w:id="120" w:name="_Toc10643"/>
      <w:r>
        <w:rPr>
          <w:rFonts w:hint="eastAsia"/>
        </w:rPr>
        <w:t>施工期</w:t>
      </w:r>
      <w:r>
        <w:t>固体废物影响分析</w:t>
      </w:r>
      <w:bookmarkEnd w:id="120"/>
    </w:p>
    <w:p>
      <w:pPr>
        <w:pStyle w:val="87"/>
        <w:ind w:firstLine="480"/>
      </w:pPr>
      <w:r>
        <w:t>施工期的固体废物主要有两类：一是施工建设过程中产生的建筑垃圾；二是施工人员的生活垃圾。</w:t>
      </w:r>
    </w:p>
    <w:p>
      <w:pPr>
        <w:pStyle w:val="87"/>
        <w:ind w:firstLine="482"/>
        <w:rPr>
          <w:b/>
        </w:rPr>
      </w:pPr>
      <w:r>
        <w:rPr>
          <w:rFonts w:hint="eastAsia"/>
          <w:b/>
        </w:rPr>
        <w:t>1、建筑</w:t>
      </w:r>
      <w:r>
        <w:rPr>
          <w:b/>
        </w:rPr>
        <w:t>垃圾</w:t>
      </w:r>
    </w:p>
    <w:p>
      <w:pPr>
        <w:ind w:firstLine="480"/>
      </w:pPr>
      <w:r>
        <w:t>建筑垃圾主要在</w:t>
      </w:r>
      <w:r>
        <w:rPr>
          <w:rFonts w:hint="eastAsia"/>
        </w:rPr>
        <w:t>设备</w:t>
      </w:r>
      <w:r>
        <w:t>安装过程中产生，主要成份以废</w:t>
      </w:r>
      <w:r>
        <w:rPr>
          <w:rFonts w:hint="eastAsia"/>
        </w:rPr>
        <w:t>混凝土</w:t>
      </w:r>
      <w:r>
        <w:t>为主。</w:t>
      </w:r>
      <w:r>
        <w:rPr>
          <w:rFonts w:hint="eastAsia"/>
        </w:rPr>
        <w:t>本项目施工</w:t>
      </w:r>
      <w:r>
        <w:t>期建筑垃圾产生量为1t，建筑垃圾收集后运往制定地点填埋统一处理</w:t>
      </w:r>
      <w:r>
        <w:rPr>
          <w:rFonts w:hint="eastAsia"/>
        </w:rPr>
        <w:t>。项目施工期废弃包装垃圾产生量为2t，收集后外售。</w:t>
      </w:r>
    </w:p>
    <w:p>
      <w:pPr>
        <w:pStyle w:val="87"/>
        <w:ind w:firstLine="482"/>
        <w:rPr>
          <w:b/>
        </w:rPr>
      </w:pPr>
      <w:r>
        <w:rPr>
          <w:rFonts w:hint="eastAsia"/>
          <w:b/>
        </w:rPr>
        <w:t>2、生活</w:t>
      </w:r>
      <w:r>
        <w:rPr>
          <w:b/>
        </w:rPr>
        <w:t>垃圾</w:t>
      </w:r>
    </w:p>
    <w:p>
      <w:pPr>
        <w:pStyle w:val="87"/>
        <w:ind w:firstLine="480"/>
      </w:pPr>
      <w:r>
        <w:rPr>
          <w:rFonts w:hint="eastAsia"/>
        </w:rPr>
        <w:t>施工期间最大施工人数为</w:t>
      </w:r>
      <w:r>
        <w:t>15</w:t>
      </w:r>
      <w:r>
        <w:rPr>
          <w:rFonts w:hint="eastAsia"/>
        </w:rPr>
        <w:t>人</w:t>
      </w:r>
      <w:r>
        <w:t>/d</w:t>
      </w:r>
      <w:r>
        <w:rPr>
          <w:rFonts w:hint="eastAsia"/>
        </w:rPr>
        <w:t>，产生的生活垃圾按</w:t>
      </w:r>
      <w:r>
        <w:t>0.3kg/</w:t>
      </w:r>
      <w:r>
        <w:rPr>
          <w:rFonts w:hint="eastAsia"/>
        </w:rPr>
        <w:t>人</w:t>
      </w:r>
      <w:r>
        <w:t>·d</w:t>
      </w:r>
      <w:r>
        <w:rPr>
          <w:rFonts w:hint="eastAsia"/>
        </w:rPr>
        <w:t>计算，垃圾产生量为</w:t>
      </w:r>
      <w:r>
        <w:t>4.5kg/d</w:t>
      </w:r>
      <w:r>
        <w:rPr>
          <w:rFonts w:hint="eastAsia"/>
        </w:rPr>
        <w:t>，</w:t>
      </w:r>
      <w:r>
        <w:t>施工现场设垃圾桶，将产生的生活垃圾收集，</w:t>
      </w:r>
      <w:r>
        <w:rPr>
          <w:rFonts w:hint="eastAsia"/>
        </w:rPr>
        <w:t>统一</w:t>
      </w:r>
      <w:r>
        <w:t>交由环卫部门处置。</w:t>
      </w:r>
    </w:p>
    <w:p>
      <w:pPr>
        <w:pStyle w:val="3"/>
      </w:pPr>
      <w:bookmarkStart w:id="121" w:name="_Toc82502957"/>
      <w:r>
        <w:rPr>
          <w:rFonts w:hint="eastAsia"/>
        </w:rPr>
        <w:t>运营期</w:t>
      </w:r>
      <w:r>
        <w:t>环境影响预测与评价</w:t>
      </w:r>
      <w:bookmarkEnd w:id="121"/>
    </w:p>
    <w:p>
      <w:pPr>
        <w:pStyle w:val="4"/>
      </w:pPr>
      <w:bookmarkStart w:id="122" w:name="_Toc488102173"/>
      <w:r>
        <w:rPr>
          <w:rFonts w:hint="eastAsia"/>
        </w:rPr>
        <w:t xml:space="preserve"> 大气环境影响预测与评价</w:t>
      </w:r>
      <w:bookmarkEnd w:id="122"/>
    </w:p>
    <w:p>
      <w:pPr>
        <w:pStyle w:val="5"/>
      </w:pPr>
      <w:r>
        <w:rPr>
          <w:rFonts w:hint="eastAsia"/>
        </w:rPr>
        <w:t>污染源</w:t>
      </w:r>
      <w:r>
        <w:t>参数</w:t>
      </w:r>
    </w:p>
    <w:p>
      <w:pPr>
        <w:pStyle w:val="87"/>
        <w:ind w:firstLine="480"/>
      </w:pPr>
      <w:r>
        <w:rPr>
          <w:rFonts w:hint="eastAsia"/>
        </w:rPr>
        <w:t>（1）污染物</w:t>
      </w:r>
      <w:r>
        <w:t>排放因子</w:t>
      </w:r>
    </w:p>
    <w:p>
      <w:pPr>
        <w:pStyle w:val="87"/>
        <w:ind w:firstLine="480"/>
      </w:pPr>
      <w:r>
        <w:rPr>
          <w:rFonts w:hint="eastAsia"/>
        </w:rPr>
        <w:t>项目运营期废气主要为初清筛粉尘、粗粉、微粉破碎粉尘、天然气锅炉废气、溶剂废气、储罐大小呼吸废气等。</w:t>
      </w:r>
      <w:r>
        <w:rPr>
          <w:rFonts w:cs="Times New Roman"/>
        </w:rPr>
        <w:t>为了解拟建项目投产后对周围环境的影响，根据影响最大原则，本次预测选取的预测因子为</w:t>
      </w:r>
      <w:r>
        <w:rPr>
          <w:rFonts w:hint="eastAsia"/>
        </w:rPr>
        <w:t>颗粒物</w:t>
      </w:r>
      <w:r>
        <w:rPr>
          <w:rFonts w:cs="Times New Roman"/>
        </w:rPr>
        <w:t>、</w:t>
      </w:r>
      <w:r>
        <w:rPr>
          <w:rFonts w:hint="eastAsia" w:cs="Times New Roman"/>
        </w:rPr>
        <w:t>甲醇</w:t>
      </w:r>
      <w:r>
        <w:rPr>
          <w:rFonts w:cs="Times New Roman"/>
        </w:rPr>
        <w:t>。</w:t>
      </w:r>
    </w:p>
    <w:p>
      <w:pPr>
        <w:pStyle w:val="87"/>
        <w:ind w:firstLine="480"/>
        <w:rPr>
          <w:rFonts w:cs="Times New Roman"/>
        </w:rPr>
      </w:pPr>
      <w:r>
        <w:rPr>
          <w:rFonts w:hint="eastAsia" w:cs="Times New Roman"/>
        </w:rPr>
        <w:t>（2）污染物</w:t>
      </w:r>
      <w:r>
        <w:rPr>
          <w:rFonts w:cs="Times New Roman"/>
        </w:rPr>
        <w:t>排放参数</w:t>
      </w:r>
    </w:p>
    <w:p>
      <w:pPr>
        <w:pStyle w:val="87"/>
        <w:ind w:firstLine="480"/>
        <w:rPr>
          <w:rFonts w:cs="Times New Roman"/>
        </w:rPr>
      </w:pPr>
      <w:r>
        <w:rPr>
          <w:rFonts w:cs="Times New Roman"/>
        </w:rPr>
        <w:t>根据工程分析，</w:t>
      </w:r>
      <w:r>
        <w:rPr>
          <w:rFonts w:hint="eastAsia" w:cs="Times New Roman"/>
        </w:rPr>
        <w:t>项目</w:t>
      </w:r>
      <w:r>
        <w:rPr>
          <w:rFonts w:cs="Times New Roman"/>
        </w:rPr>
        <w:t>点源主要为</w:t>
      </w:r>
      <w:r>
        <w:rPr>
          <w:rFonts w:hint="eastAsia" w:cs="Times New Roman"/>
        </w:rPr>
        <w:t>初</w:t>
      </w:r>
      <w:r>
        <w:rPr>
          <w:rFonts w:cs="Times New Roman"/>
        </w:rPr>
        <w:t>清筛分排气筒P1、粗粉排气筒P2、微粉排气筒P3</w:t>
      </w:r>
      <w:r>
        <w:rPr>
          <w:rFonts w:hint="eastAsia" w:cs="Times New Roman"/>
        </w:rPr>
        <w:t>、</w:t>
      </w:r>
      <w:r>
        <w:rPr>
          <w:rFonts w:cs="Times New Roman"/>
        </w:rPr>
        <w:t>P4</w:t>
      </w:r>
      <w:r>
        <w:rPr>
          <w:rFonts w:hint="eastAsia" w:cs="Times New Roman"/>
        </w:rPr>
        <w:t>、甲醇回收</w:t>
      </w:r>
      <w:r>
        <w:rPr>
          <w:rFonts w:cs="Times New Roman"/>
        </w:rPr>
        <w:t>排气筒P5、</w:t>
      </w:r>
      <w:r>
        <w:rPr>
          <w:rFonts w:hint="eastAsia" w:cs="Times New Roman"/>
        </w:rPr>
        <w:t>天然气</w:t>
      </w:r>
      <w:r>
        <w:rPr>
          <w:rFonts w:cs="Times New Roman"/>
        </w:rPr>
        <w:t>排气筒P6。</w:t>
      </w:r>
      <w:r>
        <w:rPr>
          <w:rFonts w:hint="eastAsia" w:cs="Times New Roman"/>
        </w:rPr>
        <w:t>矩形</w:t>
      </w:r>
      <w:r>
        <w:rPr>
          <w:rFonts w:cs="Times New Roman"/>
        </w:rPr>
        <w:t>面源为储罐区A1。</w:t>
      </w:r>
    </w:p>
    <w:p>
      <w:pPr>
        <w:pStyle w:val="87"/>
        <w:ind w:firstLine="480"/>
      </w:pPr>
      <w:r>
        <w:rPr>
          <w:rFonts w:hint="eastAsia"/>
        </w:rPr>
        <w:t>项目</w:t>
      </w:r>
      <w:r>
        <w:t>污染源参数见</w:t>
      </w:r>
      <w:r>
        <w:rPr>
          <w:rFonts w:hint="eastAsia"/>
        </w:rPr>
        <w:t>表</w:t>
      </w:r>
      <w:r>
        <w:t>5</w:t>
      </w:r>
      <w:r>
        <w:rPr>
          <w:rFonts w:hint="eastAsia"/>
        </w:rPr>
        <w:t>.2-1，</w:t>
      </w:r>
      <w:r>
        <w:t>表</w:t>
      </w:r>
      <w:r>
        <w:rPr>
          <w:rFonts w:hint="eastAsia"/>
        </w:rPr>
        <w:t>5.2-2。</w:t>
      </w:r>
    </w:p>
    <w:p>
      <w:pPr>
        <w:pStyle w:val="87"/>
        <w:ind w:firstLine="480"/>
        <w:rPr>
          <w:rFonts w:cs="Times New Roman"/>
          <w:highlight w:val="yellow"/>
        </w:rPr>
      </w:pPr>
    </w:p>
    <w:p>
      <w:pPr>
        <w:pStyle w:val="87"/>
        <w:ind w:firstLine="480"/>
        <w:rPr>
          <w:rFonts w:cs="Times New Roman"/>
          <w:highlight w:val="yellow"/>
        </w:rPr>
      </w:pPr>
    </w:p>
    <w:p>
      <w:pPr>
        <w:pStyle w:val="87"/>
        <w:ind w:firstLine="480"/>
        <w:rPr>
          <w:rFonts w:cs="Times New Roman"/>
          <w:highlight w:val="yellow"/>
        </w:rPr>
        <w:sectPr>
          <w:headerReference r:id="rId44" w:type="default"/>
          <w:headerReference r:id="rId45" w:type="even"/>
          <w:type w:val="oddPage"/>
          <w:pgSz w:w="11906" w:h="16838"/>
          <w:pgMar w:top="1418" w:right="1418" w:bottom="1418" w:left="1418" w:header="992" w:footer="992" w:gutter="0"/>
          <w:pgNumType w:fmt="numberInDash"/>
          <w:cols w:space="425" w:num="1"/>
          <w:docGrid w:type="lines" w:linePitch="326" w:charSpace="0"/>
        </w:sectPr>
      </w:pPr>
    </w:p>
    <w:p>
      <w:pPr>
        <w:pStyle w:val="93"/>
        <w:rPr>
          <w:rFonts w:hAnsi="Times New Roman"/>
          <w:sz w:val="20"/>
          <w:szCs w:val="20"/>
        </w:rPr>
      </w:pPr>
      <w:bookmarkStart w:id="123" w:name="_Ref37949154"/>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r>
        <w:rPr>
          <w:rFonts w:hAnsi="Times New Roman"/>
        </w:rPr>
        <w:t xml:space="preserve">  </w:t>
      </w:r>
      <w:r>
        <w:rPr>
          <w:rFonts w:hAnsi="Times New Roman"/>
          <w:szCs w:val="21"/>
        </w:rPr>
        <w:t>项目点源参数表</w:t>
      </w:r>
    </w:p>
    <w:tbl>
      <w:tblPr>
        <w:tblStyle w:val="35"/>
        <w:tblW w:w="139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2"/>
        <w:gridCol w:w="867"/>
        <w:gridCol w:w="1260"/>
        <w:gridCol w:w="1137"/>
        <w:gridCol w:w="852"/>
        <w:gridCol w:w="849"/>
        <w:gridCol w:w="992"/>
        <w:gridCol w:w="992"/>
        <w:gridCol w:w="852"/>
        <w:gridCol w:w="992"/>
        <w:gridCol w:w="1559"/>
        <w:gridCol w:w="992"/>
        <w:gridCol w:w="707"/>
        <w:gridCol w:w="707"/>
        <w:gridCol w:w="8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vMerge w:val="restart"/>
            <w:shd w:val="clear" w:color="auto" w:fill="auto"/>
            <w:vAlign w:val="center"/>
          </w:tcPr>
          <w:p>
            <w:pPr>
              <w:pStyle w:val="92"/>
            </w:pPr>
            <w:r>
              <w:t>编号</w:t>
            </w:r>
          </w:p>
        </w:tc>
        <w:tc>
          <w:tcPr>
            <w:tcW w:w="867" w:type="dxa"/>
            <w:vMerge w:val="restart"/>
            <w:shd w:val="clear" w:color="auto" w:fill="auto"/>
            <w:vAlign w:val="center"/>
          </w:tcPr>
          <w:p>
            <w:pPr>
              <w:pStyle w:val="92"/>
            </w:pPr>
            <w:r>
              <w:t>名称</w:t>
            </w:r>
          </w:p>
        </w:tc>
        <w:tc>
          <w:tcPr>
            <w:tcW w:w="2397" w:type="dxa"/>
            <w:gridSpan w:val="2"/>
            <w:shd w:val="clear" w:color="auto" w:fill="auto"/>
            <w:vAlign w:val="center"/>
          </w:tcPr>
          <w:p>
            <w:pPr>
              <w:pStyle w:val="92"/>
            </w:pPr>
            <w:r>
              <w:t>排气筒底部中心坐标/°</w:t>
            </w:r>
          </w:p>
        </w:tc>
        <w:tc>
          <w:tcPr>
            <w:tcW w:w="852" w:type="dxa"/>
            <w:vMerge w:val="restart"/>
            <w:shd w:val="clear" w:color="auto" w:fill="auto"/>
            <w:vAlign w:val="center"/>
          </w:tcPr>
          <w:p>
            <w:pPr>
              <w:pStyle w:val="92"/>
            </w:pPr>
            <w:r>
              <w:t>排气筒底部海拔高度/m</w:t>
            </w:r>
          </w:p>
        </w:tc>
        <w:tc>
          <w:tcPr>
            <w:tcW w:w="849" w:type="dxa"/>
            <w:vMerge w:val="restart"/>
            <w:shd w:val="clear" w:color="auto" w:fill="auto"/>
            <w:vAlign w:val="center"/>
          </w:tcPr>
          <w:p>
            <w:pPr>
              <w:pStyle w:val="92"/>
            </w:pPr>
            <w:r>
              <w:t>排气筒高度/m</w:t>
            </w:r>
          </w:p>
        </w:tc>
        <w:tc>
          <w:tcPr>
            <w:tcW w:w="992" w:type="dxa"/>
            <w:vMerge w:val="restart"/>
            <w:shd w:val="clear" w:color="auto" w:fill="auto"/>
            <w:vAlign w:val="center"/>
          </w:tcPr>
          <w:p>
            <w:pPr>
              <w:pStyle w:val="92"/>
            </w:pPr>
            <w:r>
              <w:t>排气筒出口内径/m</w:t>
            </w:r>
          </w:p>
        </w:tc>
        <w:tc>
          <w:tcPr>
            <w:tcW w:w="992" w:type="dxa"/>
            <w:vMerge w:val="restart"/>
            <w:shd w:val="clear" w:color="auto" w:fill="auto"/>
            <w:vAlign w:val="center"/>
          </w:tcPr>
          <w:p>
            <w:pPr>
              <w:pStyle w:val="92"/>
            </w:pPr>
            <w:r>
              <w:t>烟气流速/（m/s）</w:t>
            </w:r>
          </w:p>
        </w:tc>
        <w:tc>
          <w:tcPr>
            <w:tcW w:w="852" w:type="dxa"/>
            <w:vMerge w:val="restart"/>
            <w:shd w:val="clear" w:color="auto" w:fill="auto"/>
            <w:vAlign w:val="center"/>
          </w:tcPr>
          <w:p>
            <w:pPr>
              <w:pStyle w:val="92"/>
            </w:pPr>
            <w:r>
              <w:t>烟气温度/</w:t>
            </w:r>
            <w:r>
              <w:rPr>
                <w:rFonts w:hint="eastAsia" w:ascii="宋体" w:cs="宋体"/>
              </w:rPr>
              <w:t>℃</w:t>
            </w:r>
          </w:p>
        </w:tc>
        <w:tc>
          <w:tcPr>
            <w:tcW w:w="992" w:type="dxa"/>
            <w:vMerge w:val="restart"/>
            <w:shd w:val="clear" w:color="auto" w:fill="auto"/>
            <w:vAlign w:val="center"/>
          </w:tcPr>
          <w:p>
            <w:pPr>
              <w:pStyle w:val="92"/>
            </w:pPr>
            <w:r>
              <w:t>年排放小时数/h</w:t>
            </w:r>
          </w:p>
        </w:tc>
        <w:tc>
          <w:tcPr>
            <w:tcW w:w="1559" w:type="dxa"/>
            <w:vMerge w:val="restart"/>
            <w:shd w:val="clear" w:color="auto" w:fill="auto"/>
            <w:vAlign w:val="center"/>
          </w:tcPr>
          <w:p>
            <w:pPr>
              <w:pStyle w:val="92"/>
            </w:pPr>
            <w:r>
              <w:t>排放工况</w:t>
            </w:r>
          </w:p>
        </w:tc>
        <w:tc>
          <w:tcPr>
            <w:tcW w:w="3208" w:type="dxa"/>
            <w:gridSpan w:val="4"/>
            <w:shd w:val="clear" w:color="auto" w:fill="auto"/>
            <w:vAlign w:val="center"/>
          </w:tcPr>
          <w:p>
            <w:pPr>
              <w:pStyle w:val="92"/>
            </w:pPr>
            <w:r>
              <w:t>污染物排放速率/（kg/h）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0" w:hRule="atLeast"/>
        </w:trPr>
        <w:tc>
          <w:tcPr>
            <w:tcW w:w="412" w:type="dxa"/>
            <w:vMerge w:val="continue"/>
            <w:shd w:val="clear" w:color="auto" w:fill="auto"/>
            <w:vAlign w:val="center"/>
          </w:tcPr>
          <w:p>
            <w:pPr>
              <w:pStyle w:val="92"/>
            </w:pPr>
          </w:p>
        </w:tc>
        <w:tc>
          <w:tcPr>
            <w:tcW w:w="867" w:type="dxa"/>
            <w:vMerge w:val="continue"/>
            <w:shd w:val="clear" w:color="auto" w:fill="auto"/>
            <w:vAlign w:val="center"/>
          </w:tcPr>
          <w:p>
            <w:pPr>
              <w:pStyle w:val="92"/>
            </w:pPr>
          </w:p>
        </w:tc>
        <w:tc>
          <w:tcPr>
            <w:tcW w:w="1260" w:type="dxa"/>
            <w:shd w:val="clear" w:color="auto" w:fill="auto"/>
            <w:vAlign w:val="center"/>
          </w:tcPr>
          <w:p>
            <w:pPr>
              <w:pStyle w:val="92"/>
            </w:pPr>
            <w:r>
              <w:t>X</w:t>
            </w:r>
          </w:p>
        </w:tc>
        <w:tc>
          <w:tcPr>
            <w:tcW w:w="1137" w:type="dxa"/>
            <w:shd w:val="clear" w:color="auto" w:fill="auto"/>
            <w:vAlign w:val="center"/>
          </w:tcPr>
          <w:p>
            <w:pPr>
              <w:pStyle w:val="92"/>
            </w:pPr>
            <w:r>
              <w:t>Y</w:t>
            </w:r>
          </w:p>
        </w:tc>
        <w:tc>
          <w:tcPr>
            <w:tcW w:w="852" w:type="dxa"/>
            <w:vMerge w:val="continue"/>
            <w:shd w:val="clear" w:color="auto" w:fill="auto"/>
            <w:vAlign w:val="center"/>
          </w:tcPr>
          <w:p>
            <w:pPr>
              <w:pStyle w:val="92"/>
            </w:pPr>
          </w:p>
        </w:tc>
        <w:tc>
          <w:tcPr>
            <w:tcW w:w="849" w:type="dxa"/>
            <w:vMerge w:val="continue"/>
            <w:shd w:val="clear" w:color="auto" w:fill="auto"/>
            <w:vAlign w:val="center"/>
          </w:tcPr>
          <w:p>
            <w:pPr>
              <w:pStyle w:val="92"/>
            </w:pPr>
          </w:p>
        </w:tc>
        <w:tc>
          <w:tcPr>
            <w:tcW w:w="992" w:type="dxa"/>
            <w:vMerge w:val="continue"/>
            <w:shd w:val="clear" w:color="auto" w:fill="auto"/>
            <w:vAlign w:val="center"/>
          </w:tcPr>
          <w:p>
            <w:pPr>
              <w:pStyle w:val="92"/>
            </w:pPr>
          </w:p>
        </w:tc>
        <w:tc>
          <w:tcPr>
            <w:tcW w:w="992" w:type="dxa"/>
            <w:vMerge w:val="continue"/>
            <w:shd w:val="clear" w:color="auto" w:fill="auto"/>
            <w:vAlign w:val="center"/>
          </w:tcPr>
          <w:p>
            <w:pPr>
              <w:pStyle w:val="92"/>
            </w:pPr>
          </w:p>
        </w:tc>
        <w:tc>
          <w:tcPr>
            <w:tcW w:w="852" w:type="dxa"/>
            <w:vMerge w:val="continue"/>
            <w:shd w:val="clear" w:color="auto" w:fill="auto"/>
            <w:vAlign w:val="center"/>
          </w:tcPr>
          <w:p>
            <w:pPr>
              <w:pStyle w:val="92"/>
            </w:pPr>
          </w:p>
        </w:tc>
        <w:tc>
          <w:tcPr>
            <w:tcW w:w="992" w:type="dxa"/>
            <w:vMerge w:val="continue"/>
            <w:shd w:val="clear" w:color="auto" w:fill="auto"/>
            <w:vAlign w:val="center"/>
          </w:tcPr>
          <w:p>
            <w:pPr>
              <w:pStyle w:val="92"/>
            </w:pPr>
          </w:p>
        </w:tc>
        <w:tc>
          <w:tcPr>
            <w:tcW w:w="1559" w:type="dxa"/>
            <w:vMerge w:val="continue"/>
            <w:shd w:val="clear" w:color="auto" w:fill="auto"/>
            <w:vAlign w:val="center"/>
          </w:tcPr>
          <w:p>
            <w:pPr>
              <w:pStyle w:val="92"/>
            </w:pPr>
          </w:p>
        </w:tc>
        <w:tc>
          <w:tcPr>
            <w:tcW w:w="992" w:type="dxa"/>
            <w:shd w:val="clear" w:color="auto" w:fill="auto"/>
            <w:vAlign w:val="center"/>
          </w:tcPr>
          <w:p>
            <w:pPr>
              <w:pStyle w:val="92"/>
            </w:pPr>
            <w:r>
              <w:rPr>
                <w:rFonts w:hint="eastAsia"/>
              </w:rPr>
              <w:t>颗粒物</w:t>
            </w:r>
          </w:p>
        </w:tc>
        <w:tc>
          <w:tcPr>
            <w:tcW w:w="707" w:type="dxa"/>
            <w:shd w:val="clear" w:color="auto" w:fill="auto"/>
            <w:vAlign w:val="center"/>
          </w:tcPr>
          <w:p>
            <w:pPr>
              <w:pStyle w:val="92"/>
            </w:pPr>
            <w:r>
              <w:rPr>
                <w:rFonts w:hint="eastAsia"/>
              </w:rPr>
              <w:t>SO</w:t>
            </w:r>
            <w:r>
              <w:rPr>
                <w:vertAlign w:val="subscript"/>
              </w:rPr>
              <w:t>2</w:t>
            </w:r>
          </w:p>
        </w:tc>
        <w:tc>
          <w:tcPr>
            <w:tcW w:w="707" w:type="dxa"/>
            <w:shd w:val="clear" w:color="auto" w:fill="auto"/>
            <w:vAlign w:val="center"/>
          </w:tcPr>
          <w:p>
            <w:pPr>
              <w:pStyle w:val="92"/>
            </w:pPr>
            <w:r>
              <w:rPr>
                <w:rFonts w:hint="eastAsia"/>
              </w:rPr>
              <w:t>NO</w:t>
            </w:r>
            <w:r>
              <w:rPr>
                <w:rFonts w:hint="eastAsia"/>
                <w:vertAlign w:val="subscript"/>
              </w:rPr>
              <w:t>X</w:t>
            </w:r>
          </w:p>
        </w:tc>
        <w:tc>
          <w:tcPr>
            <w:tcW w:w="802" w:type="dxa"/>
            <w:shd w:val="clear" w:color="auto" w:fill="auto"/>
            <w:vAlign w:val="center"/>
          </w:tcPr>
          <w:p>
            <w:pPr>
              <w:pStyle w:val="92"/>
            </w:pPr>
            <w:r>
              <w:rPr>
                <w:rFonts w:hint="eastAsia"/>
              </w:rPr>
              <w:t>甲醇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shd w:val="clear" w:color="auto" w:fill="auto"/>
            <w:vAlign w:val="center"/>
          </w:tcPr>
          <w:p>
            <w:pPr>
              <w:pStyle w:val="92"/>
            </w:pPr>
            <w:r>
              <w:t>P1</w:t>
            </w:r>
          </w:p>
        </w:tc>
        <w:tc>
          <w:tcPr>
            <w:tcW w:w="867" w:type="dxa"/>
            <w:shd w:val="clear" w:color="auto" w:fill="auto"/>
            <w:vAlign w:val="center"/>
          </w:tcPr>
          <w:p>
            <w:pPr>
              <w:pStyle w:val="92"/>
            </w:pPr>
            <w:r>
              <w:rPr>
                <w:rFonts w:hint="eastAsia"/>
              </w:rPr>
              <w:t>初清</w:t>
            </w:r>
            <w:r>
              <w:t>粉尘排气筒</w:t>
            </w:r>
          </w:p>
        </w:tc>
        <w:tc>
          <w:tcPr>
            <w:tcW w:w="1260" w:type="dxa"/>
            <w:shd w:val="clear" w:color="auto" w:fill="auto"/>
            <w:vAlign w:val="center"/>
          </w:tcPr>
          <w:p>
            <w:pPr>
              <w:pStyle w:val="92"/>
            </w:pPr>
            <w:r>
              <w:t>109.367326</w:t>
            </w:r>
          </w:p>
        </w:tc>
        <w:tc>
          <w:tcPr>
            <w:tcW w:w="1137" w:type="dxa"/>
            <w:shd w:val="clear" w:color="auto" w:fill="auto"/>
            <w:vAlign w:val="center"/>
          </w:tcPr>
          <w:p>
            <w:pPr>
              <w:pStyle w:val="92"/>
            </w:pPr>
            <w:r>
              <w:t>32.771099</w:t>
            </w:r>
          </w:p>
        </w:tc>
        <w:tc>
          <w:tcPr>
            <w:tcW w:w="852" w:type="dxa"/>
            <w:shd w:val="clear" w:color="auto" w:fill="auto"/>
            <w:vAlign w:val="center"/>
          </w:tcPr>
          <w:p>
            <w:pPr>
              <w:pStyle w:val="92"/>
            </w:pPr>
            <w:r>
              <w:rPr>
                <w:rFonts w:hint="eastAsia"/>
              </w:rPr>
              <w:t>312</w:t>
            </w:r>
          </w:p>
        </w:tc>
        <w:tc>
          <w:tcPr>
            <w:tcW w:w="849" w:type="dxa"/>
            <w:shd w:val="clear" w:color="auto" w:fill="auto"/>
            <w:vAlign w:val="center"/>
          </w:tcPr>
          <w:p>
            <w:pPr>
              <w:pStyle w:val="92"/>
            </w:pPr>
            <w:r>
              <w:rPr>
                <w:rFonts w:hint="eastAsia"/>
              </w:rPr>
              <w:t>15</w:t>
            </w:r>
          </w:p>
        </w:tc>
        <w:tc>
          <w:tcPr>
            <w:tcW w:w="992" w:type="dxa"/>
            <w:shd w:val="clear" w:color="auto" w:fill="auto"/>
            <w:vAlign w:val="center"/>
          </w:tcPr>
          <w:p>
            <w:pPr>
              <w:pStyle w:val="92"/>
            </w:pPr>
            <w:r>
              <w:rPr>
                <w:rFonts w:hint="eastAsia"/>
              </w:rPr>
              <w:t>0.25</w:t>
            </w:r>
          </w:p>
        </w:tc>
        <w:tc>
          <w:tcPr>
            <w:tcW w:w="992" w:type="dxa"/>
            <w:shd w:val="clear" w:color="auto" w:fill="auto"/>
            <w:vAlign w:val="center"/>
          </w:tcPr>
          <w:p>
            <w:pPr>
              <w:pStyle w:val="92"/>
            </w:pPr>
            <w:r>
              <w:t>12.74</w:t>
            </w:r>
          </w:p>
        </w:tc>
        <w:tc>
          <w:tcPr>
            <w:tcW w:w="852" w:type="dxa"/>
            <w:shd w:val="clear" w:color="auto" w:fill="auto"/>
            <w:vAlign w:val="center"/>
          </w:tcPr>
          <w:p>
            <w:pPr>
              <w:pStyle w:val="92"/>
            </w:pPr>
            <w:r>
              <w:rPr>
                <w:rFonts w:hint="eastAsia"/>
              </w:rPr>
              <w:t>25</w:t>
            </w:r>
          </w:p>
        </w:tc>
        <w:tc>
          <w:tcPr>
            <w:tcW w:w="992" w:type="dxa"/>
            <w:shd w:val="clear" w:color="auto" w:fill="auto"/>
            <w:vAlign w:val="center"/>
          </w:tcPr>
          <w:p>
            <w:pPr>
              <w:pStyle w:val="92"/>
            </w:pPr>
            <w:r>
              <w:rPr>
                <w:rFonts w:hint="eastAsia"/>
              </w:rPr>
              <w:t>4320</w:t>
            </w:r>
          </w:p>
        </w:tc>
        <w:tc>
          <w:tcPr>
            <w:tcW w:w="1559" w:type="dxa"/>
            <w:shd w:val="clear" w:color="auto" w:fill="auto"/>
            <w:vAlign w:val="center"/>
          </w:tcPr>
          <w:p>
            <w:pPr>
              <w:pStyle w:val="92"/>
            </w:pPr>
            <w:r>
              <w:rPr>
                <w:rFonts w:hint="eastAsia"/>
              </w:rPr>
              <w:t>正常</w:t>
            </w:r>
            <w:r>
              <w:t>工况</w:t>
            </w:r>
          </w:p>
        </w:tc>
        <w:tc>
          <w:tcPr>
            <w:tcW w:w="992" w:type="dxa"/>
            <w:shd w:val="clear" w:color="auto" w:fill="auto"/>
            <w:vAlign w:val="center"/>
          </w:tcPr>
          <w:p>
            <w:pPr>
              <w:pStyle w:val="92"/>
            </w:pPr>
            <w:r>
              <w:rPr>
                <w:rFonts w:hint="eastAsia"/>
              </w:rPr>
              <w:t>0.0</w:t>
            </w:r>
            <w:r>
              <w:t>01</w:t>
            </w:r>
          </w:p>
        </w:tc>
        <w:tc>
          <w:tcPr>
            <w:tcW w:w="707" w:type="dxa"/>
            <w:shd w:val="clear" w:color="auto" w:fill="auto"/>
            <w:vAlign w:val="center"/>
          </w:tcPr>
          <w:p>
            <w:pPr>
              <w:pStyle w:val="92"/>
            </w:pPr>
            <w:r>
              <w:rPr>
                <w:rFonts w:hint="eastAsia"/>
              </w:rPr>
              <w:t>/</w:t>
            </w:r>
          </w:p>
        </w:tc>
        <w:tc>
          <w:tcPr>
            <w:tcW w:w="707" w:type="dxa"/>
            <w:shd w:val="clear" w:color="auto" w:fill="auto"/>
            <w:vAlign w:val="center"/>
          </w:tcPr>
          <w:p>
            <w:pPr>
              <w:pStyle w:val="92"/>
            </w:pPr>
            <w:r>
              <w:rPr>
                <w:rFonts w:hint="eastAsia"/>
              </w:rPr>
              <w:t>/</w:t>
            </w:r>
          </w:p>
        </w:tc>
        <w:tc>
          <w:tcPr>
            <w:tcW w:w="802" w:type="dxa"/>
            <w:shd w:val="clear" w:color="auto" w:fill="auto"/>
            <w:vAlign w:val="center"/>
          </w:tcPr>
          <w:p>
            <w:pPr>
              <w:pStyle w:val="92"/>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shd w:val="clear" w:color="auto" w:fill="auto"/>
            <w:vAlign w:val="center"/>
          </w:tcPr>
          <w:p>
            <w:pPr>
              <w:pStyle w:val="92"/>
            </w:pPr>
            <w:r>
              <w:rPr>
                <w:rFonts w:hint="eastAsia"/>
              </w:rPr>
              <w:t>P2</w:t>
            </w:r>
          </w:p>
        </w:tc>
        <w:tc>
          <w:tcPr>
            <w:tcW w:w="867" w:type="dxa"/>
            <w:shd w:val="clear" w:color="auto" w:fill="auto"/>
            <w:vAlign w:val="center"/>
          </w:tcPr>
          <w:p>
            <w:pPr>
              <w:pStyle w:val="92"/>
            </w:pPr>
            <w:r>
              <w:rPr>
                <w:rFonts w:hint="eastAsia"/>
              </w:rPr>
              <w:t>粗粉</w:t>
            </w:r>
            <w:r>
              <w:t>粉</w:t>
            </w:r>
            <w:r>
              <w:rPr>
                <w:rFonts w:hint="eastAsia"/>
              </w:rPr>
              <w:t>排气筒</w:t>
            </w:r>
          </w:p>
        </w:tc>
        <w:tc>
          <w:tcPr>
            <w:tcW w:w="1260" w:type="dxa"/>
            <w:shd w:val="clear" w:color="auto" w:fill="auto"/>
            <w:vAlign w:val="center"/>
          </w:tcPr>
          <w:p>
            <w:pPr>
              <w:pStyle w:val="92"/>
            </w:pPr>
            <w:r>
              <w:t>109.367226</w:t>
            </w:r>
          </w:p>
        </w:tc>
        <w:tc>
          <w:tcPr>
            <w:tcW w:w="1137" w:type="dxa"/>
            <w:shd w:val="clear" w:color="auto" w:fill="auto"/>
            <w:vAlign w:val="center"/>
          </w:tcPr>
          <w:p>
            <w:pPr>
              <w:pStyle w:val="92"/>
            </w:pPr>
            <w:r>
              <w:t>32.771079</w:t>
            </w:r>
          </w:p>
        </w:tc>
        <w:tc>
          <w:tcPr>
            <w:tcW w:w="852" w:type="dxa"/>
            <w:shd w:val="clear" w:color="auto" w:fill="auto"/>
            <w:vAlign w:val="center"/>
          </w:tcPr>
          <w:p>
            <w:pPr>
              <w:pStyle w:val="92"/>
            </w:pPr>
            <w:r>
              <w:rPr>
                <w:rFonts w:hint="eastAsia"/>
              </w:rPr>
              <w:t>3</w:t>
            </w:r>
            <w:r>
              <w:t>12</w:t>
            </w:r>
          </w:p>
        </w:tc>
        <w:tc>
          <w:tcPr>
            <w:tcW w:w="849" w:type="dxa"/>
            <w:shd w:val="clear" w:color="auto" w:fill="auto"/>
            <w:vAlign w:val="center"/>
          </w:tcPr>
          <w:p>
            <w:pPr>
              <w:pStyle w:val="92"/>
            </w:pPr>
            <w:r>
              <w:rPr>
                <w:rFonts w:hint="eastAsia"/>
              </w:rPr>
              <w:t>15</w:t>
            </w:r>
          </w:p>
        </w:tc>
        <w:tc>
          <w:tcPr>
            <w:tcW w:w="992" w:type="dxa"/>
            <w:shd w:val="clear" w:color="auto" w:fill="auto"/>
            <w:vAlign w:val="center"/>
          </w:tcPr>
          <w:p>
            <w:pPr>
              <w:pStyle w:val="92"/>
            </w:pPr>
            <w:r>
              <w:rPr>
                <w:rFonts w:hint="eastAsia"/>
              </w:rPr>
              <w:t>0.25</w:t>
            </w:r>
          </w:p>
        </w:tc>
        <w:tc>
          <w:tcPr>
            <w:tcW w:w="992" w:type="dxa"/>
            <w:shd w:val="clear" w:color="auto" w:fill="auto"/>
            <w:vAlign w:val="center"/>
          </w:tcPr>
          <w:p>
            <w:pPr>
              <w:pStyle w:val="92"/>
            </w:pPr>
            <w:r>
              <w:t>12.74</w:t>
            </w:r>
          </w:p>
        </w:tc>
        <w:tc>
          <w:tcPr>
            <w:tcW w:w="852" w:type="dxa"/>
            <w:shd w:val="clear" w:color="auto" w:fill="auto"/>
            <w:vAlign w:val="center"/>
          </w:tcPr>
          <w:p>
            <w:pPr>
              <w:pStyle w:val="92"/>
            </w:pPr>
            <w:r>
              <w:rPr>
                <w:rFonts w:hint="eastAsia"/>
              </w:rPr>
              <w:t>25</w:t>
            </w:r>
          </w:p>
        </w:tc>
        <w:tc>
          <w:tcPr>
            <w:tcW w:w="992" w:type="dxa"/>
            <w:shd w:val="clear" w:color="auto" w:fill="auto"/>
            <w:vAlign w:val="center"/>
          </w:tcPr>
          <w:p>
            <w:pPr>
              <w:pStyle w:val="92"/>
            </w:pPr>
            <w:r>
              <w:rPr>
                <w:rFonts w:hint="eastAsia"/>
              </w:rPr>
              <w:t>4320</w:t>
            </w:r>
          </w:p>
        </w:tc>
        <w:tc>
          <w:tcPr>
            <w:tcW w:w="1559" w:type="dxa"/>
            <w:shd w:val="clear" w:color="auto" w:fill="auto"/>
            <w:vAlign w:val="center"/>
          </w:tcPr>
          <w:p>
            <w:pPr>
              <w:pStyle w:val="92"/>
            </w:pPr>
            <w:r>
              <w:rPr>
                <w:rFonts w:hint="eastAsia"/>
              </w:rPr>
              <w:t>正常</w:t>
            </w:r>
            <w:r>
              <w:t>工况</w:t>
            </w:r>
          </w:p>
        </w:tc>
        <w:tc>
          <w:tcPr>
            <w:tcW w:w="992" w:type="dxa"/>
            <w:shd w:val="clear" w:color="auto" w:fill="auto"/>
            <w:vAlign w:val="center"/>
          </w:tcPr>
          <w:p>
            <w:pPr>
              <w:pStyle w:val="92"/>
            </w:pPr>
            <w:r>
              <w:rPr>
                <w:rFonts w:hint="eastAsia"/>
              </w:rPr>
              <w:t>0.0</w:t>
            </w:r>
            <w:r>
              <w:t>01</w:t>
            </w:r>
          </w:p>
        </w:tc>
        <w:tc>
          <w:tcPr>
            <w:tcW w:w="707" w:type="dxa"/>
            <w:shd w:val="clear" w:color="auto" w:fill="auto"/>
            <w:vAlign w:val="center"/>
          </w:tcPr>
          <w:p>
            <w:pPr>
              <w:pStyle w:val="92"/>
            </w:pPr>
            <w:r>
              <w:rPr>
                <w:rFonts w:hint="eastAsia"/>
              </w:rPr>
              <w:t>/</w:t>
            </w:r>
          </w:p>
        </w:tc>
        <w:tc>
          <w:tcPr>
            <w:tcW w:w="707" w:type="dxa"/>
            <w:shd w:val="clear" w:color="auto" w:fill="auto"/>
            <w:vAlign w:val="center"/>
          </w:tcPr>
          <w:p>
            <w:pPr>
              <w:pStyle w:val="92"/>
            </w:pPr>
            <w:r>
              <w:rPr>
                <w:rFonts w:hint="eastAsia"/>
              </w:rPr>
              <w:t>/</w:t>
            </w:r>
          </w:p>
        </w:tc>
        <w:tc>
          <w:tcPr>
            <w:tcW w:w="802" w:type="dxa"/>
            <w:shd w:val="clear" w:color="auto" w:fill="auto"/>
            <w:vAlign w:val="center"/>
          </w:tcPr>
          <w:p>
            <w:pPr>
              <w:pStyle w:val="92"/>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shd w:val="clear" w:color="auto" w:fill="auto"/>
            <w:vAlign w:val="center"/>
          </w:tcPr>
          <w:p>
            <w:pPr>
              <w:pStyle w:val="92"/>
            </w:pPr>
            <w:r>
              <w:rPr>
                <w:rFonts w:hint="eastAsia"/>
              </w:rPr>
              <w:t>P3</w:t>
            </w:r>
          </w:p>
        </w:tc>
        <w:tc>
          <w:tcPr>
            <w:tcW w:w="867" w:type="dxa"/>
            <w:vMerge w:val="restart"/>
            <w:shd w:val="clear" w:color="auto" w:fill="auto"/>
            <w:vAlign w:val="center"/>
          </w:tcPr>
          <w:p>
            <w:pPr>
              <w:pStyle w:val="92"/>
            </w:pPr>
            <w:r>
              <w:rPr>
                <w:rFonts w:hint="eastAsia"/>
              </w:rPr>
              <w:t>微粉</w:t>
            </w:r>
            <w:r>
              <w:t>粉尘排气筒</w:t>
            </w:r>
          </w:p>
        </w:tc>
        <w:tc>
          <w:tcPr>
            <w:tcW w:w="1260" w:type="dxa"/>
            <w:shd w:val="clear" w:color="auto" w:fill="auto"/>
            <w:vAlign w:val="center"/>
          </w:tcPr>
          <w:p>
            <w:pPr>
              <w:pStyle w:val="92"/>
            </w:pPr>
            <w:r>
              <w:t>109.367240</w:t>
            </w:r>
          </w:p>
        </w:tc>
        <w:tc>
          <w:tcPr>
            <w:tcW w:w="1137" w:type="dxa"/>
            <w:shd w:val="clear" w:color="auto" w:fill="auto"/>
            <w:vAlign w:val="center"/>
          </w:tcPr>
          <w:p>
            <w:pPr>
              <w:pStyle w:val="92"/>
            </w:pPr>
            <w:r>
              <w:t>32.770964</w:t>
            </w:r>
          </w:p>
        </w:tc>
        <w:tc>
          <w:tcPr>
            <w:tcW w:w="852" w:type="dxa"/>
            <w:shd w:val="clear" w:color="auto" w:fill="auto"/>
            <w:vAlign w:val="center"/>
          </w:tcPr>
          <w:p>
            <w:pPr>
              <w:pStyle w:val="92"/>
            </w:pPr>
            <w:r>
              <w:rPr>
                <w:rFonts w:hint="eastAsia"/>
              </w:rPr>
              <w:t>311</w:t>
            </w:r>
          </w:p>
        </w:tc>
        <w:tc>
          <w:tcPr>
            <w:tcW w:w="849" w:type="dxa"/>
            <w:shd w:val="clear" w:color="auto" w:fill="auto"/>
            <w:vAlign w:val="center"/>
          </w:tcPr>
          <w:p>
            <w:pPr>
              <w:pStyle w:val="92"/>
            </w:pPr>
            <w:r>
              <w:rPr>
                <w:rFonts w:hint="eastAsia"/>
              </w:rPr>
              <w:t>15</w:t>
            </w:r>
          </w:p>
        </w:tc>
        <w:tc>
          <w:tcPr>
            <w:tcW w:w="992" w:type="dxa"/>
            <w:shd w:val="clear" w:color="auto" w:fill="auto"/>
            <w:vAlign w:val="center"/>
          </w:tcPr>
          <w:p>
            <w:pPr>
              <w:pStyle w:val="92"/>
            </w:pPr>
            <w:r>
              <w:rPr>
                <w:rFonts w:hint="eastAsia"/>
              </w:rPr>
              <w:t>0.25</w:t>
            </w:r>
          </w:p>
        </w:tc>
        <w:tc>
          <w:tcPr>
            <w:tcW w:w="992" w:type="dxa"/>
            <w:shd w:val="clear" w:color="auto" w:fill="auto"/>
            <w:vAlign w:val="center"/>
          </w:tcPr>
          <w:p>
            <w:pPr>
              <w:pStyle w:val="92"/>
            </w:pPr>
            <w:r>
              <w:t>12.74</w:t>
            </w:r>
          </w:p>
        </w:tc>
        <w:tc>
          <w:tcPr>
            <w:tcW w:w="852" w:type="dxa"/>
            <w:shd w:val="clear" w:color="auto" w:fill="auto"/>
            <w:vAlign w:val="center"/>
          </w:tcPr>
          <w:p>
            <w:pPr>
              <w:pStyle w:val="92"/>
            </w:pPr>
            <w:r>
              <w:rPr>
                <w:rFonts w:hint="eastAsia"/>
              </w:rPr>
              <w:t>25</w:t>
            </w:r>
          </w:p>
        </w:tc>
        <w:tc>
          <w:tcPr>
            <w:tcW w:w="992" w:type="dxa"/>
            <w:shd w:val="clear" w:color="auto" w:fill="auto"/>
            <w:vAlign w:val="center"/>
          </w:tcPr>
          <w:p>
            <w:pPr>
              <w:pStyle w:val="92"/>
            </w:pPr>
            <w:r>
              <w:rPr>
                <w:rFonts w:hint="eastAsia"/>
              </w:rPr>
              <w:t>4320</w:t>
            </w:r>
          </w:p>
        </w:tc>
        <w:tc>
          <w:tcPr>
            <w:tcW w:w="1559" w:type="dxa"/>
            <w:shd w:val="clear" w:color="auto" w:fill="auto"/>
            <w:vAlign w:val="center"/>
          </w:tcPr>
          <w:p>
            <w:pPr>
              <w:pStyle w:val="92"/>
            </w:pPr>
            <w:r>
              <w:rPr>
                <w:rFonts w:hint="eastAsia"/>
              </w:rPr>
              <w:t>正常</w:t>
            </w:r>
            <w:r>
              <w:t>工况</w:t>
            </w:r>
          </w:p>
        </w:tc>
        <w:tc>
          <w:tcPr>
            <w:tcW w:w="992" w:type="dxa"/>
            <w:shd w:val="clear" w:color="auto" w:fill="auto"/>
            <w:vAlign w:val="center"/>
          </w:tcPr>
          <w:p>
            <w:pPr>
              <w:pStyle w:val="92"/>
            </w:pPr>
            <w:r>
              <w:rPr>
                <w:rFonts w:hint="eastAsia"/>
              </w:rPr>
              <w:t>0.00</w:t>
            </w:r>
            <w:r>
              <w:t>05</w:t>
            </w:r>
          </w:p>
        </w:tc>
        <w:tc>
          <w:tcPr>
            <w:tcW w:w="707" w:type="dxa"/>
            <w:shd w:val="clear" w:color="auto" w:fill="auto"/>
            <w:vAlign w:val="center"/>
          </w:tcPr>
          <w:p>
            <w:pPr>
              <w:pStyle w:val="92"/>
            </w:pPr>
            <w:r>
              <w:rPr>
                <w:rFonts w:hint="eastAsia"/>
              </w:rPr>
              <w:t>/</w:t>
            </w:r>
          </w:p>
        </w:tc>
        <w:tc>
          <w:tcPr>
            <w:tcW w:w="707" w:type="dxa"/>
            <w:shd w:val="clear" w:color="auto" w:fill="auto"/>
            <w:vAlign w:val="center"/>
          </w:tcPr>
          <w:p>
            <w:pPr>
              <w:pStyle w:val="92"/>
            </w:pPr>
            <w:r>
              <w:rPr>
                <w:rFonts w:hint="eastAsia"/>
              </w:rPr>
              <w:t>/</w:t>
            </w:r>
          </w:p>
        </w:tc>
        <w:tc>
          <w:tcPr>
            <w:tcW w:w="802" w:type="dxa"/>
            <w:shd w:val="clear" w:color="auto" w:fill="auto"/>
            <w:vAlign w:val="center"/>
          </w:tcPr>
          <w:p>
            <w:pPr>
              <w:pStyle w:val="92"/>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shd w:val="clear" w:color="auto" w:fill="auto"/>
            <w:vAlign w:val="center"/>
          </w:tcPr>
          <w:p>
            <w:pPr>
              <w:pStyle w:val="92"/>
            </w:pPr>
            <w:r>
              <w:rPr>
                <w:rFonts w:hint="eastAsia"/>
              </w:rPr>
              <w:t>P4</w:t>
            </w:r>
          </w:p>
        </w:tc>
        <w:tc>
          <w:tcPr>
            <w:tcW w:w="867" w:type="dxa"/>
            <w:vMerge w:val="continue"/>
            <w:shd w:val="clear" w:color="auto" w:fill="auto"/>
            <w:vAlign w:val="center"/>
          </w:tcPr>
          <w:p>
            <w:pPr>
              <w:pStyle w:val="92"/>
            </w:pPr>
          </w:p>
        </w:tc>
        <w:tc>
          <w:tcPr>
            <w:tcW w:w="1260" w:type="dxa"/>
            <w:shd w:val="clear" w:color="auto" w:fill="auto"/>
            <w:vAlign w:val="center"/>
          </w:tcPr>
          <w:p>
            <w:pPr>
              <w:pStyle w:val="92"/>
            </w:pPr>
            <w:r>
              <w:t>109.367228</w:t>
            </w:r>
          </w:p>
        </w:tc>
        <w:tc>
          <w:tcPr>
            <w:tcW w:w="1137" w:type="dxa"/>
            <w:shd w:val="clear" w:color="auto" w:fill="auto"/>
            <w:vAlign w:val="center"/>
          </w:tcPr>
          <w:p>
            <w:pPr>
              <w:pStyle w:val="92"/>
            </w:pPr>
            <w:r>
              <w:t>32.770956</w:t>
            </w:r>
          </w:p>
        </w:tc>
        <w:tc>
          <w:tcPr>
            <w:tcW w:w="852" w:type="dxa"/>
            <w:shd w:val="clear" w:color="auto" w:fill="auto"/>
            <w:vAlign w:val="center"/>
          </w:tcPr>
          <w:p>
            <w:pPr>
              <w:pStyle w:val="92"/>
            </w:pPr>
            <w:r>
              <w:rPr>
                <w:rFonts w:hint="eastAsia"/>
              </w:rPr>
              <w:t>311</w:t>
            </w:r>
          </w:p>
        </w:tc>
        <w:tc>
          <w:tcPr>
            <w:tcW w:w="849" w:type="dxa"/>
            <w:shd w:val="clear" w:color="auto" w:fill="auto"/>
            <w:vAlign w:val="center"/>
          </w:tcPr>
          <w:p>
            <w:pPr>
              <w:pStyle w:val="92"/>
            </w:pPr>
            <w:r>
              <w:rPr>
                <w:rFonts w:hint="eastAsia"/>
              </w:rPr>
              <w:t>15</w:t>
            </w:r>
          </w:p>
        </w:tc>
        <w:tc>
          <w:tcPr>
            <w:tcW w:w="992" w:type="dxa"/>
            <w:shd w:val="clear" w:color="auto" w:fill="auto"/>
            <w:vAlign w:val="center"/>
          </w:tcPr>
          <w:p>
            <w:pPr>
              <w:pStyle w:val="92"/>
            </w:pPr>
            <w:r>
              <w:rPr>
                <w:rFonts w:hint="eastAsia"/>
              </w:rPr>
              <w:t>0.25</w:t>
            </w:r>
          </w:p>
        </w:tc>
        <w:tc>
          <w:tcPr>
            <w:tcW w:w="992" w:type="dxa"/>
            <w:shd w:val="clear" w:color="auto" w:fill="auto"/>
            <w:vAlign w:val="center"/>
          </w:tcPr>
          <w:p>
            <w:pPr>
              <w:pStyle w:val="92"/>
            </w:pPr>
            <w:r>
              <w:t>12.74</w:t>
            </w:r>
          </w:p>
        </w:tc>
        <w:tc>
          <w:tcPr>
            <w:tcW w:w="852" w:type="dxa"/>
            <w:shd w:val="clear" w:color="auto" w:fill="auto"/>
            <w:vAlign w:val="center"/>
          </w:tcPr>
          <w:p>
            <w:pPr>
              <w:pStyle w:val="92"/>
            </w:pPr>
            <w:r>
              <w:rPr>
                <w:rFonts w:hint="eastAsia"/>
              </w:rPr>
              <w:t>25</w:t>
            </w:r>
          </w:p>
        </w:tc>
        <w:tc>
          <w:tcPr>
            <w:tcW w:w="992" w:type="dxa"/>
            <w:shd w:val="clear" w:color="auto" w:fill="auto"/>
            <w:vAlign w:val="center"/>
          </w:tcPr>
          <w:p>
            <w:pPr>
              <w:pStyle w:val="92"/>
            </w:pPr>
            <w:r>
              <w:rPr>
                <w:rFonts w:hint="eastAsia"/>
              </w:rPr>
              <w:t>4320</w:t>
            </w:r>
          </w:p>
        </w:tc>
        <w:tc>
          <w:tcPr>
            <w:tcW w:w="1559" w:type="dxa"/>
            <w:shd w:val="clear" w:color="auto" w:fill="auto"/>
            <w:vAlign w:val="center"/>
          </w:tcPr>
          <w:p>
            <w:pPr>
              <w:pStyle w:val="92"/>
            </w:pPr>
            <w:r>
              <w:rPr>
                <w:rFonts w:hint="eastAsia"/>
              </w:rPr>
              <w:t>正常</w:t>
            </w:r>
            <w:r>
              <w:t>工况</w:t>
            </w:r>
          </w:p>
        </w:tc>
        <w:tc>
          <w:tcPr>
            <w:tcW w:w="992" w:type="dxa"/>
            <w:shd w:val="clear" w:color="auto" w:fill="auto"/>
            <w:vAlign w:val="center"/>
          </w:tcPr>
          <w:p>
            <w:pPr>
              <w:pStyle w:val="92"/>
            </w:pPr>
            <w:r>
              <w:rPr>
                <w:rFonts w:hint="eastAsia"/>
              </w:rPr>
              <w:t>0.0005</w:t>
            </w:r>
          </w:p>
        </w:tc>
        <w:tc>
          <w:tcPr>
            <w:tcW w:w="707" w:type="dxa"/>
            <w:shd w:val="clear" w:color="auto" w:fill="auto"/>
            <w:vAlign w:val="center"/>
          </w:tcPr>
          <w:p>
            <w:pPr>
              <w:pStyle w:val="92"/>
            </w:pPr>
            <w:r>
              <w:rPr>
                <w:rFonts w:hint="eastAsia"/>
              </w:rPr>
              <w:t>/</w:t>
            </w:r>
          </w:p>
        </w:tc>
        <w:tc>
          <w:tcPr>
            <w:tcW w:w="707" w:type="dxa"/>
            <w:shd w:val="clear" w:color="auto" w:fill="auto"/>
            <w:vAlign w:val="center"/>
          </w:tcPr>
          <w:p>
            <w:pPr>
              <w:pStyle w:val="92"/>
            </w:pPr>
            <w:r>
              <w:rPr>
                <w:rFonts w:hint="eastAsia"/>
              </w:rPr>
              <w:t>/</w:t>
            </w:r>
          </w:p>
        </w:tc>
        <w:tc>
          <w:tcPr>
            <w:tcW w:w="802" w:type="dxa"/>
            <w:shd w:val="clear" w:color="auto" w:fill="auto"/>
            <w:vAlign w:val="center"/>
          </w:tcPr>
          <w:p>
            <w:pPr>
              <w:pStyle w:val="92"/>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shd w:val="clear" w:color="auto" w:fill="auto"/>
            <w:vAlign w:val="center"/>
          </w:tcPr>
          <w:p>
            <w:pPr>
              <w:pStyle w:val="92"/>
            </w:pPr>
            <w:r>
              <w:rPr>
                <w:rFonts w:hint="eastAsia"/>
              </w:rPr>
              <w:t>P5</w:t>
            </w:r>
          </w:p>
        </w:tc>
        <w:tc>
          <w:tcPr>
            <w:tcW w:w="867" w:type="dxa"/>
            <w:shd w:val="clear" w:color="auto" w:fill="auto"/>
            <w:vAlign w:val="center"/>
          </w:tcPr>
          <w:p>
            <w:pPr>
              <w:pStyle w:val="92"/>
            </w:pPr>
            <w:r>
              <w:rPr>
                <w:rFonts w:hint="eastAsia"/>
              </w:rPr>
              <w:t>甲醇</w:t>
            </w:r>
            <w:r>
              <w:t>回收排气筒</w:t>
            </w:r>
          </w:p>
        </w:tc>
        <w:tc>
          <w:tcPr>
            <w:tcW w:w="1260" w:type="dxa"/>
            <w:shd w:val="clear" w:color="auto" w:fill="auto"/>
            <w:vAlign w:val="center"/>
          </w:tcPr>
          <w:p>
            <w:pPr>
              <w:pStyle w:val="92"/>
            </w:pPr>
            <w:r>
              <w:t>109.367600</w:t>
            </w:r>
          </w:p>
        </w:tc>
        <w:tc>
          <w:tcPr>
            <w:tcW w:w="1137" w:type="dxa"/>
            <w:shd w:val="clear" w:color="auto" w:fill="auto"/>
            <w:vAlign w:val="center"/>
          </w:tcPr>
          <w:p>
            <w:pPr>
              <w:pStyle w:val="92"/>
            </w:pPr>
            <w:r>
              <w:t>32.771740</w:t>
            </w:r>
          </w:p>
        </w:tc>
        <w:tc>
          <w:tcPr>
            <w:tcW w:w="852" w:type="dxa"/>
            <w:shd w:val="clear" w:color="auto" w:fill="auto"/>
            <w:vAlign w:val="center"/>
          </w:tcPr>
          <w:p>
            <w:pPr>
              <w:pStyle w:val="92"/>
            </w:pPr>
            <w:r>
              <w:rPr>
                <w:rFonts w:hint="eastAsia"/>
              </w:rPr>
              <w:t>312</w:t>
            </w:r>
          </w:p>
        </w:tc>
        <w:tc>
          <w:tcPr>
            <w:tcW w:w="849" w:type="dxa"/>
            <w:shd w:val="clear" w:color="auto" w:fill="auto"/>
            <w:vAlign w:val="center"/>
          </w:tcPr>
          <w:p>
            <w:pPr>
              <w:pStyle w:val="92"/>
            </w:pPr>
            <w:r>
              <w:rPr>
                <w:rFonts w:hint="eastAsia"/>
              </w:rPr>
              <w:t>15</w:t>
            </w:r>
          </w:p>
        </w:tc>
        <w:tc>
          <w:tcPr>
            <w:tcW w:w="992" w:type="dxa"/>
            <w:shd w:val="clear" w:color="auto" w:fill="auto"/>
            <w:vAlign w:val="center"/>
          </w:tcPr>
          <w:p>
            <w:pPr>
              <w:pStyle w:val="92"/>
            </w:pPr>
            <w:r>
              <w:rPr>
                <w:rFonts w:hint="eastAsia"/>
              </w:rPr>
              <w:t>0.2</w:t>
            </w:r>
            <w:r>
              <w:t>5</w:t>
            </w:r>
          </w:p>
        </w:tc>
        <w:tc>
          <w:tcPr>
            <w:tcW w:w="992" w:type="dxa"/>
            <w:shd w:val="clear" w:color="auto" w:fill="auto"/>
            <w:vAlign w:val="center"/>
          </w:tcPr>
          <w:p>
            <w:pPr>
              <w:pStyle w:val="92"/>
            </w:pPr>
            <w:r>
              <w:t>12.74</w:t>
            </w:r>
          </w:p>
        </w:tc>
        <w:tc>
          <w:tcPr>
            <w:tcW w:w="852" w:type="dxa"/>
            <w:shd w:val="clear" w:color="auto" w:fill="auto"/>
            <w:vAlign w:val="center"/>
          </w:tcPr>
          <w:p>
            <w:pPr>
              <w:pStyle w:val="92"/>
            </w:pPr>
            <w:r>
              <w:rPr>
                <w:rFonts w:hint="eastAsia"/>
              </w:rPr>
              <w:t>25</w:t>
            </w:r>
          </w:p>
        </w:tc>
        <w:tc>
          <w:tcPr>
            <w:tcW w:w="992" w:type="dxa"/>
            <w:shd w:val="clear" w:color="auto" w:fill="auto"/>
            <w:vAlign w:val="center"/>
          </w:tcPr>
          <w:p>
            <w:pPr>
              <w:pStyle w:val="92"/>
            </w:pPr>
            <w:r>
              <w:rPr>
                <w:rFonts w:hint="eastAsia"/>
              </w:rPr>
              <w:t>4320</w:t>
            </w:r>
          </w:p>
        </w:tc>
        <w:tc>
          <w:tcPr>
            <w:tcW w:w="1559" w:type="dxa"/>
            <w:shd w:val="clear" w:color="auto" w:fill="auto"/>
            <w:vAlign w:val="center"/>
          </w:tcPr>
          <w:p>
            <w:pPr>
              <w:pStyle w:val="92"/>
            </w:pPr>
            <w:r>
              <w:rPr>
                <w:rFonts w:hint="eastAsia"/>
              </w:rPr>
              <w:t>正常</w:t>
            </w:r>
            <w:r>
              <w:t>工况</w:t>
            </w:r>
          </w:p>
        </w:tc>
        <w:tc>
          <w:tcPr>
            <w:tcW w:w="992" w:type="dxa"/>
            <w:shd w:val="clear" w:color="auto" w:fill="auto"/>
            <w:vAlign w:val="center"/>
          </w:tcPr>
          <w:p>
            <w:pPr>
              <w:pStyle w:val="92"/>
            </w:pPr>
            <w:r>
              <w:rPr>
                <w:rFonts w:hint="eastAsia"/>
              </w:rPr>
              <w:t>/</w:t>
            </w:r>
          </w:p>
        </w:tc>
        <w:tc>
          <w:tcPr>
            <w:tcW w:w="707" w:type="dxa"/>
            <w:shd w:val="clear" w:color="auto" w:fill="auto"/>
            <w:vAlign w:val="center"/>
          </w:tcPr>
          <w:p>
            <w:pPr>
              <w:pStyle w:val="92"/>
            </w:pPr>
            <w:r>
              <w:rPr>
                <w:rFonts w:hint="eastAsia"/>
              </w:rPr>
              <w:t>/</w:t>
            </w:r>
          </w:p>
        </w:tc>
        <w:tc>
          <w:tcPr>
            <w:tcW w:w="707" w:type="dxa"/>
            <w:shd w:val="clear" w:color="auto" w:fill="auto"/>
            <w:vAlign w:val="center"/>
          </w:tcPr>
          <w:p>
            <w:pPr>
              <w:pStyle w:val="92"/>
            </w:pPr>
            <w:r>
              <w:rPr>
                <w:rFonts w:hint="eastAsia"/>
              </w:rPr>
              <w:t>/</w:t>
            </w:r>
          </w:p>
        </w:tc>
        <w:tc>
          <w:tcPr>
            <w:tcW w:w="802" w:type="dxa"/>
            <w:shd w:val="clear" w:color="auto" w:fill="auto"/>
            <w:vAlign w:val="center"/>
          </w:tcPr>
          <w:p>
            <w:pPr>
              <w:pStyle w:val="92"/>
            </w:pPr>
            <w:r>
              <w:rPr>
                <w:rFonts w:hint="eastAsia"/>
              </w:rPr>
              <w:t>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12" w:type="dxa"/>
            <w:shd w:val="clear" w:color="auto" w:fill="auto"/>
            <w:vAlign w:val="center"/>
          </w:tcPr>
          <w:p>
            <w:pPr>
              <w:pStyle w:val="92"/>
            </w:pPr>
            <w:r>
              <w:rPr>
                <w:rFonts w:hint="eastAsia"/>
              </w:rPr>
              <w:t>P6</w:t>
            </w:r>
          </w:p>
        </w:tc>
        <w:tc>
          <w:tcPr>
            <w:tcW w:w="867" w:type="dxa"/>
            <w:shd w:val="clear" w:color="auto" w:fill="auto"/>
            <w:vAlign w:val="center"/>
          </w:tcPr>
          <w:p>
            <w:pPr>
              <w:pStyle w:val="92"/>
            </w:pPr>
            <w:r>
              <w:rPr>
                <w:rFonts w:hint="eastAsia"/>
              </w:rPr>
              <w:t>天然气</w:t>
            </w:r>
            <w:r>
              <w:t>锅炉排气筒</w:t>
            </w:r>
          </w:p>
        </w:tc>
        <w:tc>
          <w:tcPr>
            <w:tcW w:w="1260" w:type="dxa"/>
            <w:shd w:val="clear" w:color="auto" w:fill="auto"/>
            <w:vAlign w:val="center"/>
          </w:tcPr>
          <w:p>
            <w:pPr>
              <w:pStyle w:val="92"/>
            </w:pPr>
            <w:r>
              <w:t>109.366854</w:t>
            </w:r>
          </w:p>
        </w:tc>
        <w:tc>
          <w:tcPr>
            <w:tcW w:w="1137" w:type="dxa"/>
            <w:shd w:val="clear" w:color="auto" w:fill="auto"/>
            <w:vAlign w:val="center"/>
          </w:tcPr>
          <w:p>
            <w:pPr>
              <w:pStyle w:val="92"/>
            </w:pPr>
            <w:r>
              <w:t>32.770802</w:t>
            </w:r>
          </w:p>
        </w:tc>
        <w:tc>
          <w:tcPr>
            <w:tcW w:w="852" w:type="dxa"/>
            <w:shd w:val="clear" w:color="auto" w:fill="auto"/>
            <w:vAlign w:val="center"/>
          </w:tcPr>
          <w:p>
            <w:pPr>
              <w:pStyle w:val="92"/>
            </w:pPr>
            <w:r>
              <w:rPr>
                <w:rFonts w:hint="eastAsia"/>
              </w:rPr>
              <w:t>311</w:t>
            </w:r>
          </w:p>
        </w:tc>
        <w:tc>
          <w:tcPr>
            <w:tcW w:w="849" w:type="dxa"/>
            <w:shd w:val="clear" w:color="auto" w:fill="auto"/>
            <w:vAlign w:val="center"/>
          </w:tcPr>
          <w:p>
            <w:pPr>
              <w:pStyle w:val="92"/>
            </w:pPr>
            <w:r>
              <w:rPr>
                <w:rFonts w:hint="eastAsia"/>
              </w:rPr>
              <w:t>15</w:t>
            </w:r>
          </w:p>
        </w:tc>
        <w:tc>
          <w:tcPr>
            <w:tcW w:w="992" w:type="dxa"/>
            <w:shd w:val="clear" w:color="auto" w:fill="auto"/>
            <w:vAlign w:val="center"/>
          </w:tcPr>
          <w:p>
            <w:pPr>
              <w:pStyle w:val="92"/>
            </w:pPr>
            <w:r>
              <w:rPr>
                <w:rFonts w:hint="eastAsia"/>
              </w:rPr>
              <w:t>0.3</w:t>
            </w:r>
          </w:p>
        </w:tc>
        <w:tc>
          <w:tcPr>
            <w:tcW w:w="992" w:type="dxa"/>
            <w:shd w:val="clear" w:color="auto" w:fill="auto"/>
            <w:vAlign w:val="center"/>
          </w:tcPr>
          <w:p>
            <w:pPr>
              <w:pStyle w:val="92"/>
            </w:pPr>
            <w:r>
              <w:t>17.53</w:t>
            </w:r>
          </w:p>
        </w:tc>
        <w:tc>
          <w:tcPr>
            <w:tcW w:w="852" w:type="dxa"/>
            <w:shd w:val="clear" w:color="auto" w:fill="auto"/>
            <w:vAlign w:val="center"/>
          </w:tcPr>
          <w:p>
            <w:pPr>
              <w:pStyle w:val="92"/>
            </w:pPr>
            <w:r>
              <w:rPr>
                <w:rFonts w:hint="eastAsia"/>
              </w:rPr>
              <w:t>25</w:t>
            </w:r>
          </w:p>
        </w:tc>
        <w:tc>
          <w:tcPr>
            <w:tcW w:w="992" w:type="dxa"/>
            <w:shd w:val="clear" w:color="auto" w:fill="auto"/>
            <w:vAlign w:val="center"/>
          </w:tcPr>
          <w:p>
            <w:pPr>
              <w:pStyle w:val="92"/>
            </w:pPr>
            <w:r>
              <w:rPr>
                <w:rFonts w:hint="eastAsia"/>
              </w:rPr>
              <w:t>4320</w:t>
            </w:r>
          </w:p>
        </w:tc>
        <w:tc>
          <w:tcPr>
            <w:tcW w:w="1559" w:type="dxa"/>
            <w:shd w:val="clear" w:color="auto" w:fill="auto"/>
            <w:vAlign w:val="center"/>
          </w:tcPr>
          <w:p>
            <w:pPr>
              <w:pStyle w:val="92"/>
            </w:pPr>
            <w:r>
              <w:rPr>
                <w:rFonts w:hint="eastAsia"/>
              </w:rPr>
              <w:t>正常</w:t>
            </w:r>
            <w:r>
              <w:t>工况</w:t>
            </w:r>
          </w:p>
        </w:tc>
        <w:tc>
          <w:tcPr>
            <w:tcW w:w="992" w:type="dxa"/>
            <w:shd w:val="clear" w:color="auto" w:fill="auto"/>
            <w:vAlign w:val="center"/>
          </w:tcPr>
          <w:p>
            <w:pPr>
              <w:pStyle w:val="92"/>
            </w:pPr>
            <w:r>
              <w:rPr>
                <w:rFonts w:hint="eastAsia"/>
              </w:rPr>
              <w:t>0.036</w:t>
            </w:r>
          </w:p>
        </w:tc>
        <w:tc>
          <w:tcPr>
            <w:tcW w:w="707" w:type="dxa"/>
            <w:shd w:val="clear" w:color="auto" w:fill="auto"/>
            <w:vAlign w:val="center"/>
          </w:tcPr>
          <w:p>
            <w:pPr>
              <w:pStyle w:val="92"/>
            </w:pPr>
            <w:r>
              <w:rPr>
                <w:rFonts w:hint="eastAsia"/>
              </w:rPr>
              <w:t>0.03</w:t>
            </w:r>
          </w:p>
        </w:tc>
        <w:tc>
          <w:tcPr>
            <w:tcW w:w="707" w:type="dxa"/>
            <w:shd w:val="clear" w:color="auto" w:fill="auto"/>
            <w:vAlign w:val="center"/>
          </w:tcPr>
          <w:p>
            <w:pPr>
              <w:pStyle w:val="92"/>
            </w:pPr>
            <w:r>
              <w:rPr>
                <w:rFonts w:hint="eastAsia"/>
              </w:rPr>
              <w:t>0.</w:t>
            </w:r>
            <w:r>
              <w:t>0</w:t>
            </w:r>
            <w:r>
              <w:rPr>
                <w:rFonts w:hint="eastAsia"/>
              </w:rPr>
              <w:t>28</w:t>
            </w:r>
          </w:p>
        </w:tc>
        <w:tc>
          <w:tcPr>
            <w:tcW w:w="802" w:type="dxa"/>
            <w:shd w:val="clear" w:color="auto" w:fill="auto"/>
            <w:vAlign w:val="center"/>
          </w:tcPr>
          <w:p>
            <w:pPr>
              <w:pStyle w:val="92"/>
            </w:pPr>
            <w:r>
              <w:rPr>
                <w:rFonts w:hint="eastAsia"/>
              </w:rPr>
              <w:t>/</w:t>
            </w:r>
          </w:p>
        </w:tc>
      </w:tr>
    </w:tbl>
    <w:p>
      <w:pPr>
        <w:pStyle w:val="93"/>
        <w:rPr>
          <w:rFonts w:hAnsi="Times New Roman"/>
        </w:rPr>
      </w:pPr>
    </w:p>
    <w:p>
      <w:pPr>
        <w:pStyle w:val="93"/>
        <w:rPr>
          <w:rFonts w:hAnsi="Times New Roman"/>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2</w:t>
      </w:r>
      <w:r>
        <w:rPr>
          <w:rFonts w:hAnsi="Times New Roman"/>
        </w:rPr>
        <w:fldChar w:fldCharType="end"/>
      </w:r>
      <w:bookmarkEnd w:id="123"/>
      <w:r>
        <w:rPr>
          <w:rFonts w:hAnsi="Times New Roman"/>
          <w:snapToGrid w:val="0"/>
        </w:rPr>
        <w:t xml:space="preserve">  项目矩形面源参数表</w:t>
      </w:r>
    </w:p>
    <w:tbl>
      <w:tblPr>
        <w:tblStyle w:val="35"/>
        <w:tblW w:w="139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0"/>
        <w:gridCol w:w="942"/>
        <w:gridCol w:w="1319"/>
        <w:gridCol w:w="1445"/>
        <w:gridCol w:w="1148"/>
        <w:gridCol w:w="671"/>
        <w:gridCol w:w="671"/>
        <w:gridCol w:w="855"/>
        <w:gridCol w:w="849"/>
        <w:gridCol w:w="992"/>
        <w:gridCol w:w="995"/>
        <w:gridCol w:w="2129"/>
        <w:gridCol w:w="13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90" w:type="dxa"/>
            <w:vMerge w:val="restart"/>
            <w:shd w:val="clear" w:color="auto" w:fill="auto"/>
            <w:vAlign w:val="center"/>
          </w:tcPr>
          <w:p>
            <w:pPr>
              <w:pStyle w:val="92"/>
            </w:pPr>
            <w:r>
              <w:t>编号</w:t>
            </w:r>
          </w:p>
        </w:tc>
        <w:tc>
          <w:tcPr>
            <w:tcW w:w="942" w:type="dxa"/>
            <w:vMerge w:val="restart"/>
            <w:shd w:val="clear" w:color="auto" w:fill="auto"/>
            <w:vAlign w:val="center"/>
          </w:tcPr>
          <w:p>
            <w:pPr>
              <w:pStyle w:val="92"/>
            </w:pPr>
            <w:r>
              <w:t>名称</w:t>
            </w:r>
          </w:p>
        </w:tc>
        <w:tc>
          <w:tcPr>
            <w:tcW w:w="2764" w:type="dxa"/>
            <w:gridSpan w:val="2"/>
            <w:shd w:val="clear" w:color="auto" w:fill="auto"/>
            <w:vAlign w:val="center"/>
          </w:tcPr>
          <w:p>
            <w:pPr>
              <w:pStyle w:val="92"/>
            </w:pPr>
            <w:r>
              <w:t>面源起点坐标/</w:t>
            </w:r>
            <w:r>
              <w:rPr>
                <w:rFonts w:hint="eastAsia"/>
              </w:rPr>
              <w:t>°</w:t>
            </w:r>
          </w:p>
        </w:tc>
        <w:tc>
          <w:tcPr>
            <w:tcW w:w="1148" w:type="dxa"/>
            <w:vMerge w:val="restart"/>
            <w:shd w:val="clear" w:color="auto" w:fill="auto"/>
            <w:vAlign w:val="center"/>
          </w:tcPr>
          <w:p>
            <w:pPr>
              <w:pStyle w:val="92"/>
            </w:pPr>
            <w:r>
              <w:t>面源海拔高度/m</w:t>
            </w:r>
          </w:p>
        </w:tc>
        <w:tc>
          <w:tcPr>
            <w:tcW w:w="671" w:type="dxa"/>
            <w:vMerge w:val="restart"/>
            <w:shd w:val="clear" w:color="auto" w:fill="auto"/>
            <w:vAlign w:val="center"/>
          </w:tcPr>
          <w:p>
            <w:pPr>
              <w:pStyle w:val="92"/>
            </w:pPr>
            <w:r>
              <w:t>面源长度/m</w:t>
            </w:r>
          </w:p>
        </w:tc>
        <w:tc>
          <w:tcPr>
            <w:tcW w:w="671" w:type="dxa"/>
            <w:vMerge w:val="restart"/>
            <w:shd w:val="clear" w:color="auto" w:fill="auto"/>
            <w:vAlign w:val="center"/>
          </w:tcPr>
          <w:p>
            <w:pPr>
              <w:pStyle w:val="92"/>
            </w:pPr>
            <w:r>
              <w:t>面源宽度/m</w:t>
            </w:r>
          </w:p>
        </w:tc>
        <w:tc>
          <w:tcPr>
            <w:tcW w:w="855" w:type="dxa"/>
            <w:vMerge w:val="restart"/>
            <w:shd w:val="clear" w:color="auto" w:fill="auto"/>
            <w:vAlign w:val="center"/>
          </w:tcPr>
          <w:p>
            <w:pPr>
              <w:pStyle w:val="92"/>
            </w:pPr>
            <w:r>
              <w:t>与正北向夹角/°</w:t>
            </w:r>
          </w:p>
        </w:tc>
        <w:tc>
          <w:tcPr>
            <w:tcW w:w="849" w:type="dxa"/>
            <w:vMerge w:val="restart"/>
            <w:shd w:val="clear" w:color="auto" w:fill="auto"/>
            <w:vAlign w:val="center"/>
          </w:tcPr>
          <w:p>
            <w:pPr>
              <w:pStyle w:val="92"/>
            </w:pPr>
            <w:r>
              <w:t>面源有效排放高度/m</w:t>
            </w:r>
          </w:p>
        </w:tc>
        <w:tc>
          <w:tcPr>
            <w:tcW w:w="992" w:type="dxa"/>
            <w:vMerge w:val="restart"/>
            <w:shd w:val="clear" w:color="auto" w:fill="auto"/>
            <w:vAlign w:val="center"/>
          </w:tcPr>
          <w:p>
            <w:pPr>
              <w:pStyle w:val="92"/>
            </w:pPr>
            <w:r>
              <w:t>年排放小时数/h</w:t>
            </w:r>
          </w:p>
        </w:tc>
        <w:tc>
          <w:tcPr>
            <w:tcW w:w="995" w:type="dxa"/>
            <w:vMerge w:val="restart"/>
            <w:shd w:val="clear" w:color="auto" w:fill="auto"/>
            <w:vAlign w:val="center"/>
          </w:tcPr>
          <w:p>
            <w:pPr>
              <w:pStyle w:val="92"/>
            </w:pPr>
            <w:r>
              <w:t>排放工况</w:t>
            </w:r>
          </w:p>
        </w:tc>
        <w:tc>
          <w:tcPr>
            <w:tcW w:w="3495" w:type="dxa"/>
            <w:gridSpan w:val="2"/>
            <w:vAlign w:val="center"/>
          </w:tcPr>
          <w:p>
            <w:pPr>
              <w:pStyle w:val="92"/>
            </w:pPr>
            <w:r>
              <w:t>污染物排放速率/（kg/h）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90" w:type="dxa"/>
            <w:vMerge w:val="continue"/>
            <w:shd w:val="clear" w:color="auto" w:fill="auto"/>
            <w:vAlign w:val="center"/>
          </w:tcPr>
          <w:p>
            <w:pPr>
              <w:pStyle w:val="92"/>
            </w:pPr>
          </w:p>
        </w:tc>
        <w:tc>
          <w:tcPr>
            <w:tcW w:w="942" w:type="dxa"/>
            <w:vMerge w:val="continue"/>
            <w:shd w:val="clear" w:color="auto" w:fill="auto"/>
            <w:vAlign w:val="center"/>
          </w:tcPr>
          <w:p>
            <w:pPr>
              <w:pStyle w:val="92"/>
            </w:pPr>
          </w:p>
        </w:tc>
        <w:tc>
          <w:tcPr>
            <w:tcW w:w="1319" w:type="dxa"/>
            <w:shd w:val="clear" w:color="auto" w:fill="auto"/>
            <w:vAlign w:val="center"/>
          </w:tcPr>
          <w:p>
            <w:pPr>
              <w:pStyle w:val="92"/>
            </w:pPr>
            <w:r>
              <w:t>X</w:t>
            </w:r>
          </w:p>
        </w:tc>
        <w:tc>
          <w:tcPr>
            <w:tcW w:w="1445" w:type="dxa"/>
            <w:shd w:val="clear" w:color="auto" w:fill="auto"/>
            <w:vAlign w:val="center"/>
          </w:tcPr>
          <w:p>
            <w:pPr>
              <w:pStyle w:val="92"/>
            </w:pPr>
            <w:r>
              <w:t>Y</w:t>
            </w:r>
          </w:p>
        </w:tc>
        <w:tc>
          <w:tcPr>
            <w:tcW w:w="1148" w:type="dxa"/>
            <w:vMerge w:val="continue"/>
            <w:shd w:val="clear" w:color="auto" w:fill="auto"/>
            <w:vAlign w:val="center"/>
          </w:tcPr>
          <w:p>
            <w:pPr>
              <w:pStyle w:val="92"/>
            </w:pPr>
          </w:p>
        </w:tc>
        <w:tc>
          <w:tcPr>
            <w:tcW w:w="671" w:type="dxa"/>
            <w:vMerge w:val="continue"/>
            <w:shd w:val="clear" w:color="auto" w:fill="auto"/>
            <w:vAlign w:val="center"/>
          </w:tcPr>
          <w:p>
            <w:pPr>
              <w:pStyle w:val="92"/>
            </w:pPr>
          </w:p>
        </w:tc>
        <w:tc>
          <w:tcPr>
            <w:tcW w:w="671" w:type="dxa"/>
            <w:vMerge w:val="continue"/>
            <w:shd w:val="clear" w:color="auto" w:fill="auto"/>
            <w:vAlign w:val="center"/>
          </w:tcPr>
          <w:p>
            <w:pPr>
              <w:pStyle w:val="92"/>
            </w:pPr>
          </w:p>
        </w:tc>
        <w:tc>
          <w:tcPr>
            <w:tcW w:w="855" w:type="dxa"/>
            <w:vMerge w:val="continue"/>
            <w:shd w:val="clear" w:color="auto" w:fill="auto"/>
            <w:vAlign w:val="center"/>
          </w:tcPr>
          <w:p>
            <w:pPr>
              <w:pStyle w:val="92"/>
            </w:pPr>
          </w:p>
        </w:tc>
        <w:tc>
          <w:tcPr>
            <w:tcW w:w="849" w:type="dxa"/>
            <w:vMerge w:val="continue"/>
            <w:shd w:val="clear" w:color="auto" w:fill="auto"/>
            <w:vAlign w:val="center"/>
          </w:tcPr>
          <w:p>
            <w:pPr>
              <w:pStyle w:val="92"/>
            </w:pPr>
          </w:p>
        </w:tc>
        <w:tc>
          <w:tcPr>
            <w:tcW w:w="992" w:type="dxa"/>
            <w:vMerge w:val="continue"/>
            <w:shd w:val="clear" w:color="auto" w:fill="auto"/>
            <w:vAlign w:val="center"/>
          </w:tcPr>
          <w:p>
            <w:pPr>
              <w:pStyle w:val="92"/>
            </w:pPr>
          </w:p>
        </w:tc>
        <w:tc>
          <w:tcPr>
            <w:tcW w:w="995" w:type="dxa"/>
            <w:vMerge w:val="continue"/>
            <w:shd w:val="clear" w:color="auto" w:fill="auto"/>
            <w:vAlign w:val="center"/>
          </w:tcPr>
          <w:p>
            <w:pPr>
              <w:pStyle w:val="92"/>
            </w:pPr>
          </w:p>
        </w:tc>
        <w:tc>
          <w:tcPr>
            <w:tcW w:w="2129" w:type="dxa"/>
            <w:vAlign w:val="center"/>
          </w:tcPr>
          <w:p>
            <w:pPr>
              <w:pStyle w:val="92"/>
            </w:pPr>
            <w:r>
              <w:rPr>
                <w:rFonts w:hint="eastAsia"/>
              </w:rPr>
              <w:t>甲醇</w:t>
            </w:r>
          </w:p>
        </w:tc>
        <w:tc>
          <w:tcPr>
            <w:tcW w:w="1366" w:type="dxa"/>
            <w:vAlign w:val="center"/>
          </w:tcPr>
          <w:p>
            <w:pPr>
              <w:pStyle w:val="92"/>
            </w:pPr>
            <w:r>
              <w:rPr>
                <w:rFonts w:hint="eastAsia"/>
              </w:rPr>
              <w:t>非甲烷</w:t>
            </w:r>
            <w:r>
              <w:t>总烃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0" w:hRule="atLeast"/>
        </w:trPr>
        <w:tc>
          <w:tcPr>
            <w:tcW w:w="590" w:type="dxa"/>
            <w:shd w:val="clear" w:color="auto" w:fill="auto"/>
            <w:vAlign w:val="center"/>
          </w:tcPr>
          <w:p>
            <w:pPr>
              <w:pStyle w:val="92"/>
            </w:pPr>
            <w:r>
              <w:t>A1</w:t>
            </w:r>
          </w:p>
        </w:tc>
        <w:tc>
          <w:tcPr>
            <w:tcW w:w="942" w:type="dxa"/>
            <w:shd w:val="clear" w:color="auto" w:fill="auto"/>
            <w:vAlign w:val="center"/>
          </w:tcPr>
          <w:p>
            <w:pPr>
              <w:pStyle w:val="92"/>
            </w:pPr>
            <w:r>
              <w:rPr>
                <w:rFonts w:hint="eastAsia"/>
              </w:rPr>
              <w:t>储罐区</w:t>
            </w:r>
          </w:p>
        </w:tc>
        <w:tc>
          <w:tcPr>
            <w:tcW w:w="1319" w:type="dxa"/>
            <w:shd w:val="clear" w:color="auto" w:fill="auto"/>
            <w:vAlign w:val="center"/>
          </w:tcPr>
          <w:p>
            <w:pPr>
              <w:pStyle w:val="92"/>
            </w:pPr>
            <w:r>
              <w:rPr>
                <w:rFonts w:hint="eastAsia"/>
              </w:rPr>
              <w:t>109.3671133</w:t>
            </w:r>
          </w:p>
        </w:tc>
        <w:tc>
          <w:tcPr>
            <w:tcW w:w="1445" w:type="dxa"/>
            <w:shd w:val="clear" w:color="auto" w:fill="auto"/>
            <w:vAlign w:val="center"/>
          </w:tcPr>
          <w:p>
            <w:pPr>
              <w:pStyle w:val="92"/>
            </w:pPr>
            <w:r>
              <w:rPr>
                <w:rFonts w:hint="eastAsia"/>
              </w:rPr>
              <w:t>32.772263</w:t>
            </w:r>
          </w:p>
        </w:tc>
        <w:tc>
          <w:tcPr>
            <w:tcW w:w="1148" w:type="dxa"/>
            <w:shd w:val="clear" w:color="auto" w:fill="auto"/>
            <w:vAlign w:val="center"/>
          </w:tcPr>
          <w:p>
            <w:pPr>
              <w:pStyle w:val="92"/>
            </w:pPr>
            <w:r>
              <w:rPr>
                <w:rFonts w:hint="eastAsia"/>
              </w:rPr>
              <w:t>317</w:t>
            </w:r>
          </w:p>
        </w:tc>
        <w:tc>
          <w:tcPr>
            <w:tcW w:w="671" w:type="dxa"/>
            <w:shd w:val="clear" w:color="auto" w:fill="auto"/>
            <w:vAlign w:val="center"/>
          </w:tcPr>
          <w:p>
            <w:pPr>
              <w:pStyle w:val="92"/>
            </w:pPr>
            <w:r>
              <w:rPr>
                <w:rFonts w:hint="eastAsia"/>
              </w:rPr>
              <w:t>22.6</w:t>
            </w:r>
          </w:p>
        </w:tc>
        <w:tc>
          <w:tcPr>
            <w:tcW w:w="671" w:type="dxa"/>
            <w:shd w:val="clear" w:color="auto" w:fill="auto"/>
            <w:vAlign w:val="center"/>
          </w:tcPr>
          <w:p>
            <w:pPr>
              <w:pStyle w:val="92"/>
            </w:pPr>
            <w:r>
              <w:rPr>
                <w:rFonts w:hint="eastAsia"/>
              </w:rPr>
              <w:t>10.6</w:t>
            </w:r>
          </w:p>
        </w:tc>
        <w:tc>
          <w:tcPr>
            <w:tcW w:w="855" w:type="dxa"/>
            <w:shd w:val="clear" w:color="auto" w:fill="auto"/>
            <w:vAlign w:val="center"/>
          </w:tcPr>
          <w:p>
            <w:pPr>
              <w:pStyle w:val="92"/>
            </w:pPr>
            <w:r>
              <w:rPr>
                <w:rFonts w:hint="eastAsia"/>
              </w:rPr>
              <w:t>30</w:t>
            </w:r>
          </w:p>
        </w:tc>
        <w:tc>
          <w:tcPr>
            <w:tcW w:w="849" w:type="dxa"/>
            <w:shd w:val="clear" w:color="auto" w:fill="auto"/>
            <w:vAlign w:val="center"/>
          </w:tcPr>
          <w:p>
            <w:pPr>
              <w:pStyle w:val="92"/>
            </w:pPr>
            <w:r>
              <w:rPr>
                <w:rFonts w:hint="eastAsia"/>
              </w:rPr>
              <w:t>5</w:t>
            </w:r>
          </w:p>
        </w:tc>
        <w:tc>
          <w:tcPr>
            <w:tcW w:w="992" w:type="dxa"/>
            <w:shd w:val="clear" w:color="auto" w:fill="auto"/>
            <w:vAlign w:val="center"/>
          </w:tcPr>
          <w:p>
            <w:pPr>
              <w:pStyle w:val="92"/>
            </w:pPr>
            <w:r>
              <w:rPr>
                <w:rFonts w:hint="eastAsia"/>
              </w:rPr>
              <w:t>4320</w:t>
            </w:r>
          </w:p>
        </w:tc>
        <w:tc>
          <w:tcPr>
            <w:tcW w:w="995" w:type="dxa"/>
            <w:shd w:val="clear" w:color="auto" w:fill="auto"/>
            <w:vAlign w:val="center"/>
          </w:tcPr>
          <w:p>
            <w:pPr>
              <w:pStyle w:val="92"/>
            </w:pPr>
            <w:r>
              <w:rPr>
                <w:rFonts w:hint="eastAsia"/>
              </w:rPr>
              <w:t>正常</w:t>
            </w:r>
            <w:r>
              <w:t>工况</w:t>
            </w:r>
          </w:p>
        </w:tc>
        <w:tc>
          <w:tcPr>
            <w:tcW w:w="2129" w:type="dxa"/>
            <w:vAlign w:val="center"/>
          </w:tcPr>
          <w:p>
            <w:pPr>
              <w:pStyle w:val="92"/>
            </w:pPr>
            <w:r>
              <w:rPr>
                <w:rFonts w:hint="eastAsia"/>
              </w:rPr>
              <w:t>0.000</w:t>
            </w:r>
            <w:r>
              <w:t>5</w:t>
            </w:r>
          </w:p>
        </w:tc>
        <w:tc>
          <w:tcPr>
            <w:tcW w:w="1366" w:type="dxa"/>
            <w:vAlign w:val="center"/>
          </w:tcPr>
          <w:p>
            <w:pPr>
              <w:pStyle w:val="92"/>
            </w:pPr>
            <w:r>
              <w:rPr>
                <w:rFonts w:hint="eastAsia"/>
              </w:rPr>
              <w:t>0.001</w:t>
            </w:r>
          </w:p>
        </w:tc>
      </w:tr>
    </w:tbl>
    <w:p>
      <w:pPr>
        <w:pStyle w:val="87"/>
        <w:ind w:firstLine="480"/>
        <w:rPr>
          <w:rFonts w:cs="Times New Roman"/>
          <w:highlight w:val="yellow"/>
        </w:rPr>
      </w:pPr>
    </w:p>
    <w:p>
      <w:pPr>
        <w:pStyle w:val="87"/>
        <w:ind w:firstLine="480"/>
        <w:rPr>
          <w:rFonts w:cs="Times New Roman"/>
          <w:highlight w:val="yellow"/>
        </w:rPr>
        <w:sectPr>
          <w:headerReference r:id="rId46" w:type="default"/>
          <w:headerReference r:id="rId47" w:type="even"/>
          <w:pgSz w:w="16838" w:h="11906" w:orient="landscape"/>
          <w:pgMar w:top="1800" w:right="1418" w:bottom="1800" w:left="1418" w:header="992" w:footer="992" w:gutter="0"/>
          <w:pgNumType w:fmt="numberInDash"/>
          <w:cols w:space="425" w:num="1"/>
          <w:docGrid w:type="lines" w:linePitch="326" w:charSpace="0"/>
        </w:sectPr>
      </w:pPr>
    </w:p>
    <w:p>
      <w:pPr>
        <w:pStyle w:val="5"/>
      </w:pPr>
      <w:r>
        <w:rPr>
          <w:rFonts w:hint="eastAsia"/>
        </w:rPr>
        <w:t>预测</w:t>
      </w:r>
      <w:r>
        <w:t>模式及相关参数</w:t>
      </w:r>
    </w:p>
    <w:p>
      <w:pPr>
        <w:ind w:firstLine="480"/>
      </w:pPr>
      <w:r>
        <w:t>本次环境空气预测采用《环境影响评价技术导则 大气环境》（HJ2.2-2018）附录A推荐的估算模型AERSCREEN进行预测。估算模型参数见</w:t>
      </w:r>
      <w:r>
        <w:fldChar w:fldCharType="begin"/>
      </w:r>
      <w:r>
        <w:instrText xml:space="preserve"> REF _Ref26782473 \h  \* MERGEFORMAT </w:instrText>
      </w:r>
      <w:r>
        <w:fldChar w:fldCharType="separate"/>
      </w:r>
      <w:r>
        <w:t>表5.2</w:t>
      </w:r>
      <w:r>
        <w:noBreakHyphen/>
      </w:r>
      <w:r>
        <w:t>3</w:t>
      </w:r>
      <w:r>
        <w:fldChar w:fldCharType="end"/>
      </w:r>
      <w:r>
        <w:t>。</w:t>
      </w:r>
    </w:p>
    <w:p>
      <w:pPr>
        <w:pStyle w:val="93"/>
        <w:rPr>
          <w:rFonts w:hAnsi="Times New Roman"/>
        </w:rPr>
      </w:pPr>
      <w:bookmarkStart w:id="124" w:name="_Ref26782473"/>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3</w:t>
      </w:r>
      <w:r>
        <w:rPr>
          <w:rFonts w:hAnsi="Times New Roman"/>
        </w:rPr>
        <w:fldChar w:fldCharType="end"/>
      </w:r>
      <w:bookmarkEnd w:id="124"/>
      <w:r>
        <w:rPr>
          <w:rFonts w:hAnsi="Times New Roman"/>
          <w:snapToGrid w:val="0"/>
        </w:rPr>
        <w:t xml:space="preserve">  估算模型参数表</w:t>
      </w:r>
    </w:p>
    <w:tbl>
      <w:tblPr>
        <w:tblStyle w:val="35"/>
        <w:tblW w:w="884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9"/>
        <w:gridCol w:w="2949"/>
        <w:gridCol w:w="2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97"/>
              <w:ind w:firstLine="560"/>
            </w:pPr>
            <w:r>
              <w:t>参数</w:t>
            </w:r>
          </w:p>
        </w:tc>
        <w:tc>
          <w:tcPr>
            <w:tcW w:w="2949" w:type="dxa"/>
            <w:shd w:val="clear" w:color="auto" w:fill="auto"/>
            <w:vAlign w:val="center"/>
          </w:tcPr>
          <w:p>
            <w:pPr>
              <w:pStyle w:val="97"/>
              <w:ind w:firstLine="560"/>
            </w:pPr>
            <w: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restart"/>
            <w:shd w:val="clear" w:color="auto" w:fill="auto"/>
            <w:vAlign w:val="center"/>
          </w:tcPr>
          <w:p>
            <w:pPr>
              <w:pStyle w:val="97"/>
              <w:ind w:firstLine="560"/>
            </w:pPr>
            <w:r>
              <w:t>城市/农村选项</w:t>
            </w:r>
          </w:p>
        </w:tc>
        <w:tc>
          <w:tcPr>
            <w:tcW w:w="2949" w:type="dxa"/>
            <w:shd w:val="clear" w:color="auto" w:fill="auto"/>
            <w:vAlign w:val="center"/>
          </w:tcPr>
          <w:p>
            <w:pPr>
              <w:pStyle w:val="97"/>
            </w:pPr>
            <w:r>
              <w:t>城市/农村</w:t>
            </w:r>
          </w:p>
        </w:tc>
        <w:tc>
          <w:tcPr>
            <w:tcW w:w="2949" w:type="dxa"/>
            <w:shd w:val="clear" w:color="auto" w:fill="auto"/>
            <w:vAlign w:val="center"/>
          </w:tcPr>
          <w:p>
            <w:pPr>
              <w:pStyle w:val="97"/>
              <w:ind w:firstLine="560"/>
            </w:pPr>
            <w: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97"/>
              <w:ind w:firstLine="560"/>
            </w:pPr>
          </w:p>
        </w:tc>
        <w:tc>
          <w:tcPr>
            <w:tcW w:w="2949" w:type="dxa"/>
            <w:shd w:val="clear" w:color="auto" w:fill="auto"/>
            <w:vAlign w:val="center"/>
          </w:tcPr>
          <w:p>
            <w:pPr>
              <w:pStyle w:val="97"/>
            </w:pPr>
            <w:r>
              <w:t>人口数（城市选项时）</w:t>
            </w:r>
          </w:p>
        </w:tc>
        <w:tc>
          <w:tcPr>
            <w:tcW w:w="2949" w:type="dxa"/>
            <w:shd w:val="clear" w:color="auto" w:fill="auto"/>
            <w:vAlign w:val="center"/>
          </w:tcPr>
          <w:p>
            <w:pPr>
              <w:pStyle w:val="97"/>
              <w:ind w:firstLine="56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97"/>
              <w:ind w:firstLine="560"/>
            </w:pPr>
            <w:r>
              <w:t>最高环境温度/</w:t>
            </w:r>
            <w:r>
              <w:rPr>
                <w:rFonts w:hint="eastAsia" w:ascii="宋体" w:hAnsi="宋体" w:cs="宋体"/>
              </w:rPr>
              <w:t>℃</w:t>
            </w:r>
          </w:p>
        </w:tc>
        <w:tc>
          <w:tcPr>
            <w:tcW w:w="2949" w:type="dxa"/>
            <w:shd w:val="clear" w:color="auto" w:fill="auto"/>
            <w:vAlign w:val="center"/>
          </w:tcPr>
          <w:p>
            <w:pPr>
              <w:pStyle w:val="97"/>
              <w:ind w:firstLine="560"/>
            </w:pPr>
            <w:r>
              <w:t>41.9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97"/>
              <w:ind w:firstLine="560"/>
            </w:pPr>
            <w:r>
              <w:t>最低环境温度/</w:t>
            </w:r>
            <w:r>
              <w:rPr>
                <w:rFonts w:hint="eastAsia" w:ascii="宋体" w:hAnsi="宋体" w:cs="宋体"/>
              </w:rPr>
              <w:t>℃</w:t>
            </w:r>
          </w:p>
        </w:tc>
        <w:tc>
          <w:tcPr>
            <w:tcW w:w="2949" w:type="dxa"/>
            <w:shd w:val="clear" w:color="auto" w:fill="auto"/>
            <w:vAlign w:val="center"/>
          </w:tcPr>
          <w:p>
            <w:pPr>
              <w:pStyle w:val="97"/>
              <w:ind w:firstLine="560"/>
            </w:pPr>
            <w:r>
              <w:t>-9.7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4" w:hRule="atLeast"/>
        </w:trPr>
        <w:tc>
          <w:tcPr>
            <w:tcW w:w="5898" w:type="dxa"/>
            <w:gridSpan w:val="2"/>
            <w:shd w:val="clear" w:color="auto" w:fill="auto"/>
            <w:vAlign w:val="center"/>
          </w:tcPr>
          <w:p>
            <w:pPr>
              <w:pStyle w:val="97"/>
              <w:ind w:firstLine="560"/>
            </w:pPr>
            <w:r>
              <w:t>土地利用类型</w:t>
            </w:r>
          </w:p>
        </w:tc>
        <w:tc>
          <w:tcPr>
            <w:tcW w:w="2949" w:type="dxa"/>
            <w:shd w:val="clear" w:color="auto" w:fill="auto"/>
            <w:vAlign w:val="center"/>
          </w:tcPr>
          <w:p>
            <w:pPr>
              <w:pStyle w:val="97"/>
              <w:ind w:firstLine="560"/>
            </w:pPr>
            <w:r>
              <w:rPr>
                <w:rFonts w:hint="eastAsia"/>
              </w:rPr>
              <w:t>阔叶林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97"/>
              <w:ind w:firstLine="560"/>
            </w:pPr>
            <w:r>
              <w:t>区域湿度条件</w:t>
            </w:r>
          </w:p>
        </w:tc>
        <w:tc>
          <w:tcPr>
            <w:tcW w:w="2949" w:type="dxa"/>
            <w:shd w:val="clear" w:color="auto" w:fill="auto"/>
            <w:vAlign w:val="center"/>
          </w:tcPr>
          <w:p>
            <w:pPr>
              <w:pStyle w:val="97"/>
              <w:ind w:firstLine="560"/>
            </w:pPr>
            <w:r>
              <w:rPr>
                <w:rFonts w:hint="eastAsia"/>
              </w:rPr>
              <w:t>潮湿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restart"/>
            <w:shd w:val="clear" w:color="auto" w:fill="auto"/>
            <w:vAlign w:val="center"/>
          </w:tcPr>
          <w:p>
            <w:pPr>
              <w:pStyle w:val="97"/>
              <w:ind w:firstLine="560"/>
            </w:pPr>
            <w:r>
              <w:t>是否考虑地形</w:t>
            </w:r>
          </w:p>
        </w:tc>
        <w:tc>
          <w:tcPr>
            <w:tcW w:w="2949" w:type="dxa"/>
            <w:shd w:val="clear" w:color="auto" w:fill="auto"/>
            <w:vAlign w:val="center"/>
          </w:tcPr>
          <w:p>
            <w:pPr>
              <w:pStyle w:val="97"/>
              <w:ind w:firstLine="560"/>
            </w:pPr>
            <w:r>
              <w:t>考虑地形</w:t>
            </w:r>
          </w:p>
        </w:tc>
        <w:tc>
          <w:tcPr>
            <w:tcW w:w="2949" w:type="dxa"/>
            <w:shd w:val="clear" w:color="auto" w:fill="auto"/>
            <w:vAlign w:val="center"/>
          </w:tcPr>
          <w:p>
            <w:pPr>
              <w:pStyle w:val="97"/>
              <w:ind w:firstLine="560"/>
            </w:pPr>
            <w: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97"/>
              <w:ind w:firstLine="560"/>
            </w:pPr>
          </w:p>
        </w:tc>
        <w:tc>
          <w:tcPr>
            <w:tcW w:w="2949" w:type="dxa"/>
            <w:shd w:val="clear" w:color="auto" w:fill="auto"/>
            <w:vAlign w:val="center"/>
          </w:tcPr>
          <w:p>
            <w:pPr>
              <w:pStyle w:val="97"/>
              <w:ind w:firstLine="560"/>
            </w:pPr>
            <w:r>
              <w:t>地形数据分辨率</w:t>
            </w:r>
          </w:p>
        </w:tc>
        <w:tc>
          <w:tcPr>
            <w:tcW w:w="2949" w:type="dxa"/>
            <w:shd w:val="clear" w:color="auto" w:fill="auto"/>
            <w:vAlign w:val="center"/>
          </w:tcPr>
          <w:p>
            <w:pPr>
              <w:pStyle w:val="97"/>
              <w:ind w:firstLine="560"/>
            </w:pPr>
            <w:r>
              <w:t>90m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restart"/>
            <w:shd w:val="clear" w:color="auto" w:fill="auto"/>
            <w:vAlign w:val="center"/>
          </w:tcPr>
          <w:p>
            <w:pPr>
              <w:pStyle w:val="97"/>
              <w:ind w:firstLine="560"/>
            </w:pPr>
            <w:r>
              <w:t>是否考虑岸线熏烟</w:t>
            </w:r>
          </w:p>
        </w:tc>
        <w:tc>
          <w:tcPr>
            <w:tcW w:w="2949" w:type="dxa"/>
            <w:shd w:val="clear" w:color="auto" w:fill="auto"/>
            <w:vAlign w:val="center"/>
          </w:tcPr>
          <w:p>
            <w:pPr>
              <w:pStyle w:val="97"/>
              <w:ind w:firstLine="560"/>
            </w:pPr>
            <w:r>
              <w:t>考虑岸线熏烟</w:t>
            </w:r>
          </w:p>
        </w:tc>
        <w:tc>
          <w:tcPr>
            <w:tcW w:w="2949" w:type="dxa"/>
            <w:shd w:val="clear" w:color="auto" w:fill="auto"/>
            <w:vAlign w:val="center"/>
          </w:tcPr>
          <w:p>
            <w:pPr>
              <w:pStyle w:val="97"/>
              <w:ind w:firstLine="560"/>
            </w:pPr>
            <w: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97"/>
              <w:ind w:firstLine="560"/>
            </w:pPr>
          </w:p>
        </w:tc>
        <w:tc>
          <w:tcPr>
            <w:tcW w:w="2949" w:type="dxa"/>
            <w:shd w:val="clear" w:color="auto" w:fill="auto"/>
            <w:vAlign w:val="center"/>
          </w:tcPr>
          <w:p>
            <w:pPr>
              <w:pStyle w:val="97"/>
              <w:ind w:firstLine="560"/>
            </w:pPr>
            <w:r>
              <w:t>岸线距离/km</w:t>
            </w:r>
          </w:p>
        </w:tc>
        <w:tc>
          <w:tcPr>
            <w:tcW w:w="2949" w:type="dxa"/>
            <w:shd w:val="clear" w:color="auto" w:fill="auto"/>
            <w:vAlign w:val="center"/>
          </w:tcPr>
          <w:p>
            <w:pPr>
              <w:pStyle w:val="97"/>
              <w:ind w:firstLine="56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97"/>
              <w:ind w:firstLine="560"/>
            </w:pPr>
          </w:p>
        </w:tc>
        <w:tc>
          <w:tcPr>
            <w:tcW w:w="2949" w:type="dxa"/>
            <w:shd w:val="clear" w:color="auto" w:fill="auto"/>
            <w:vAlign w:val="center"/>
          </w:tcPr>
          <w:p>
            <w:pPr>
              <w:pStyle w:val="97"/>
              <w:ind w:firstLine="560"/>
            </w:pPr>
            <w:r>
              <w:t>岸线方向/°</w:t>
            </w:r>
          </w:p>
        </w:tc>
        <w:tc>
          <w:tcPr>
            <w:tcW w:w="2949" w:type="dxa"/>
            <w:shd w:val="clear" w:color="auto" w:fill="auto"/>
            <w:vAlign w:val="center"/>
          </w:tcPr>
          <w:p>
            <w:pPr>
              <w:pStyle w:val="97"/>
              <w:ind w:firstLine="560"/>
            </w:pPr>
            <w:r>
              <w:t>/</w:t>
            </w:r>
          </w:p>
        </w:tc>
      </w:tr>
    </w:tbl>
    <w:p>
      <w:pPr>
        <w:pStyle w:val="5"/>
      </w:pPr>
      <w:r>
        <w:rPr>
          <w:rFonts w:hint="eastAsia"/>
        </w:rPr>
        <w:t>预测</w:t>
      </w:r>
      <w:r>
        <w:t>结果及评价</w:t>
      </w:r>
    </w:p>
    <w:p>
      <w:pPr>
        <w:ind w:firstLine="480"/>
        <w:rPr>
          <w:kern w:val="0"/>
        </w:rPr>
      </w:pPr>
      <w:r>
        <w:rPr>
          <w:rFonts w:hint="eastAsia"/>
          <w:kern w:val="0"/>
        </w:rPr>
        <w:t>1、</w:t>
      </w:r>
      <w:r>
        <w:rPr>
          <w:kern w:val="0"/>
        </w:rPr>
        <w:t>预测</w:t>
      </w:r>
      <w:r>
        <w:rPr>
          <w:rFonts w:hint="eastAsia"/>
          <w:kern w:val="0"/>
        </w:rPr>
        <w:t>结果</w:t>
      </w:r>
      <w:r>
        <w:rPr>
          <w:kern w:val="0"/>
        </w:rPr>
        <w:t>输出</w:t>
      </w:r>
    </w:p>
    <w:p>
      <w:pPr>
        <w:pStyle w:val="87"/>
        <w:ind w:firstLine="480"/>
        <w:rPr>
          <w:rFonts w:cs="Times New Roman"/>
        </w:rPr>
      </w:pPr>
      <w:r>
        <w:rPr>
          <w:rFonts w:cs="Times New Roman"/>
        </w:rPr>
        <w:t>正常情况下大气有组织点源排放预测结果见表5.2-4</w:t>
      </w:r>
      <w:r>
        <w:rPr>
          <w:rFonts w:hint="eastAsia" w:cs="Times New Roman"/>
        </w:rPr>
        <w:t>，</w:t>
      </w:r>
      <w:r>
        <w:rPr>
          <w:rFonts w:cs="Times New Roman"/>
        </w:rPr>
        <w:t>表</w:t>
      </w:r>
      <w:r>
        <w:rPr>
          <w:rFonts w:hint="eastAsia" w:cs="Times New Roman"/>
        </w:rPr>
        <w:t>5.2-5</w:t>
      </w:r>
      <w:r>
        <w:rPr>
          <w:rFonts w:cs="Times New Roman"/>
        </w:rPr>
        <w:t>，无组织面源排放预测结果见表5.2-6。</w:t>
      </w:r>
    </w:p>
    <w:p>
      <w:pPr>
        <w:ind w:firstLine="480"/>
        <w:rPr>
          <w:kern w:val="0"/>
        </w:rPr>
      </w:pPr>
      <w:r>
        <w:rPr>
          <w:rFonts w:hint="eastAsia"/>
          <w:kern w:val="0"/>
        </w:rPr>
        <w:t>由</w:t>
      </w:r>
      <w:r>
        <w:rPr>
          <w:kern w:val="0"/>
        </w:rPr>
        <w:t>表</w:t>
      </w:r>
      <w:r>
        <w:rPr>
          <w:rFonts w:hint="eastAsia"/>
          <w:kern w:val="0"/>
        </w:rPr>
        <w:t>5.2-4可知</w:t>
      </w:r>
      <w:r>
        <w:rPr>
          <w:kern w:val="0"/>
        </w:rPr>
        <w:t>，</w:t>
      </w:r>
      <w:r>
        <w:rPr>
          <w:rFonts w:hint="eastAsia"/>
          <w:kern w:val="0"/>
        </w:rPr>
        <w:t>项目初</w:t>
      </w:r>
      <w:r>
        <w:rPr>
          <w:kern w:val="0"/>
        </w:rPr>
        <w:t>清粉尘排气筒</w:t>
      </w:r>
      <w:r>
        <w:rPr>
          <w:rFonts w:hint="eastAsia"/>
          <w:kern w:val="0"/>
        </w:rPr>
        <w:t>（P1）颗粒物的最大落地浓度为</w:t>
      </w:r>
      <w:r>
        <w:rPr>
          <w:kern w:val="0"/>
        </w:rPr>
        <w:t>2.0971μg/m</w:t>
      </w:r>
      <w:r>
        <w:rPr>
          <w:kern w:val="0"/>
          <w:vertAlign w:val="superscript"/>
        </w:rPr>
        <w:t>3</w:t>
      </w:r>
      <w:r>
        <w:rPr>
          <w:rFonts w:hint="eastAsia"/>
          <w:kern w:val="0"/>
        </w:rPr>
        <w:t>，占标率为</w:t>
      </w:r>
      <w:r>
        <w:rPr>
          <w:kern w:val="0"/>
        </w:rPr>
        <w:t>0.4660 %</w:t>
      </w:r>
      <w:r>
        <w:rPr>
          <w:rFonts w:hint="eastAsia"/>
          <w:kern w:val="0"/>
        </w:rPr>
        <w:t>，最大落地浓度值出现在下风向</w:t>
      </w:r>
      <w:r>
        <w:rPr>
          <w:kern w:val="0"/>
        </w:rPr>
        <w:t xml:space="preserve">153m </w:t>
      </w:r>
      <w:r>
        <w:rPr>
          <w:rFonts w:hint="eastAsia"/>
          <w:kern w:val="0"/>
        </w:rPr>
        <w:t>处；粗粉</w:t>
      </w:r>
      <w:r>
        <w:rPr>
          <w:kern w:val="0"/>
        </w:rPr>
        <w:t>粉尘排气筒</w:t>
      </w:r>
      <w:r>
        <w:rPr>
          <w:rFonts w:hint="eastAsia"/>
          <w:kern w:val="0"/>
        </w:rPr>
        <w:t>（P</w:t>
      </w:r>
      <w:r>
        <w:rPr>
          <w:kern w:val="0"/>
        </w:rPr>
        <w:t>2</w:t>
      </w:r>
      <w:r>
        <w:rPr>
          <w:rFonts w:hint="eastAsia"/>
          <w:kern w:val="0"/>
        </w:rPr>
        <w:t>）颗粒物的最大落地浓度为</w:t>
      </w:r>
      <w:r>
        <w:rPr>
          <w:kern w:val="0"/>
        </w:rPr>
        <w:t>2.0971μg/m</w:t>
      </w:r>
      <w:r>
        <w:rPr>
          <w:kern w:val="0"/>
          <w:vertAlign w:val="superscript"/>
        </w:rPr>
        <w:t>3</w:t>
      </w:r>
      <w:r>
        <w:rPr>
          <w:rFonts w:hint="eastAsia"/>
          <w:kern w:val="0"/>
        </w:rPr>
        <w:t>，占标率为</w:t>
      </w:r>
      <w:r>
        <w:rPr>
          <w:kern w:val="0"/>
        </w:rPr>
        <w:t>0.4660%</w:t>
      </w:r>
      <w:r>
        <w:rPr>
          <w:rFonts w:hint="eastAsia"/>
          <w:kern w:val="0"/>
        </w:rPr>
        <w:t>，最大落地浓度值出现在下风向</w:t>
      </w:r>
      <w:r>
        <w:rPr>
          <w:kern w:val="0"/>
        </w:rPr>
        <w:t xml:space="preserve">153m </w:t>
      </w:r>
      <w:r>
        <w:rPr>
          <w:rFonts w:hint="eastAsia"/>
          <w:kern w:val="0"/>
        </w:rPr>
        <w:t>处；微粉</w:t>
      </w:r>
      <w:r>
        <w:rPr>
          <w:kern w:val="0"/>
        </w:rPr>
        <w:t>粉尘排气筒</w:t>
      </w:r>
      <w:r>
        <w:rPr>
          <w:rFonts w:hint="eastAsia"/>
          <w:kern w:val="0"/>
        </w:rPr>
        <w:t>（P</w:t>
      </w:r>
      <w:r>
        <w:rPr>
          <w:kern w:val="0"/>
        </w:rPr>
        <w:t>2</w:t>
      </w:r>
      <w:r>
        <w:rPr>
          <w:rFonts w:hint="eastAsia"/>
          <w:kern w:val="0"/>
        </w:rPr>
        <w:t>、</w:t>
      </w:r>
      <w:r>
        <w:rPr>
          <w:kern w:val="0"/>
        </w:rPr>
        <w:t>P3</w:t>
      </w:r>
      <w:r>
        <w:rPr>
          <w:rFonts w:hint="eastAsia"/>
          <w:kern w:val="0"/>
        </w:rPr>
        <w:t>）颗粒物的最大落地浓度为</w:t>
      </w:r>
      <w:r>
        <w:rPr>
          <w:kern w:val="0"/>
        </w:rPr>
        <w:t>1.3527μg/m</w:t>
      </w:r>
      <w:r>
        <w:rPr>
          <w:kern w:val="0"/>
          <w:vertAlign w:val="superscript"/>
        </w:rPr>
        <w:t>3</w:t>
      </w:r>
      <w:r>
        <w:rPr>
          <w:rFonts w:hint="eastAsia"/>
          <w:kern w:val="0"/>
        </w:rPr>
        <w:t>，占标率为</w:t>
      </w:r>
      <w:r>
        <w:rPr>
          <w:kern w:val="0"/>
        </w:rPr>
        <w:t>0.3006%</w:t>
      </w:r>
      <w:r>
        <w:rPr>
          <w:rFonts w:hint="eastAsia"/>
          <w:kern w:val="0"/>
        </w:rPr>
        <w:t>，最大落地浓度值出现在下风向</w:t>
      </w:r>
      <w:r>
        <w:rPr>
          <w:kern w:val="0"/>
        </w:rPr>
        <w:t xml:space="preserve">126m </w:t>
      </w:r>
      <w:r>
        <w:rPr>
          <w:rFonts w:hint="eastAsia"/>
          <w:kern w:val="0"/>
        </w:rPr>
        <w:t>处；</w:t>
      </w:r>
    </w:p>
    <w:p>
      <w:pPr>
        <w:ind w:firstLine="480"/>
        <w:rPr>
          <w:kern w:val="0"/>
          <w:highlight w:val="yellow"/>
        </w:rPr>
      </w:pPr>
      <w:r>
        <w:rPr>
          <w:rFonts w:hint="eastAsia"/>
          <w:kern w:val="0"/>
        </w:rPr>
        <w:t>由</w:t>
      </w:r>
      <w:r>
        <w:rPr>
          <w:kern w:val="0"/>
        </w:rPr>
        <w:t>表</w:t>
      </w:r>
      <w:r>
        <w:rPr>
          <w:rFonts w:hint="eastAsia"/>
          <w:kern w:val="0"/>
        </w:rPr>
        <w:t>5.2-</w:t>
      </w:r>
      <w:r>
        <w:rPr>
          <w:kern w:val="0"/>
        </w:rPr>
        <w:t>5</w:t>
      </w:r>
      <w:r>
        <w:rPr>
          <w:rFonts w:hint="eastAsia"/>
          <w:kern w:val="0"/>
        </w:rPr>
        <w:t>可知</w:t>
      </w:r>
      <w:r>
        <w:rPr>
          <w:kern w:val="0"/>
        </w:rPr>
        <w:t>，</w:t>
      </w:r>
      <w:r>
        <w:rPr>
          <w:rFonts w:hint="eastAsia"/>
          <w:kern w:val="0"/>
        </w:rPr>
        <w:t>甲醇回收</w:t>
      </w:r>
      <w:r>
        <w:rPr>
          <w:kern w:val="0"/>
        </w:rPr>
        <w:t>排气筒</w:t>
      </w:r>
      <w:r>
        <w:rPr>
          <w:rFonts w:hint="eastAsia"/>
          <w:kern w:val="0"/>
        </w:rPr>
        <w:t>（P5）排放甲醇的最大落地浓度为</w:t>
      </w:r>
      <w:r>
        <w:rPr>
          <w:kern w:val="0"/>
        </w:rPr>
        <w:t>13.8630μg/m</w:t>
      </w:r>
      <w:r>
        <w:rPr>
          <w:kern w:val="0"/>
          <w:vertAlign w:val="superscript"/>
        </w:rPr>
        <w:t>3</w:t>
      </w:r>
      <w:r>
        <w:rPr>
          <w:rFonts w:hint="eastAsia"/>
          <w:kern w:val="0"/>
        </w:rPr>
        <w:t>，占标率为</w:t>
      </w:r>
      <w:r>
        <w:rPr>
          <w:kern w:val="0"/>
        </w:rPr>
        <w:t>0.4621%</w:t>
      </w:r>
      <w:r>
        <w:rPr>
          <w:rFonts w:hint="eastAsia"/>
          <w:kern w:val="0"/>
        </w:rPr>
        <w:t>，最大落地浓度值出现在下风向</w:t>
      </w:r>
      <w:r>
        <w:rPr>
          <w:kern w:val="0"/>
        </w:rPr>
        <w:t xml:space="preserve">249m </w:t>
      </w:r>
      <w:r>
        <w:rPr>
          <w:rFonts w:hint="eastAsia"/>
          <w:kern w:val="0"/>
        </w:rPr>
        <w:t>处；天然气锅炉</w:t>
      </w:r>
      <w:r>
        <w:rPr>
          <w:kern w:val="0"/>
        </w:rPr>
        <w:t>排气筒</w:t>
      </w:r>
      <w:r>
        <w:rPr>
          <w:rFonts w:hint="eastAsia"/>
          <w:kern w:val="0"/>
        </w:rPr>
        <w:t>（P</w:t>
      </w:r>
      <w:r>
        <w:rPr>
          <w:kern w:val="0"/>
        </w:rPr>
        <w:t>6</w:t>
      </w:r>
      <w:r>
        <w:rPr>
          <w:rFonts w:hint="eastAsia"/>
          <w:kern w:val="0"/>
        </w:rPr>
        <w:t>）排放</w:t>
      </w:r>
      <w:r>
        <w:rPr>
          <w:kern w:val="0"/>
        </w:rPr>
        <w:t>的</w:t>
      </w:r>
      <w:r>
        <w:rPr>
          <w:rFonts w:hint="eastAsia"/>
          <w:kern w:val="0"/>
        </w:rPr>
        <w:t>颗粒物、</w:t>
      </w:r>
      <w:r>
        <w:rPr>
          <w:kern w:val="0"/>
        </w:rPr>
        <w:t>SO</w:t>
      </w:r>
      <w:r>
        <w:rPr>
          <w:kern w:val="0"/>
          <w:vertAlign w:val="subscript"/>
        </w:rPr>
        <w:t>2</w:t>
      </w:r>
      <w:r>
        <w:rPr>
          <w:kern w:val="0"/>
        </w:rPr>
        <w:t>、NO</w:t>
      </w:r>
      <w:r>
        <w:rPr>
          <w:kern w:val="0"/>
          <w:vertAlign w:val="subscript"/>
        </w:rPr>
        <w:t>X</w:t>
      </w:r>
      <w:r>
        <w:rPr>
          <w:rFonts w:hint="eastAsia"/>
          <w:kern w:val="0"/>
        </w:rPr>
        <w:t>的最大落地浓度分别为</w:t>
      </w:r>
      <w:r>
        <w:rPr>
          <w:kern w:val="0"/>
        </w:rPr>
        <w:t>30.9700μg/m</w:t>
      </w:r>
      <w:r>
        <w:rPr>
          <w:kern w:val="0"/>
          <w:vertAlign w:val="superscript"/>
        </w:rPr>
        <w:t>3</w:t>
      </w:r>
      <w:r>
        <w:rPr>
          <w:rFonts w:hint="eastAsia"/>
          <w:kern w:val="0"/>
        </w:rPr>
        <w:t>、25.8083</w:t>
      </w:r>
      <w:r>
        <w:rPr>
          <w:kern w:val="0"/>
        </w:rPr>
        <w:t>μg/m</w:t>
      </w:r>
      <w:r>
        <w:rPr>
          <w:kern w:val="0"/>
          <w:vertAlign w:val="superscript"/>
        </w:rPr>
        <w:t>3</w:t>
      </w:r>
      <w:r>
        <w:rPr>
          <w:rFonts w:hint="eastAsia"/>
          <w:kern w:val="0"/>
        </w:rPr>
        <w:t>、24.0878</w:t>
      </w:r>
      <w:r>
        <w:rPr>
          <w:kern w:val="0"/>
        </w:rPr>
        <w:t>μg/m</w:t>
      </w:r>
      <w:r>
        <w:rPr>
          <w:kern w:val="0"/>
          <w:vertAlign w:val="superscript"/>
        </w:rPr>
        <w:t>3</w:t>
      </w:r>
      <w:r>
        <w:rPr>
          <w:rFonts w:hint="eastAsia"/>
          <w:kern w:val="0"/>
        </w:rPr>
        <w:t>，占标率分别为</w:t>
      </w:r>
      <w:r>
        <w:rPr>
          <w:kern w:val="0"/>
        </w:rPr>
        <w:t>6.8822%</w:t>
      </w:r>
      <w:r>
        <w:rPr>
          <w:rFonts w:hint="eastAsia"/>
          <w:kern w:val="0"/>
        </w:rPr>
        <w:t>、5.1617</w:t>
      </w:r>
      <w:r>
        <w:rPr>
          <w:kern w:val="0"/>
        </w:rPr>
        <w:t>%</w:t>
      </w:r>
      <w:r>
        <w:rPr>
          <w:rFonts w:hint="eastAsia"/>
          <w:kern w:val="0"/>
        </w:rPr>
        <w:t>、9.6351</w:t>
      </w:r>
      <w:r>
        <w:rPr>
          <w:kern w:val="0"/>
        </w:rPr>
        <w:t>%</w:t>
      </w:r>
      <w:r>
        <w:rPr>
          <w:rFonts w:hint="eastAsia"/>
          <w:kern w:val="0"/>
        </w:rPr>
        <w:t>，最大落地浓度值出现在下风向</w:t>
      </w:r>
      <w:r>
        <w:rPr>
          <w:kern w:val="0"/>
        </w:rPr>
        <w:t xml:space="preserve">249m </w:t>
      </w:r>
      <w:r>
        <w:rPr>
          <w:rFonts w:hint="eastAsia"/>
          <w:kern w:val="0"/>
        </w:rPr>
        <w:t>处；</w:t>
      </w:r>
    </w:p>
    <w:p>
      <w:pPr>
        <w:ind w:firstLine="480"/>
        <w:rPr>
          <w:kern w:val="0"/>
        </w:rPr>
      </w:pPr>
      <w:r>
        <w:rPr>
          <w:rFonts w:hint="eastAsia"/>
          <w:kern w:val="0"/>
        </w:rPr>
        <w:t>由</w:t>
      </w:r>
      <w:r>
        <w:rPr>
          <w:kern w:val="0"/>
        </w:rPr>
        <w:t>表</w:t>
      </w:r>
      <w:r>
        <w:rPr>
          <w:rFonts w:hint="eastAsia"/>
          <w:kern w:val="0"/>
        </w:rPr>
        <w:t>5.2-6可知</w:t>
      </w:r>
      <w:r>
        <w:rPr>
          <w:kern w:val="0"/>
        </w:rPr>
        <w:t>，</w:t>
      </w:r>
      <w:r>
        <w:rPr>
          <w:rFonts w:hint="eastAsia"/>
          <w:kern w:val="0"/>
        </w:rPr>
        <w:t>项目</w:t>
      </w:r>
      <w:r>
        <w:rPr>
          <w:kern w:val="0"/>
        </w:rPr>
        <w:t>面源地埋式储罐区A1甲醇和非甲烷</w:t>
      </w:r>
      <w:r>
        <w:rPr>
          <w:rFonts w:hint="eastAsia"/>
          <w:kern w:val="0"/>
        </w:rPr>
        <w:t>总烃</w:t>
      </w:r>
      <w:r>
        <w:rPr>
          <w:kern w:val="0"/>
        </w:rPr>
        <w:t>的</w:t>
      </w:r>
      <w:bookmarkStart w:id="279" w:name="_GoBack"/>
      <w:bookmarkEnd w:id="279"/>
      <w:r>
        <w:rPr>
          <w:rFonts w:hint="eastAsia"/>
          <w:kern w:val="0"/>
        </w:rPr>
        <w:t>最大落地浓度分别为</w:t>
      </w:r>
      <w:r>
        <w:rPr>
          <w:kern w:val="0"/>
        </w:rPr>
        <w:t>0.8240μg/m</w:t>
      </w:r>
      <w:r>
        <w:rPr>
          <w:kern w:val="0"/>
          <w:vertAlign w:val="superscript"/>
        </w:rPr>
        <w:t>3</w:t>
      </w:r>
      <w:r>
        <w:rPr>
          <w:kern w:val="0"/>
        </w:rPr>
        <w:t>、1.6481μg/m</w:t>
      </w:r>
      <w:r>
        <w:rPr>
          <w:kern w:val="0"/>
          <w:vertAlign w:val="superscript"/>
        </w:rPr>
        <w:t>3</w:t>
      </w:r>
      <w:r>
        <w:rPr>
          <w:rFonts w:hint="eastAsia"/>
          <w:kern w:val="0"/>
        </w:rPr>
        <w:t>，占标率分别为</w:t>
      </w:r>
      <w:r>
        <w:rPr>
          <w:kern w:val="0"/>
        </w:rPr>
        <w:t>0.0275%</w:t>
      </w:r>
      <w:r>
        <w:rPr>
          <w:rFonts w:hint="eastAsia"/>
          <w:kern w:val="0"/>
        </w:rPr>
        <w:t>、</w:t>
      </w:r>
      <w:r>
        <w:rPr>
          <w:kern w:val="0"/>
        </w:rPr>
        <w:t>0.0824%</w:t>
      </w:r>
      <w:r>
        <w:rPr>
          <w:rFonts w:hint="eastAsia"/>
          <w:kern w:val="0"/>
        </w:rPr>
        <w:t>，最大落地浓度值出现在下风向</w:t>
      </w:r>
      <w:r>
        <w:rPr>
          <w:kern w:val="0"/>
        </w:rPr>
        <w:t xml:space="preserve">13m </w:t>
      </w:r>
      <w:r>
        <w:rPr>
          <w:rFonts w:hint="eastAsia"/>
          <w:kern w:val="0"/>
        </w:rPr>
        <w:t>处。</w:t>
      </w:r>
    </w:p>
    <w:p>
      <w:pPr>
        <w:ind w:firstLine="480"/>
        <w:rPr>
          <w:kern w:val="0"/>
        </w:rPr>
      </w:pPr>
      <w:r>
        <w:rPr>
          <w:kern w:val="0"/>
        </w:rPr>
        <w:t>由表5.2-4~表5.2-6，本项目Pmax 最大值</w:t>
      </w:r>
      <w:r>
        <w:rPr>
          <w:rFonts w:hint="eastAsia"/>
          <w:kern w:val="0"/>
        </w:rPr>
        <w:t>为P6</w:t>
      </w:r>
      <w:r>
        <w:rPr>
          <w:kern w:val="0"/>
        </w:rPr>
        <w:t>天然气锅炉排放的NOx</w:t>
      </w:r>
      <w:r>
        <w:rPr>
          <w:rFonts w:hint="eastAsia"/>
          <w:kern w:val="0"/>
        </w:rPr>
        <w:t>，Pmax=9.</w:t>
      </w:r>
      <w:r>
        <w:rPr>
          <w:kern w:val="0"/>
        </w:rPr>
        <w:t>6351</w:t>
      </w:r>
      <w:r>
        <w:rPr>
          <w:rFonts w:hint="eastAsia"/>
          <w:kern w:val="0"/>
        </w:rPr>
        <w:t>%&lt;10%，</w:t>
      </w:r>
      <w:r>
        <w:rPr>
          <w:kern w:val="0"/>
        </w:rPr>
        <w:t>根据《环境影响评价技术导则大气环境》（HJ2.2-2018）分级判据，确定项目大气环境影响评价等级为二级。二级评价项目不进行进一步预测与评价，只对污染物排放量进行核算。污染物排放量核算情况见下表5.2-7~表5.2-9</w:t>
      </w:r>
      <w:r>
        <w:rPr>
          <w:rFonts w:hint="eastAsia"/>
          <w:kern w:val="0"/>
        </w:rPr>
        <w:t>。</w:t>
      </w:r>
    </w:p>
    <w:p>
      <w:pPr>
        <w:ind w:firstLine="480"/>
        <w:rPr>
          <w:kern w:val="0"/>
          <w:highlight w:val="yellow"/>
        </w:rPr>
      </w:pPr>
    </w:p>
    <w:p>
      <w:pPr>
        <w:ind w:firstLine="480"/>
        <w:rPr>
          <w:kern w:val="0"/>
          <w:highlight w:val="yellow"/>
        </w:rPr>
      </w:pPr>
    </w:p>
    <w:p>
      <w:pPr>
        <w:ind w:firstLine="480"/>
        <w:rPr>
          <w:kern w:val="0"/>
          <w:highlight w:val="yellow"/>
        </w:rPr>
      </w:pPr>
    </w:p>
    <w:p>
      <w:pPr>
        <w:ind w:firstLine="480"/>
        <w:rPr>
          <w:kern w:val="0"/>
          <w:highlight w:val="yellow"/>
        </w:rPr>
        <w:sectPr>
          <w:headerReference r:id="rId48" w:type="default"/>
          <w:headerReference r:id="rId49" w:type="even"/>
          <w:pgSz w:w="11906" w:h="16838"/>
          <w:pgMar w:top="1440" w:right="1418" w:bottom="1440" w:left="1418" w:header="992" w:footer="992" w:gutter="0"/>
          <w:pgNumType w:fmt="numberInDash"/>
          <w:cols w:space="425" w:num="1"/>
          <w:docGrid w:type="lines" w:linePitch="326" w:charSpace="0"/>
        </w:sectPr>
      </w:pPr>
    </w:p>
    <w:p>
      <w:pPr>
        <w:spacing w:line="240" w:lineRule="auto"/>
        <w:ind w:firstLine="0" w:firstLineChars="0"/>
        <w:jc w:val="center"/>
        <w:rPr>
          <w:b/>
          <w:sz w:val="20"/>
          <w:szCs w:val="20"/>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5.2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4</w:t>
      </w:r>
      <w:r>
        <w:rPr>
          <w:b/>
          <w:sz w:val="21"/>
          <w:szCs w:val="24"/>
        </w:rPr>
        <w:fldChar w:fldCharType="end"/>
      </w:r>
      <w:r>
        <w:rPr>
          <w:b/>
          <w:sz w:val="21"/>
          <w:szCs w:val="21"/>
        </w:rPr>
        <w:t xml:space="preserve">  正常情况下</w:t>
      </w:r>
      <w:r>
        <w:rPr>
          <w:rFonts w:hint="eastAsia"/>
          <w:b/>
          <w:sz w:val="21"/>
          <w:szCs w:val="21"/>
        </w:rPr>
        <w:t>点源</w:t>
      </w:r>
      <w:r>
        <w:rPr>
          <w:b/>
          <w:sz w:val="21"/>
          <w:szCs w:val="21"/>
        </w:rPr>
        <w:t>P1</w:t>
      </w:r>
      <w:r>
        <w:rPr>
          <w:rFonts w:hint="eastAsia"/>
          <w:b/>
          <w:sz w:val="21"/>
          <w:szCs w:val="21"/>
        </w:rPr>
        <w:t>、</w:t>
      </w:r>
      <w:r>
        <w:rPr>
          <w:b/>
          <w:sz w:val="21"/>
          <w:szCs w:val="21"/>
        </w:rPr>
        <w:t>P2</w:t>
      </w:r>
      <w:r>
        <w:rPr>
          <w:rFonts w:hint="eastAsia"/>
          <w:b/>
          <w:sz w:val="21"/>
          <w:szCs w:val="21"/>
        </w:rPr>
        <w:t>、</w:t>
      </w:r>
      <w:r>
        <w:rPr>
          <w:b/>
          <w:sz w:val="21"/>
          <w:szCs w:val="21"/>
        </w:rPr>
        <w:t>P3、P4排放预测结果</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822"/>
        <w:gridCol w:w="1903"/>
        <w:gridCol w:w="2090"/>
        <w:gridCol w:w="2079"/>
        <w:gridCol w:w="1914"/>
        <w:gridCol w:w="2146"/>
        <w:gridCol w:w="2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822" w:type="dxa"/>
            <w:vMerge w:val="restart"/>
            <w:vAlign w:val="center"/>
          </w:tcPr>
          <w:p>
            <w:pPr>
              <w:pStyle w:val="97"/>
            </w:pPr>
            <w:r>
              <w:t>距源中心下风向距离（m）</w:t>
            </w:r>
          </w:p>
        </w:tc>
        <w:tc>
          <w:tcPr>
            <w:tcW w:w="3993" w:type="dxa"/>
            <w:gridSpan w:val="2"/>
            <w:vAlign w:val="center"/>
          </w:tcPr>
          <w:p>
            <w:pPr>
              <w:pStyle w:val="97"/>
            </w:pPr>
            <w:r>
              <w:rPr>
                <w:rFonts w:hint="eastAsia"/>
              </w:rPr>
              <w:t>初清</w:t>
            </w:r>
          </w:p>
        </w:tc>
        <w:tc>
          <w:tcPr>
            <w:tcW w:w="3993" w:type="dxa"/>
            <w:gridSpan w:val="2"/>
            <w:vAlign w:val="center"/>
          </w:tcPr>
          <w:p>
            <w:pPr>
              <w:pStyle w:val="97"/>
            </w:pPr>
            <w:r>
              <w:rPr>
                <w:rFonts w:hint="eastAsia"/>
              </w:rPr>
              <w:t>粗粉</w:t>
            </w:r>
          </w:p>
        </w:tc>
        <w:tc>
          <w:tcPr>
            <w:tcW w:w="4164" w:type="dxa"/>
            <w:gridSpan w:val="2"/>
            <w:vAlign w:val="center"/>
          </w:tcPr>
          <w:p>
            <w:pPr>
              <w:pStyle w:val="97"/>
            </w:pPr>
            <w:r>
              <w:rPr>
                <w:rFonts w:hint="eastAsia"/>
              </w:rPr>
              <w:t>微粉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822" w:type="dxa"/>
            <w:vMerge w:val="continue"/>
            <w:vAlign w:val="center"/>
          </w:tcPr>
          <w:p>
            <w:pPr>
              <w:pStyle w:val="97"/>
            </w:pPr>
          </w:p>
        </w:tc>
        <w:tc>
          <w:tcPr>
            <w:tcW w:w="3993" w:type="dxa"/>
            <w:gridSpan w:val="2"/>
            <w:vAlign w:val="center"/>
          </w:tcPr>
          <w:p>
            <w:pPr>
              <w:pStyle w:val="97"/>
            </w:pPr>
            <w:r>
              <w:t xml:space="preserve">P1  </w:t>
            </w:r>
            <w:r>
              <w:rPr>
                <w:rFonts w:hint="eastAsia"/>
              </w:rPr>
              <w:t>颗粒物</w:t>
            </w:r>
          </w:p>
        </w:tc>
        <w:tc>
          <w:tcPr>
            <w:tcW w:w="3993" w:type="dxa"/>
            <w:gridSpan w:val="2"/>
            <w:vAlign w:val="center"/>
          </w:tcPr>
          <w:p>
            <w:pPr>
              <w:pStyle w:val="97"/>
            </w:pPr>
            <w:r>
              <w:t xml:space="preserve">P2  </w:t>
            </w:r>
            <w:r>
              <w:rPr>
                <w:rFonts w:hint="eastAsia"/>
              </w:rPr>
              <w:t>颗粒物</w:t>
            </w:r>
            <w:r>
              <w:t xml:space="preserve">  </w:t>
            </w:r>
          </w:p>
        </w:tc>
        <w:tc>
          <w:tcPr>
            <w:tcW w:w="4164" w:type="dxa"/>
            <w:gridSpan w:val="2"/>
            <w:vAlign w:val="center"/>
          </w:tcPr>
          <w:p>
            <w:pPr>
              <w:pStyle w:val="97"/>
            </w:pPr>
            <w:r>
              <w:t xml:space="preserve">P3/P4  </w:t>
            </w:r>
            <w:r>
              <w:rPr>
                <w:rFonts w:hint="eastAsia"/>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822" w:type="dxa"/>
            <w:vMerge w:val="continue"/>
            <w:vAlign w:val="center"/>
          </w:tcPr>
          <w:p>
            <w:pPr>
              <w:pStyle w:val="97"/>
            </w:pPr>
          </w:p>
        </w:tc>
        <w:tc>
          <w:tcPr>
            <w:tcW w:w="1903" w:type="dxa"/>
            <w:vAlign w:val="center"/>
          </w:tcPr>
          <w:p>
            <w:pPr>
              <w:pStyle w:val="97"/>
            </w:pPr>
            <w:r>
              <w:t>下风向预测浓度</w:t>
            </w:r>
          </w:p>
          <w:p>
            <w:pPr>
              <w:pStyle w:val="97"/>
            </w:pPr>
            <w:r>
              <w:t>C (μg/m</w:t>
            </w:r>
            <w:r>
              <w:rPr>
                <w:vertAlign w:val="superscript"/>
              </w:rPr>
              <w:t>3</w:t>
            </w:r>
            <w:r>
              <w:t>)</w:t>
            </w:r>
          </w:p>
        </w:tc>
        <w:tc>
          <w:tcPr>
            <w:tcW w:w="2090" w:type="dxa"/>
            <w:vAlign w:val="center"/>
          </w:tcPr>
          <w:p>
            <w:pPr>
              <w:pStyle w:val="97"/>
            </w:pPr>
            <w:r>
              <w:t>浓度占标率</w:t>
            </w:r>
          </w:p>
          <w:p>
            <w:pPr>
              <w:pStyle w:val="97"/>
            </w:pPr>
            <w:r>
              <w:t>P (%)</w:t>
            </w:r>
          </w:p>
        </w:tc>
        <w:tc>
          <w:tcPr>
            <w:tcW w:w="2079" w:type="dxa"/>
            <w:vAlign w:val="center"/>
          </w:tcPr>
          <w:p>
            <w:pPr>
              <w:pStyle w:val="97"/>
            </w:pPr>
            <w:r>
              <w:t>下风向预测浓度</w:t>
            </w:r>
          </w:p>
          <w:p>
            <w:pPr>
              <w:pStyle w:val="97"/>
            </w:pPr>
            <w:r>
              <w:t>C (μg/m</w:t>
            </w:r>
            <w:r>
              <w:rPr>
                <w:vertAlign w:val="superscript"/>
              </w:rPr>
              <w:t>3</w:t>
            </w:r>
            <w:r>
              <w:t>)</w:t>
            </w:r>
          </w:p>
        </w:tc>
        <w:tc>
          <w:tcPr>
            <w:tcW w:w="1914" w:type="dxa"/>
            <w:vAlign w:val="center"/>
          </w:tcPr>
          <w:p>
            <w:pPr>
              <w:pStyle w:val="97"/>
            </w:pPr>
            <w:r>
              <w:t>浓度占标率</w:t>
            </w:r>
          </w:p>
          <w:p>
            <w:pPr>
              <w:pStyle w:val="97"/>
            </w:pPr>
            <w:r>
              <w:t>P (%)</w:t>
            </w:r>
          </w:p>
        </w:tc>
        <w:tc>
          <w:tcPr>
            <w:tcW w:w="2146" w:type="dxa"/>
            <w:vAlign w:val="center"/>
          </w:tcPr>
          <w:p>
            <w:pPr>
              <w:pStyle w:val="97"/>
            </w:pPr>
            <w:r>
              <w:t>下风向预测浓度</w:t>
            </w:r>
          </w:p>
          <w:p>
            <w:pPr>
              <w:pStyle w:val="97"/>
            </w:pPr>
            <w:r>
              <w:t>C (μg/m</w:t>
            </w:r>
            <w:r>
              <w:rPr>
                <w:vertAlign w:val="superscript"/>
              </w:rPr>
              <w:t>3</w:t>
            </w:r>
            <w:r>
              <w:t>)</w:t>
            </w:r>
          </w:p>
        </w:tc>
        <w:tc>
          <w:tcPr>
            <w:tcW w:w="2018" w:type="dxa"/>
            <w:vAlign w:val="center"/>
          </w:tcPr>
          <w:p>
            <w:pPr>
              <w:pStyle w:val="97"/>
            </w:pPr>
            <w:r>
              <w:t>浓度占标率</w:t>
            </w:r>
          </w:p>
          <w:p>
            <w:pPr>
              <w:pStyle w:val="97"/>
            </w:pPr>
            <w:r>
              <w:t>P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50</w:t>
            </w:r>
          </w:p>
        </w:tc>
        <w:tc>
          <w:tcPr>
            <w:tcW w:w="1903" w:type="dxa"/>
            <w:vAlign w:val="center"/>
          </w:tcPr>
          <w:p>
            <w:pPr>
              <w:pStyle w:val="97"/>
            </w:pPr>
            <w:r>
              <w:t>0.1005</w:t>
            </w:r>
          </w:p>
        </w:tc>
        <w:tc>
          <w:tcPr>
            <w:tcW w:w="2090" w:type="dxa"/>
            <w:vAlign w:val="center"/>
          </w:tcPr>
          <w:p>
            <w:pPr>
              <w:pStyle w:val="97"/>
            </w:pPr>
            <w:r>
              <w:t>0.0223</w:t>
            </w:r>
          </w:p>
        </w:tc>
        <w:tc>
          <w:tcPr>
            <w:tcW w:w="2079" w:type="dxa"/>
            <w:vAlign w:val="center"/>
          </w:tcPr>
          <w:p>
            <w:pPr>
              <w:pStyle w:val="97"/>
            </w:pPr>
            <w:r>
              <w:t>0.1005</w:t>
            </w:r>
          </w:p>
        </w:tc>
        <w:tc>
          <w:tcPr>
            <w:tcW w:w="1914" w:type="dxa"/>
            <w:vAlign w:val="center"/>
          </w:tcPr>
          <w:p>
            <w:pPr>
              <w:pStyle w:val="97"/>
            </w:pPr>
            <w:r>
              <w:t>0.0223</w:t>
            </w:r>
          </w:p>
        </w:tc>
        <w:tc>
          <w:tcPr>
            <w:tcW w:w="2146" w:type="dxa"/>
            <w:vAlign w:val="center"/>
          </w:tcPr>
          <w:p>
            <w:pPr>
              <w:pStyle w:val="97"/>
            </w:pPr>
            <w:r>
              <w:t>0.0491</w:t>
            </w:r>
          </w:p>
        </w:tc>
        <w:tc>
          <w:tcPr>
            <w:tcW w:w="2018" w:type="dxa"/>
            <w:vAlign w:val="center"/>
          </w:tcPr>
          <w:p>
            <w:pPr>
              <w:pStyle w:val="97"/>
            </w:pPr>
            <w:r>
              <w:t>0.0109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100</w:t>
            </w:r>
          </w:p>
        </w:tc>
        <w:tc>
          <w:tcPr>
            <w:tcW w:w="1903" w:type="dxa"/>
            <w:vAlign w:val="center"/>
          </w:tcPr>
          <w:p>
            <w:pPr>
              <w:pStyle w:val="97"/>
            </w:pPr>
            <w:r>
              <w:t>0.1491</w:t>
            </w:r>
          </w:p>
        </w:tc>
        <w:tc>
          <w:tcPr>
            <w:tcW w:w="2090" w:type="dxa"/>
            <w:vAlign w:val="center"/>
          </w:tcPr>
          <w:p>
            <w:pPr>
              <w:pStyle w:val="97"/>
            </w:pPr>
            <w:r>
              <w:t>0.0331</w:t>
            </w:r>
          </w:p>
        </w:tc>
        <w:tc>
          <w:tcPr>
            <w:tcW w:w="2079" w:type="dxa"/>
            <w:vAlign w:val="center"/>
          </w:tcPr>
          <w:p>
            <w:pPr>
              <w:pStyle w:val="97"/>
            </w:pPr>
            <w:r>
              <w:t>0.1491</w:t>
            </w:r>
          </w:p>
        </w:tc>
        <w:tc>
          <w:tcPr>
            <w:tcW w:w="1914" w:type="dxa"/>
            <w:vAlign w:val="center"/>
          </w:tcPr>
          <w:p>
            <w:pPr>
              <w:pStyle w:val="97"/>
            </w:pPr>
            <w:r>
              <w:t>0.0331</w:t>
            </w:r>
          </w:p>
        </w:tc>
        <w:tc>
          <w:tcPr>
            <w:tcW w:w="2146" w:type="dxa"/>
            <w:vAlign w:val="center"/>
          </w:tcPr>
          <w:p>
            <w:pPr>
              <w:pStyle w:val="97"/>
            </w:pPr>
            <w:r>
              <w:t>0.0688</w:t>
            </w:r>
          </w:p>
        </w:tc>
        <w:tc>
          <w:tcPr>
            <w:tcW w:w="2018" w:type="dxa"/>
            <w:vAlign w:val="center"/>
          </w:tcPr>
          <w:p>
            <w:pPr>
              <w:pStyle w:val="97"/>
            </w:pPr>
            <w:r>
              <w:t>0.0153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200</w:t>
            </w:r>
          </w:p>
        </w:tc>
        <w:tc>
          <w:tcPr>
            <w:tcW w:w="1903" w:type="dxa"/>
            <w:vAlign w:val="center"/>
          </w:tcPr>
          <w:p>
            <w:pPr>
              <w:pStyle w:val="97"/>
            </w:pPr>
            <w:r>
              <w:t>1.4569</w:t>
            </w:r>
          </w:p>
        </w:tc>
        <w:tc>
          <w:tcPr>
            <w:tcW w:w="2090" w:type="dxa"/>
            <w:vAlign w:val="center"/>
          </w:tcPr>
          <w:p>
            <w:pPr>
              <w:pStyle w:val="97"/>
            </w:pPr>
            <w:r>
              <w:t>0.3238</w:t>
            </w:r>
          </w:p>
        </w:tc>
        <w:tc>
          <w:tcPr>
            <w:tcW w:w="2079" w:type="dxa"/>
            <w:vAlign w:val="center"/>
          </w:tcPr>
          <w:p>
            <w:pPr>
              <w:pStyle w:val="97"/>
            </w:pPr>
            <w:r>
              <w:t>1.4569</w:t>
            </w:r>
          </w:p>
        </w:tc>
        <w:tc>
          <w:tcPr>
            <w:tcW w:w="1914" w:type="dxa"/>
            <w:vAlign w:val="center"/>
          </w:tcPr>
          <w:p>
            <w:pPr>
              <w:pStyle w:val="97"/>
            </w:pPr>
            <w:r>
              <w:t>0.3238</w:t>
            </w:r>
          </w:p>
        </w:tc>
        <w:tc>
          <w:tcPr>
            <w:tcW w:w="2146" w:type="dxa"/>
            <w:vAlign w:val="center"/>
          </w:tcPr>
          <w:p>
            <w:pPr>
              <w:pStyle w:val="97"/>
            </w:pPr>
            <w:r>
              <w:t>0.7347</w:t>
            </w:r>
          </w:p>
        </w:tc>
        <w:tc>
          <w:tcPr>
            <w:tcW w:w="2018" w:type="dxa"/>
            <w:vAlign w:val="center"/>
          </w:tcPr>
          <w:p>
            <w:pPr>
              <w:pStyle w:val="97"/>
            </w:pPr>
            <w:r>
              <w:t>0.1633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300</w:t>
            </w:r>
          </w:p>
        </w:tc>
        <w:tc>
          <w:tcPr>
            <w:tcW w:w="1903" w:type="dxa"/>
            <w:vAlign w:val="center"/>
          </w:tcPr>
          <w:p>
            <w:pPr>
              <w:pStyle w:val="97"/>
            </w:pPr>
            <w:r>
              <w:t>0.8444</w:t>
            </w:r>
          </w:p>
        </w:tc>
        <w:tc>
          <w:tcPr>
            <w:tcW w:w="2090" w:type="dxa"/>
            <w:vAlign w:val="center"/>
          </w:tcPr>
          <w:p>
            <w:pPr>
              <w:pStyle w:val="97"/>
            </w:pPr>
            <w:r>
              <w:t>0.1876</w:t>
            </w:r>
          </w:p>
        </w:tc>
        <w:tc>
          <w:tcPr>
            <w:tcW w:w="2079" w:type="dxa"/>
            <w:vAlign w:val="center"/>
          </w:tcPr>
          <w:p>
            <w:pPr>
              <w:pStyle w:val="97"/>
            </w:pPr>
            <w:r>
              <w:t>0.8444</w:t>
            </w:r>
          </w:p>
        </w:tc>
        <w:tc>
          <w:tcPr>
            <w:tcW w:w="1914" w:type="dxa"/>
            <w:vAlign w:val="center"/>
          </w:tcPr>
          <w:p>
            <w:pPr>
              <w:pStyle w:val="97"/>
            </w:pPr>
            <w:r>
              <w:t>0.1876</w:t>
            </w:r>
          </w:p>
        </w:tc>
        <w:tc>
          <w:tcPr>
            <w:tcW w:w="2146" w:type="dxa"/>
            <w:vAlign w:val="center"/>
          </w:tcPr>
          <w:p>
            <w:pPr>
              <w:pStyle w:val="97"/>
            </w:pPr>
            <w:r>
              <w:t>0.4181</w:t>
            </w:r>
          </w:p>
        </w:tc>
        <w:tc>
          <w:tcPr>
            <w:tcW w:w="2018" w:type="dxa"/>
            <w:vAlign w:val="center"/>
          </w:tcPr>
          <w:p>
            <w:pPr>
              <w:pStyle w:val="97"/>
            </w:pPr>
            <w:r>
              <w:t>0.0929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400</w:t>
            </w:r>
          </w:p>
        </w:tc>
        <w:tc>
          <w:tcPr>
            <w:tcW w:w="1903" w:type="dxa"/>
            <w:vAlign w:val="center"/>
          </w:tcPr>
          <w:p>
            <w:pPr>
              <w:pStyle w:val="97"/>
            </w:pPr>
            <w:r>
              <w:t>0.2426</w:t>
            </w:r>
          </w:p>
        </w:tc>
        <w:tc>
          <w:tcPr>
            <w:tcW w:w="2090" w:type="dxa"/>
            <w:vAlign w:val="center"/>
          </w:tcPr>
          <w:p>
            <w:pPr>
              <w:pStyle w:val="97"/>
            </w:pPr>
            <w:r>
              <w:t>0.0539</w:t>
            </w:r>
          </w:p>
        </w:tc>
        <w:tc>
          <w:tcPr>
            <w:tcW w:w="2079" w:type="dxa"/>
            <w:vAlign w:val="center"/>
          </w:tcPr>
          <w:p>
            <w:pPr>
              <w:pStyle w:val="97"/>
            </w:pPr>
            <w:r>
              <w:t>0.2426</w:t>
            </w:r>
          </w:p>
        </w:tc>
        <w:tc>
          <w:tcPr>
            <w:tcW w:w="1914" w:type="dxa"/>
            <w:vAlign w:val="center"/>
          </w:tcPr>
          <w:p>
            <w:pPr>
              <w:pStyle w:val="97"/>
            </w:pPr>
            <w:r>
              <w:t>0.0539</w:t>
            </w:r>
          </w:p>
        </w:tc>
        <w:tc>
          <w:tcPr>
            <w:tcW w:w="2146" w:type="dxa"/>
            <w:vAlign w:val="center"/>
          </w:tcPr>
          <w:p>
            <w:pPr>
              <w:pStyle w:val="97"/>
            </w:pPr>
            <w:r>
              <w:t>0.1736</w:t>
            </w:r>
          </w:p>
        </w:tc>
        <w:tc>
          <w:tcPr>
            <w:tcW w:w="2018" w:type="dxa"/>
            <w:vAlign w:val="center"/>
          </w:tcPr>
          <w:p>
            <w:pPr>
              <w:pStyle w:val="97"/>
            </w:pPr>
            <w:r>
              <w:t>0.0386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500</w:t>
            </w:r>
          </w:p>
        </w:tc>
        <w:tc>
          <w:tcPr>
            <w:tcW w:w="1903" w:type="dxa"/>
            <w:vAlign w:val="center"/>
          </w:tcPr>
          <w:p>
            <w:pPr>
              <w:pStyle w:val="97"/>
            </w:pPr>
            <w:r>
              <w:t>0.1998</w:t>
            </w:r>
          </w:p>
        </w:tc>
        <w:tc>
          <w:tcPr>
            <w:tcW w:w="2090" w:type="dxa"/>
            <w:vAlign w:val="center"/>
          </w:tcPr>
          <w:p>
            <w:pPr>
              <w:pStyle w:val="97"/>
            </w:pPr>
            <w:r>
              <w:t>0.0444</w:t>
            </w:r>
          </w:p>
        </w:tc>
        <w:tc>
          <w:tcPr>
            <w:tcW w:w="2079" w:type="dxa"/>
            <w:vAlign w:val="center"/>
          </w:tcPr>
          <w:p>
            <w:pPr>
              <w:pStyle w:val="97"/>
            </w:pPr>
            <w:r>
              <w:t>0.1998</w:t>
            </w:r>
          </w:p>
        </w:tc>
        <w:tc>
          <w:tcPr>
            <w:tcW w:w="1914" w:type="dxa"/>
            <w:vAlign w:val="center"/>
          </w:tcPr>
          <w:p>
            <w:pPr>
              <w:pStyle w:val="97"/>
            </w:pPr>
            <w:r>
              <w:t>0.0444</w:t>
            </w:r>
          </w:p>
        </w:tc>
        <w:tc>
          <w:tcPr>
            <w:tcW w:w="2146" w:type="dxa"/>
            <w:vAlign w:val="center"/>
          </w:tcPr>
          <w:p>
            <w:pPr>
              <w:pStyle w:val="97"/>
            </w:pPr>
            <w:r>
              <w:t>0.0807</w:t>
            </w:r>
          </w:p>
        </w:tc>
        <w:tc>
          <w:tcPr>
            <w:tcW w:w="2018" w:type="dxa"/>
            <w:vAlign w:val="center"/>
          </w:tcPr>
          <w:p>
            <w:pPr>
              <w:pStyle w:val="97"/>
            </w:pPr>
            <w:r>
              <w:t>0.0179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600</w:t>
            </w:r>
          </w:p>
        </w:tc>
        <w:tc>
          <w:tcPr>
            <w:tcW w:w="1903" w:type="dxa"/>
            <w:vAlign w:val="center"/>
          </w:tcPr>
          <w:p>
            <w:pPr>
              <w:pStyle w:val="97"/>
            </w:pPr>
            <w:r>
              <w:t>0.1459</w:t>
            </w:r>
          </w:p>
        </w:tc>
        <w:tc>
          <w:tcPr>
            <w:tcW w:w="2090" w:type="dxa"/>
            <w:vAlign w:val="center"/>
          </w:tcPr>
          <w:p>
            <w:pPr>
              <w:pStyle w:val="97"/>
            </w:pPr>
            <w:r>
              <w:t>0.0324</w:t>
            </w:r>
          </w:p>
        </w:tc>
        <w:tc>
          <w:tcPr>
            <w:tcW w:w="2079" w:type="dxa"/>
            <w:vAlign w:val="center"/>
          </w:tcPr>
          <w:p>
            <w:pPr>
              <w:pStyle w:val="97"/>
            </w:pPr>
            <w:r>
              <w:t>0.1459</w:t>
            </w:r>
          </w:p>
        </w:tc>
        <w:tc>
          <w:tcPr>
            <w:tcW w:w="1914" w:type="dxa"/>
            <w:vAlign w:val="center"/>
          </w:tcPr>
          <w:p>
            <w:pPr>
              <w:pStyle w:val="97"/>
            </w:pPr>
            <w:r>
              <w:t>0.0324</w:t>
            </w:r>
          </w:p>
        </w:tc>
        <w:tc>
          <w:tcPr>
            <w:tcW w:w="2146" w:type="dxa"/>
            <w:vAlign w:val="center"/>
          </w:tcPr>
          <w:p>
            <w:pPr>
              <w:pStyle w:val="97"/>
            </w:pPr>
            <w:r>
              <w:t>0.1155</w:t>
            </w:r>
          </w:p>
        </w:tc>
        <w:tc>
          <w:tcPr>
            <w:tcW w:w="2018" w:type="dxa"/>
            <w:vAlign w:val="center"/>
          </w:tcPr>
          <w:p>
            <w:pPr>
              <w:pStyle w:val="97"/>
            </w:pPr>
            <w:r>
              <w:t>0.0257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700</w:t>
            </w:r>
          </w:p>
        </w:tc>
        <w:tc>
          <w:tcPr>
            <w:tcW w:w="1903" w:type="dxa"/>
            <w:vAlign w:val="center"/>
          </w:tcPr>
          <w:p>
            <w:pPr>
              <w:pStyle w:val="97"/>
            </w:pPr>
            <w:r>
              <w:t>0.1070</w:t>
            </w:r>
          </w:p>
        </w:tc>
        <w:tc>
          <w:tcPr>
            <w:tcW w:w="2090" w:type="dxa"/>
            <w:vAlign w:val="center"/>
          </w:tcPr>
          <w:p>
            <w:pPr>
              <w:pStyle w:val="97"/>
            </w:pPr>
            <w:r>
              <w:t>0.0238</w:t>
            </w:r>
          </w:p>
        </w:tc>
        <w:tc>
          <w:tcPr>
            <w:tcW w:w="2079" w:type="dxa"/>
            <w:vAlign w:val="center"/>
          </w:tcPr>
          <w:p>
            <w:pPr>
              <w:pStyle w:val="97"/>
            </w:pPr>
            <w:r>
              <w:t>0.1070</w:t>
            </w:r>
          </w:p>
        </w:tc>
        <w:tc>
          <w:tcPr>
            <w:tcW w:w="1914" w:type="dxa"/>
            <w:vAlign w:val="center"/>
          </w:tcPr>
          <w:p>
            <w:pPr>
              <w:pStyle w:val="97"/>
            </w:pPr>
            <w:r>
              <w:t>0.0238</w:t>
            </w:r>
          </w:p>
        </w:tc>
        <w:tc>
          <w:tcPr>
            <w:tcW w:w="2146" w:type="dxa"/>
            <w:vAlign w:val="center"/>
          </w:tcPr>
          <w:p>
            <w:pPr>
              <w:pStyle w:val="97"/>
            </w:pPr>
            <w:r>
              <w:t>0.0751</w:t>
            </w:r>
          </w:p>
        </w:tc>
        <w:tc>
          <w:tcPr>
            <w:tcW w:w="2018" w:type="dxa"/>
            <w:vAlign w:val="center"/>
          </w:tcPr>
          <w:p>
            <w:pPr>
              <w:pStyle w:val="97"/>
            </w:pPr>
            <w:r>
              <w:t>0.0167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800</w:t>
            </w:r>
          </w:p>
        </w:tc>
        <w:tc>
          <w:tcPr>
            <w:tcW w:w="1903" w:type="dxa"/>
            <w:vAlign w:val="center"/>
          </w:tcPr>
          <w:p>
            <w:pPr>
              <w:pStyle w:val="97"/>
            </w:pPr>
            <w:r>
              <w:t>0.2422</w:t>
            </w:r>
          </w:p>
        </w:tc>
        <w:tc>
          <w:tcPr>
            <w:tcW w:w="2090" w:type="dxa"/>
            <w:vAlign w:val="center"/>
          </w:tcPr>
          <w:p>
            <w:pPr>
              <w:pStyle w:val="97"/>
            </w:pPr>
            <w:r>
              <w:t>0.0538</w:t>
            </w:r>
          </w:p>
        </w:tc>
        <w:tc>
          <w:tcPr>
            <w:tcW w:w="2079" w:type="dxa"/>
            <w:vAlign w:val="center"/>
          </w:tcPr>
          <w:p>
            <w:pPr>
              <w:pStyle w:val="97"/>
            </w:pPr>
            <w:r>
              <w:t>0.2422</w:t>
            </w:r>
          </w:p>
        </w:tc>
        <w:tc>
          <w:tcPr>
            <w:tcW w:w="1914" w:type="dxa"/>
            <w:vAlign w:val="center"/>
          </w:tcPr>
          <w:p>
            <w:pPr>
              <w:pStyle w:val="97"/>
            </w:pPr>
            <w:r>
              <w:t>0.0538</w:t>
            </w:r>
          </w:p>
        </w:tc>
        <w:tc>
          <w:tcPr>
            <w:tcW w:w="2146" w:type="dxa"/>
            <w:vAlign w:val="center"/>
          </w:tcPr>
          <w:p>
            <w:pPr>
              <w:pStyle w:val="97"/>
            </w:pPr>
            <w:r>
              <w:t>0.0666</w:t>
            </w:r>
          </w:p>
        </w:tc>
        <w:tc>
          <w:tcPr>
            <w:tcW w:w="2018" w:type="dxa"/>
            <w:vAlign w:val="center"/>
          </w:tcPr>
          <w:p>
            <w:pPr>
              <w:pStyle w:val="97"/>
            </w:pPr>
            <w:r>
              <w:t>0.0148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900</w:t>
            </w:r>
          </w:p>
        </w:tc>
        <w:tc>
          <w:tcPr>
            <w:tcW w:w="1903" w:type="dxa"/>
            <w:vAlign w:val="center"/>
          </w:tcPr>
          <w:p>
            <w:pPr>
              <w:pStyle w:val="97"/>
            </w:pPr>
            <w:r>
              <w:t>0.2106</w:t>
            </w:r>
          </w:p>
        </w:tc>
        <w:tc>
          <w:tcPr>
            <w:tcW w:w="2090" w:type="dxa"/>
            <w:vAlign w:val="center"/>
          </w:tcPr>
          <w:p>
            <w:pPr>
              <w:pStyle w:val="97"/>
            </w:pPr>
            <w:r>
              <w:t>0.0468</w:t>
            </w:r>
          </w:p>
        </w:tc>
        <w:tc>
          <w:tcPr>
            <w:tcW w:w="2079" w:type="dxa"/>
            <w:vAlign w:val="center"/>
          </w:tcPr>
          <w:p>
            <w:pPr>
              <w:pStyle w:val="97"/>
            </w:pPr>
            <w:r>
              <w:t>0.2106</w:t>
            </w:r>
          </w:p>
        </w:tc>
        <w:tc>
          <w:tcPr>
            <w:tcW w:w="1914" w:type="dxa"/>
            <w:vAlign w:val="center"/>
          </w:tcPr>
          <w:p>
            <w:pPr>
              <w:pStyle w:val="97"/>
            </w:pPr>
            <w:r>
              <w:t>0.0468</w:t>
            </w:r>
          </w:p>
        </w:tc>
        <w:tc>
          <w:tcPr>
            <w:tcW w:w="2146" w:type="dxa"/>
            <w:vAlign w:val="center"/>
          </w:tcPr>
          <w:p>
            <w:pPr>
              <w:pStyle w:val="97"/>
            </w:pPr>
            <w:r>
              <w:t>0.0589</w:t>
            </w:r>
          </w:p>
        </w:tc>
        <w:tc>
          <w:tcPr>
            <w:tcW w:w="2018" w:type="dxa"/>
            <w:vAlign w:val="center"/>
          </w:tcPr>
          <w:p>
            <w:pPr>
              <w:pStyle w:val="97"/>
            </w:pPr>
            <w:r>
              <w:t>0.0131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1000</w:t>
            </w:r>
          </w:p>
        </w:tc>
        <w:tc>
          <w:tcPr>
            <w:tcW w:w="1903" w:type="dxa"/>
            <w:vAlign w:val="center"/>
          </w:tcPr>
          <w:p>
            <w:pPr>
              <w:pStyle w:val="97"/>
            </w:pPr>
            <w:r>
              <w:t>0.1844</w:t>
            </w:r>
          </w:p>
        </w:tc>
        <w:tc>
          <w:tcPr>
            <w:tcW w:w="2090" w:type="dxa"/>
            <w:vAlign w:val="center"/>
          </w:tcPr>
          <w:p>
            <w:pPr>
              <w:pStyle w:val="97"/>
            </w:pPr>
            <w:r>
              <w:t>0.0410</w:t>
            </w:r>
          </w:p>
        </w:tc>
        <w:tc>
          <w:tcPr>
            <w:tcW w:w="2079" w:type="dxa"/>
            <w:vAlign w:val="center"/>
          </w:tcPr>
          <w:p>
            <w:pPr>
              <w:pStyle w:val="97"/>
            </w:pPr>
            <w:r>
              <w:t>0.1844</w:t>
            </w:r>
          </w:p>
        </w:tc>
        <w:tc>
          <w:tcPr>
            <w:tcW w:w="1914" w:type="dxa"/>
            <w:vAlign w:val="center"/>
          </w:tcPr>
          <w:p>
            <w:pPr>
              <w:pStyle w:val="97"/>
            </w:pPr>
            <w:r>
              <w:t>0.0410</w:t>
            </w:r>
          </w:p>
        </w:tc>
        <w:tc>
          <w:tcPr>
            <w:tcW w:w="2146" w:type="dxa"/>
            <w:vAlign w:val="center"/>
          </w:tcPr>
          <w:p>
            <w:pPr>
              <w:pStyle w:val="97"/>
            </w:pPr>
            <w:r>
              <w:t>0.0926</w:t>
            </w:r>
          </w:p>
        </w:tc>
        <w:tc>
          <w:tcPr>
            <w:tcW w:w="2018" w:type="dxa"/>
            <w:vAlign w:val="center"/>
          </w:tcPr>
          <w:p>
            <w:pPr>
              <w:pStyle w:val="97"/>
            </w:pPr>
            <w:r>
              <w:t>0.0206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1200</w:t>
            </w:r>
          </w:p>
        </w:tc>
        <w:tc>
          <w:tcPr>
            <w:tcW w:w="1903" w:type="dxa"/>
            <w:vAlign w:val="center"/>
          </w:tcPr>
          <w:p>
            <w:pPr>
              <w:pStyle w:val="97"/>
            </w:pPr>
            <w:r>
              <w:t>0.0918</w:t>
            </w:r>
          </w:p>
        </w:tc>
        <w:tc>
          <w:tcPr>
            <w:tcW w:w="2090" w:type="dxa"/>
            <w:vAlign w:val="center"/>
          </w:tcPr>
          <w:p>
            <w:pPr>
              <w:pStyle w:val="97"/>
            </w:pPr>
            <w:r>
              <w:t>0.0204</w:t>
            </w:r>
          </w:p>
        </w:tc>
        <w:tc>
          <w:tcPr>
            <w:tcW w:w="2079" w:type="dxa"/>
            <w:vAlign w:val="center"/>
          </w:tcPr>
          <w:p>
            <w:pPr>
              <w:pStyle w:val="97"/>
            </w:pPr>
            <w:r>
              <w:t>0.0918</w:t>
            </w:r>
          </w:p>
        </w:tc>
        <w:tc>
          <w:tcPr>
            <w:tcW w:w="1914" w:type="dxa"/>
            <w:vAlign w:val="center"/>
          </w:tcPr>
          <w:p>
            <w:pPr>
              <w:pStyle w:val="97"/>
            </w:pPr>
            <w:r>
              <w:t>0.0204</w:t>
            </w:r>
          </w:p>
        </w:tc>
        <w:tc>
          <w:tcPr>
            <w:tcW w:w="2146" w:type="dxa"/>
            <w:vAlign w:val="center"/>
          </w:tcPr>
          <w:p>
            <w:pPr>
              <w:pStyle w:val="97"/>
            </w:pPr>
            <w:r>
              <w:t>0.0516</w:t>
            </w:r>
          </w:p>
        </w:tc>
        <w:tc>
          <w:tcPr>
            <w:tcW w:w="2018" w:type="dxa"/>
            <w:vAlign w:val="center"/>
          </w:tcPr>
          <w:p>
            <w:pPr>
              <w:pStyle w:val="97"/>
            </w:pPr>
            <w:r>
              <w:t>0.0115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1400</w:t>
            </w:r>
          </w:p>
        </w:tc>
        <w:tc>
          <w:tcPr>
            <w:tcW w:w="1903" w:type="dxa"/>
            <w:vAlign w:val="center"/>
          </w:tcPr>
          <w:p>
            <w:pPr>
              <w:pStyle w:val="97"/>
            </w:pPr>
            <w:r>
              <w:t>0.1166</w:t>
            </w:r>
          </w:p>
        </w:tc>
        <w:tc>
          <w:tcPr>
            <w:tcW w:w="2090" w:type="dxa"/>
            <w:vAlign w:val="center"/>
          </w:tcPr>
          <w:p>
            <w:pPr>
              <w:pStyle w:val="97"/>
            </w:pPr>
            <w:r>
              <w:t>0.0259</w:t>
            </w:r>
          </w:p>
        </w:tc>
        <w:tc>
          <w:tcPr>
            <w:tcW w:w="2079" w:type="dxa"/>
            <w:vAlign w:val="center"/>
          </w:tcPr>
          <w:p>
            <w:pPr>
              <w:pStyle w:val="97"/>
            </w:pPr>
            <w:r>
              <w:t>0.1166</w:t>
            </w:r>
          </w:p>
        </w:tc>
        <w:tc>
          <w:tcPr>
            <w:tcW w:w="1914" w:type="dxa"/>
            <w:vAlign w:val="center"/>
          </w:tcPr>
          <w:p>
            <w:pPr>
              <w:pStyle w:val="97"/>
            </w:pPr>
            <w:r>
              <w:t>0.0259</w:t>
            </w:r>
          </w:p>
        </w:tc>
        <w:tc>
          <w:tcPr>
            <w:tcW w:w="2146" w:type="dxa"/>
            <w:vAlign w:val="center"/>
          </w:tcPr>
          <w:p>
            <w:pPr>
              <w:pStyle w:val="97"/>
            </w:pPr>
            <w:r>
              <w:t>0.0601</w:t>
            </w:r>
          </w:p>
        </w:tc>
        <w:tc>
          <w:tcPr>
            <w:tcW w:w="2018" w:type="dxa"/>
            <w:vAlign w:val="center"/>
          </w:tcPr>
          <w:p>
            <w:pPr>
              <w:pStyle w:val="97"/>
            </w:pPr>
            <w:r>
              <w:t>0.0134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1600</w:t>
            </w:r>
          </w:p>
        </w:tc>
        <w:tc>
          <w:tcPr>
            <w:tcW w:w="1903" w:type="dxa"/>
            <w:vAlign w:val="center"/>
          </w:tcPr>
          <w:p>
            <w:pPr>
              <w:pStyle w:val="97"/>
            </w:pPr>
            <w:r>
              <w:t>0.0687</w:t>
            </w:r>
          </w:p>
        </w:tc>
        <w:tc>
          <w:tcPr>
            <w:tcW w:w="2090" w:type="dxa"/>
            <w:vAlign w:val="center"/>
          </w:tcPr>
          <w:p>
            <w:pPr>
              <w:pStyle w:val="97"/>
            </w:pPr>
            <w:r>
              <w:t>0.0153</w:t>
            </w:r>
          </w:p>
        </w:tc>
        <w:tc>
          <w:tcPr>
            <w:tcW w:w="2079" w:type="dxa"/>
            <w:vAlign w:val="center"/>
          </w:tcPr>
          <w:p>
            <w:pPr>
              <w:pStyle w:val="97"/>
            </w:pPr>
            <w:r>
              <w:t>0.0687</w:t>
            </w:r>
          </w:p>
        </w:tc>
        <w:tc>
          <w:tcPr>
            <w:tcW w:w="1914" w:type="dxa"/>
            <w:vAlign w:val="center"/>
          </w:tcPr>
          <w:p>
            <w:pPr>
              <w:pStyle w:val="97"/>
            </w:pPr>
            <w:r>
              <w:t>0.0153</w:t>
            </w:r>
          </w:p>
        </w:tc>
        <w:tc>
          <w:tcPr>
            <w:tcW w:w="2146" w:type="dxa"/>
            <w:vAlign w:val="center"/>
          </w:tcPr>
          <w:p>
            <w:pPr>
              <w:pStyle w:val="97"/>
            </w:pPr>
            <w:r>
              <w:t>0.0203</w:t>
            </w:r>
          </w:p>
        </w:tc>
        <w:tc>
          <w:tcPr>
            <w:tcW w:w="2018" w:type="dxa"/>
            <w:vAlign w:val="center"/>
          </w:tcPr>
          <w:p>
            <w:pPr>
              <w:pStyle w:val="97"/>
            </w:pPr>
            <w:r>
              <w:t>0.0045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1800</w:t>
            </w:r>
          </w:p>
        </w:tc>
        <w:tc>
          <w:tcPr>
            <w:tcW w:w="1903" w:type="dxa"/>
            <w:vAlign w:val="center"/>
          </w:tcPr>
          <w:p>
            <w:pPr>
              <w:pStyle w:val="97"/>
            </w:pPr>
            <w:r>
              <w:t>0.0790</w:t>
            </w:r>
          </w:p>
        </w:tc>
        <w:tc>
          <w:tcPr>
            <w:tcW w:w="2090" w:type="dxa"/>
            <w:vAlign w:val="center"/>
          </w:tcPr>
          <w:p>
            <w:pPr>
              <w:pStyle w:val="97"/>
            </w:pPr>
            <w:r>
              <w:t>0.0176</w:t>
            </w:r>
          </w:p>
        </w:tc>
        <w:tc>
          <w:tcPr>
            <w:tcW w:w="2079" w:type="dxa"/>
            <w:vAlign w:val="center"/>
          </w:tcPr>
          <w:p>
            <w:pPr>
              <w:pStyle w:val="97"/>
            </w:pPr>
            <w:r>
              <w:t>0.0790</w:t>
            </w:r>
          </w:p>
        </w:tc>
        <w:tc>
          <w:tcPr>
            <w:tcW w:w="1914" w:type="dxa"/>
            <w:vAlign w:val="center"/>
          </w:tcPr>
          <w:p>
            <w:pPr>
              <w:pStyle w:val="97"/>
            </w:pPr>
            <w:r>
              <w:t>0.0176</w:t>
            </w:r>
          </w:p>
        </w:tc>
        <w:tc>
          <w:tcPr>
            <w:tcW w:w="2146" w:type="dxa"/>
            <w:vAlign w:val="center"/>
          </w:tcPr>
          <w:p>
            <w:pPr>
              <w:pStyle w:val="97"/>
            </w:pPr>
            <w:r>
              <w:t>0.0389</w:t>
            </w:r>
          </w:p>
        </w:tc>
        <w:tc>
          <w:tcPr>
            <w:tcW w:w="2018" w:type="dxa"/>
            <w:vAlign w:val="center"/>
          </w:tcPr>
          <w:p>
            <w:pPr>
              <w:pStyle w:val="97"/>
            </w:pPr>
            <w:r>
              <w:t>0.0086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2000</w:t>
            </w:r>
          </w:p>
        </w:tc>
        <w:tc>
          <w:tcPr>
            <w:tcW w:w="1903" w:type="dxa"/>
            <w:vAlign w:val="center"/>
          </w:tcPr>
          <w:p>
            <w:pPr>
              <w:pStyle w:val="97"/>
            </w:pPr>
            <w:r>
              <w:t>0.0297</w:t>
            </w:r>
          </w:p>
        </w:tc>
        <w:tc>
          <w:tcPr>
            <w:tcW w:w="2090" w:type="dxa"/>
            <w:vAlign w:val="center"/>
          </w:tcPr>
          <w:p>
            <w:pPr>
              <w:pStyle w:val="97"/>
            </w:pPr>
            <w:r>
              <w:t>0.0066</w:t>
            </w:r>
          </w:p>
        </w:tc>
        <w:tc>
          <w:tcPr>
            <w:tcW w:w="2079" w:type="dxa"/>
            <w:vAlign w:val="center"/>
          </w:tcPr>
          <w:p>
            <w:pPr>
              <w:pStyle w:val="97"/>
            </w:pPr>
            <w:r>
              <w:t>0.0297</w:t>
            </w:r>
          </w:p>
        </w:tc>
        <w:tc>
          <w:tcPr>
            <w:tcW w:w="1914" w:type="dxa"/>
            <w:vAlign w:val="center"/>
          </w:tcPr>
          <w:p>
            <w:pPr>
              <w:pStyle w:val="97"/>
            </w:pPr>
            <w:r>
              <w:t>0.0066</w:t>
            </w:r>
          </w:p>
        </w:tc>
        <w:tc>
          <w:tcPr>
            <w:tcW w:w="2146" w:type="dxa"/>
            <w:vAlign w:val="center"/>
          </w:tcPr>
          <w:p>
            <w:pPr>
              <w:pStyle w:val="97"/>
            </w:pPr>
            <w:r>
              <w:t>0.0157</w:t>
            </w:r>
          </w:p>
        </w:tc>
        <w:tc>
          <w:tcPr>
            <w:tcW w:w="2018" w:type="dxa"/>
            <w:vAlign w:val="center"/>
          </w:tcPr>
          <w:p>
            <w:pPr>
              <w:pStyle w:val="97"/>
            </w:pPr>
            <w:r>
              <w:t>0.0035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2500</w:t>
            </w:r>
          </w:p>
        </w:tc>
        <w:tc>
          <w:tcPr>
            <w:tcW w:w="1903" w:type="dxa"/>
            <w:vAlign w:val="center"/>
          </w:tcPr>
          <w:p>
            <w:pPr>
              <w:pStyle w:val="97"/>
            </w:pPr>
            <w:r>
              <w:t>0.0571</w:t>
            </w:r>
          </w:p>
        </w:tc>
        <w:tc>
          <w:tcPr>
            <w:tcW w:w="2090" w:type="dxa"/>
            <w:vAlign w:val="center"/>
          </w:tcPr>
          <w:p>
            <w:pPr>
              <w:pStyle w:val="97"/>
            </w:pPr>
            <w:r>
              <w:t>0.0127</w:t>
            </w:r>
          </w:p>
        </w:tc>
        <w:tc>
          <w:tcPr>
            <w:tcW w:w="2079" w:type="dxa"/>
            <w:vAlign w:val="center"/>
          </w:tcPr>
          <w:p>
            <w:pPr>
              <w:pStyle w:val="97"/>
            </w:pPr>
            <w:r>
              <w:t>0.0571</w:t>
            </w:r>
          </w:p>
        </w:tc>
        <w:tc>
          <w:tcPr>
            <w:tcW w:w="1914" w:type="dxa"/>
            <w:vAlign w:val="center"/>
          </w:tcPr>
          <w:p>
            <w:pPr>
              <w:pStyle w:val="97"/>
            </w:pPr>
            <w:r>
              <w:t>0.0127</w:t>
            </w:r>
          </w:p>
        </w:tc>
        <w:tc>
          <w:tcPr>
            <w:tcW w:w="2146" w:type="dxa"/>
            <w:vAlign w:val="center"/>
          </w:tcPr>
          <w:p>
            <w:pPr>
              <w:pStyle w:val="97"/>
            </w:pPr>
            <w:r>
              <w:t>0.0282</w:t>
            </w:r>
          </w:p>
        </w:tc>
        <w:tc>
          <w:tcPr>
            <w:tcW w:w="2018" w:type="dxa"/>
            <w:vAlign w:val="center"/>
          </w:tcPr>
          <w:p>
            <w:pPr>
              <w:pStyle w:val="97"/>
            </w:pPr>
            <w: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3000</w:t>
            </w:r>
          </w:p>
        </w:tc>
        <w:tc>
          <w:tcPr>
            <w:tcW w:w="1903" w:type="dxa"/>
            <w:vAlign w:val="center"/>
          </w:tcPr>
          <w:p>
            <w:pPr>
              <w:pStyle w:val="97"/>
            </w:pPr>
            <w:r>
              <w:t>0.0433</w:t>
            </w:r>
          </w:p>
        </w:tc>
        <w:tc>
          <w:tcPr>
            <w:tcW w:w="2090" w:type="dxa"/>
            <w:vAlign w:val="center"/>
          </w:tcPr>
          <w:p>
            <w:pPr>
              <w:pStyle w:val="97"/>
            </w:pPr>
            <w:r>
              <w:t>0.0096</w:t>
            </w:r>
          </w:p>
        </w:tc>
        <w:tc>
          <w:tcPr>
            <w:tcW w:w="2079" w:type="dxa"/>
            <w:vAlign w:val="center"/>
          </w:tcPr>
          <w:p>
            <w:pPr>
              <w:pStyle w:val="97"/>
            </w:pPr>
            <w:r>
              <w:t>0.0433</w:t>
            </w:r>
          </w:p>
        </w:tc>
        <w:tc>
          <w:tcPr>
            <w:tcW w:w="1914" w:type="dxa"/>
            <w:vAlign w:val="center"/>
          </w:tcPr>
          <w:p>
            <w:pPr>
              <w:pStyle w:val="97"/>
            </w:pPr>
            <w:r>
              <w:t>0.0096</w:t>
            </w:r>
          </w:p>
        </w:tc>
        <w:tc>
          <w:tcPr>
            <w:tcW w:w="2146" w:type="dxa"/>
            <w:vAlign w:val="center"/>
          </w:tcPr>
          <w:p>
            <w:pPr>
              <w:pStyle w:val="97"/>
            </w:pPr>
            <w:r>
              <w:t>0.0226</w:t>
            </w:r>
          </w:p>
        </w:tc>
        <w:tc>
          <w:tcPr>
            <w:tcW w:w="2018" w:type="dxa"/>
            <w:vAlign w:val="center"/>
          </w:tcPr>
          <w:p>
            <w:pPr>
              <w:pStyle w:val="97"/>
            </w:pPr>
            <w:r>
              <w:t>0.0050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3500</w:t>
            </w:r>
          </w:p>
        </w:tc>
        <w:tc>
          <w:tcPr>
            <w:tcW w:w="1903" w:type="dxa"/>
            <w:vAlign w:val="center"/>
          </w:tcPr>
          <w:p>
            <w:pPr>
              <w:pStyle w:val="97"/>
            </w:pPr>
            <w:r>
              <w:t>0.0109</w:t>
            </w:r>
          </w:p>
        </w:tc>
        <w:tc>
          <w:tcPr>
            <w:tcW w:w="2090" w:type="dxa"/>
            <w:vAlign w:val="center"/>
          </w:tcPr>
          <w:p>
            <w:pPr>
              <w:pStyle w:val="97"/>
            </w:pPr>
            <w:r>
              <w:t>0.0024</w:t>
            </w:r>
          </w:p>
        </w:tc>
        <w:tc>
          <w:tcPr>
            <w:tcW w:w="2079" w:type="dxa"/>
            <w:vAlign w:val="center"/>
          </w:tcPr>
          <w:p>
            <w:pPr>
              <w:pStyle w:val="97"/>
            </w:pPr>
            <w:r>
              <w:t>0.0109</w:t>
            </w:r>
          </w:p>
        </w:tc>
        <w:tc>
          <w:tcPr>
            <w:tcW w:w="1914" w:type="dxa"/>
            <w:vAlign w:val="center"/>
          </w:tcPr>
          <w:p>
            <w:pPr>
              <w:pStyle w:val="97"/>
            </w:pPr>
            <w:r>
              <w:t>0.0024</w:t>
            </w:r>
          </w:p>
        </w:tc>
        <w:tc>
          <w:tcPr>
            <w:tcW w:w="2146" w:type="dxa"/>
            <w:vAlign w:val="center"/>
          </w:tcPr>
          <w:p>
            <w:pPr>
              <w:pStyle w:val="97"/>
            </w:pPr>
            <w:r>
              <w:t>0.0077</w:t>
            </w:r>
          </w:p>
        </w:tc>
        <w:tc>
          <w:tcPr>
            <w:tcW w:w="2018" w:type="dxa"/>
            <w:vAlign w:val="center"/>
          </w:tcPr>
          <w:p>
            <w:pPr>
              <w:pStyle w:val="97"/>
            </w:pPr>
            <w: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4000</w:t>
            </w:r>
          </w:p>
        </w:tc>
        <w:tc>
          <w:tcPr>
            <w:tcW w:w="1903" w:type="dxa"/>
            <w:vAlign w:val="center"/>
          </w:tcPr>
          <w:p>
            <w:pPr>
              <w:pStyle w:val="97"/>
            </w:pPr>
            <w:r>
              <w:t>0.0187</w:t>
            </w:r>
          </w:p>
        </w:tc>
        <w:tc>
          <w:tcPr>
            <w:tcW w:w="2090" w:type="dxa"/>
            <w:vAlign w:val="center"/>
          </w:tcPr>
          <w:p>
            <w:pPr>
              <w:pStyle w:val="97"/>
            </w:pPr>
            <w:r>
              <w:t>0.0041</w:t>
            </w:r>
          </w:p>
        </w:tc>
        <w:tc>
          <w:tcPr>
            <w:tcW w:w="2079" w:type="dxa"/>
            <w:vAlign w:val="center"/>
          </w:tcPr>
          <w:p>
            <w:pPr>
              <w:pStyle w:val="97"/>
            </w:pPr>
            <w:r>
              <w:t>0.0187</w:t>
            </w:r>
          </w:p>
        </w:tc>
        <w:tc>
          <w:tcPr>
            <w:tcW w:w="1914" w:type="dxa"/>
            <w:vAlign w:val="center"/>
          </w:tcPr>
          <w:p>
            <w:pPr>
              <w:pStyle w:val="97"/>
            </w:pPr>
            <w:r>
              <w:t>0.0041</w:t>
            </w:r>
          </w:p>
        </w:tc>
        <w:tc>
          <w:tcPr>
            <w:tcW w:w="2146" w:type="dxa"/>
            <w:vAlign w:val="center"/>
          </w:tcPr>
          <w:p>
            <w:pPr>
              <w:pStyle w:val="97"/>
            </w:pPr>
            <w:r>
              <w:t>0.0100</w:t>
            </w:r>
          </w:p>
        </w:tc>
        <w:tc>
          <w:tcPr>
            <w:tcW w:w="2018" w:type="dxa"/>
            <w:vAlign w:val="center"/>
          </w:tcPr>
          <w:p>
            <w:pPr>
              <w:pStyle w:val="97"/>
            </w:pPr>
            <w:r>
              <w:t>0.0022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4500</w:t>
            </w:r>
          </w:p>
        </w:tc>
        <w:tc>
          <w:tcPr>
            <w:tcW w:w="1903" w:type="dxa"/>
            <w:vAlign w:val="center"/>
          </w:tcPr>
          <w:p>
            <w:pPr>
              <w:pStyle w:val="97"/>
            </w:pPr>
            <w:r>
              <w:t>0.0270</w:t>
            </w:r>
          </w:p>
        </w:tc>
        <w:tc>
          <w:tcPr>
            <w:tcW w:w="2090" w:type="dxa"/>
            <w:vAlign w:val="center"/>
          </w:tcPr>
          <w:p>
            <w:pPr>
              <w:pStyle w:val="97"/>
            </w:pPr>
            <w:r>
              <w:t>0.0060</w:t>
            </w:r>
          </w:p>
        </w:tc>
        <w:tc>
          <w:tcPr>
            <w:tcW w:w="2079" w:type="dxa"/>
            <w:vAlign w:val="center"/>
          </w:tcPr>
          <w:p>
            <w:pPr>
              <w:pStyle w:val="97"/>
            </w:pPr>
            <w:r>
              <w:t>0.0270</w:t>
            </w:r>
          </w:p>
        </w:tc>
        <w:tc>
          <w:tcPr>
            <w:tcW w:w="1914" w:type="dxa"/>
            <w:vAlign w:val="center"/>
          </w:tcPr>
          <w:p>
            <w:pPr>
              <w:pStyle w:val="97"/>
            </w:pPr>
            <w:r>
              <w:t>0.0060</w:t>
            </w:r>
          </w:p>
        </w:tc>
        <w:tc>
          <w:tcPr>
            <w:tcW w:w="2146" w:type="dxa"/>
            <w:vAlign w:val="center"/>
          </w:tcPr>
          <w:p>
            <w:pPr>
              <w:pStyle w:val="97"/>
            </w:pPr>
            <w:r>
              <w:t>0.0117</w:t>
            </w:r>
          </w:p>
        </w:tc>
        <w:tc>
          <w:tcPr>
            <w:tcW w:w="2018" w:type="dxa"/>
            <w:vAlign w:val="center"/>
          </w:tcPr>
          <w:p>
            <w:pPr>
              <w:pStyle w:val="97"/>
            </w:pPr>
            <w: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5000</w:t>
            </w:r>
          </w:p>
        </w:tc>
        <w:tc>
          <w:tcPr>
            <w:tcW w:w="1903" w:type="dxa"/>
            <w:vAlign w:val="center"/>
          </w:tcPr>
          <w:p>
            <w:pPr>
              <w:pStyle w:val="97"/>
            </w:pPr>
            <w:r>
              <w:t>0.0199</w:t>
            </w:r>
          </w:p>
        </w:tc>
        <w:tc>
          <w:tcPr>
            <w:tcW w:w="2090" w:type="dxa"/>
            <w:vAlign w:val="center"/>
          </w:tcPr>
          <w:p>
            <w:pPr>
              <w:pStyle w:val="97"/>
            </w:pPr>
            <w:r>
              <w:t>0.0044</w:t>
            </w:r>
          </w:p>
        </w:tc>
        <w:tc>
          <w:tcPr>
            <w:tcW w:w="2079" w:type="dxa"/>
            <w:vAlign w:val="center"/>
          </w:tcPr>
          <w:p>
            <w:pPr>
              <w:pStyle w:val="97"/>
            </w:pPr>
            <w:r>
              <w:t>0.0199</w:t>
            </w:r>
          </w:p>
        </w:tc>
        <w:tc>
          <w:tcPr>
            <w:tcW w:w="1914" w:type="dxa"/>
            <w:vAlign w:val="center"/>
          </w:tcPr>
          <w:p>
            <w:pPr>
              <w:pStyle w:val="97"/>
            </w:pPr>
            <w:r>
              <w:t>0.0044</w:t>
            </w:r>
          </w:p>
        </w:tc>
        <w:tc>
          <w:tcPr>
            <w:tcW w:w="2146" w:type="dxa"/>
            <w:vAlign w:val="center"/>
          </w:tcPr>
          <w:p>
            <w:pPr>
              <w:pStyle w:val="97"/>
            </w:pPr>
            <w:r>
              <w:t>0.0103</w:t>
            </w:r>
          </w:p>
        </w:tc>
        <w:tc>
          <w:tcPr>
            <w:tcW w:w="2018" w:type="dxa"/>
            <w:vAlign w:val="center"/>
          </w:tcPr>
          <w:p>
            <w:pPr>
              <w:pStyle w:val="97"/>
            </w:pPr>
            <w:r>
              <w:t>0.0023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10000</w:t>
            </w:r>
          </w:p>
        </w:tc>
        <w:tc>
          <w:tcPr>
            <w:tcW w:w="1903" w:type="dxa"/>
            <w:vAlign w:val="center"/>
          </w:tcPr>
          <w:p>
            <w:pPr>
              <w:pStyle w:val="97"/>
            </w:pPr>
            <w:r>
              <w:t>0.0038</w:t>
            </w:r>
          </w:p>
        </w:tc>
        <w:tc>
          <w:tcPr>
            <w:tcW w:w="2090" w:type="dxa"/>
            <w:vAlign w:val="center"/>
          </w:tcPr>
          <w:p>
            <w:pPr>
              <w:pStyle w:val="97"/>
            </w:pPr>
            <w:r>
              <w:t>0.0008</w:t>
            </w:r>
          </w:p>
        </w:tc>
        <w:tc>
          <w:tcPr>
            <w:tcW w:w="2079" w:type="dxa"/>
            <w:vAlign w:val="center"/>
          </w:tcPr>
          <w:p>
            <w:pPr>
              <w:pStyle w:val="97"/>
            </w:pPr>
            <w:r>
              <w:t>0.0038</w:t>
            </w:r>
          </w:p>
        </w:tc>
        <w:tc>
          <w:tcPr>
            <w:tcW w:w="1914" w:type="dxa"/>
            <w:vAlign w:val="center"/>
          </w:tcPr>
          <w:p>
            <w:pPr>
              <w:pStyle w:val="97"/>
            </w:pPr>
            <w:r>
              <w:t>0.0008</w:t>
            </w:r>
          </w:p>
        </w:tc>
        <w:tc>
          <w:tcPr>
            <w:tcW w:w="2146" w:type="dxa"/>
            <w:vAlign w:val="center"/>
          </w:tcPr>
          <w:p>
            <w:pPr>
              <w:pStyle w:val="97"/>
            </w:pPr>
            <w:r>
              <w:t>0.0042</w:t>
            </w:r>
          </w:p>
        </w:tc>
        <w:tc>
          <w:tcPr>
            <w:tcW w:w="2018" w:type="dxa"/>
            <w:vAlign w:val="center"/>
          </w:tcPr>
          <w:p>
            <w:pPr>
              <w:pStyle w:val="97"/>
            </w:pPr>
            <w: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11000</w:t>
            </w:r>
          </w:p>
        </w:tc>
        <w:tc>
          <w:tcPr>
            <w:tcW w:w="1903" w:type="dxa"/>
            <w:vAlign w:val="center"/>
          </w:tcPr>
          <w:p>
            <w:pPr>
              <w:pStyle w:val="97"/>
            </w:pPr>
            <w:r>
              <w:t>0.0077</w:t>
            </w:r>
          </w:p>
        </w:tc>
        <w:tc>
          <w:tcPr>
            <w:tcW w:w="2090" w:type="dxa"/>
            <w:vAlign w:val="center"/>
          </w:tcPr>
          <w:p>
            <w:pPr>
              <w:pStyle w:val="97"/>
            </w:pPr>
            <w:r>
              <w:t>0.0017</w:t>
            </w:r>
          </w:p>
        </w:tc>
        <w:tc>
          <w:tcPr>
            <w:tcW w:w="2079" w:type="dxa"/>
            <w:vAlign w:val="center"/>
          </w:tcPr>
          <w:p>
            <w:pPr>
              <w:pStyle w:val="97"/>
            </w:pPr>
            <w:r>
              <w:t>0.0077</w:t>
            </w:r>
          </w:p>
        </w:tc>
        <w:tc>
          <w:tcPr>
            <w:tcW w:w="1914" w:type="dxa"/>
            <w:vAlign w:val="center"/>
          </w:tcPr>
          <w:p>
            <w:pPr>
              <w:pStyle w:val="97"/>
            </w:pPr>
            <w:r>
              <w:t>0.0017</w:t>
            </w:r>
          </w:p>
        </w:tc>
        <w:tc>
          <w:tcPr>
            <w:tcW w:w="2146" w:type="dxa"/>
            <w:vAlign w:val="center"/>
          </w:tcPr>
          <w:p>
            <w:pPr>
              <w:pStyle w:val="97"/>
            </w:pPr>
            <w:r>
              <w:t>0.0030</w:t>
            </w:r>
          </w:p>
        </w:tc>
        <w:tc>
          <w:tcPr>
            <w:tcW w:w="2018" w:type="dxa"/>
            <w:vAlign w:val="center"/>
          </w:tcPr>
          <w:p>
            <w:pPr>
              <w:pStyle w:val="97"/>
            </w:pPr>
            <w: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12000</w:t>
            </w:r>
          </w:p>
        </w:tc>
        <w:tc>
          <w:tcPr>
            <w:tcW w:w="1903" w:type="dxa"/>
            <w:vAlign w:val="center"/>
          </w:tcPr>
          <w:p>
            <w:pPr>
              <w:pStyle w:val="97"/>
            </w:pPr>
            <w:r>
              <w:t>0.0035</w:t>
            </w:r>
          </w:p>
        </w:tc>
        <w:tc>
          <w:tcPr>
            <w:tcW w:w="2090" w:type="dxa"/>
            <w:vAlign w:val="center"/>
          </w:tcPr>
          <w:p>
            <w:pPr>
              <w:pStyle w:val="97"/>
            </w:pPr>
            <w:r>
              <w:t>0.0008</w:t>
            </w:r>
          </w:p>
        </w:tc>
        <w:tc>
          <w:tcPr>
            <w:tcW w:w="2079" w:type="dxa"/>
            <w:vAlign w:val="center"/>
          </w:tcPr>
          <w:p>
            <w:pPr>
              <w:pStyle w:val="97"/>
            </w:pPr>
            <w:r>
              <w:t>0.0035</w:t>
            </w:r>
          </w:p>
        </w:tc>
        <w:tc>
          <w:tcPr>
            <w:tcW w:w="1914" w:type="dxa"/>
            <w:vAlign w:val="center"/>
          </w:tcPr>
          <w:p>
            <w:pPr>
              <w:pStyle w:val="97"/>
            </w:pPr>
            <w:r>
              <w:t>0.0008</w:t>
            </w:r>
          </w:p>
        </w:tc>
        <w:tc>
          <w:tcPr>
            <w:tcW w:w="2146" w:type="dxa"/>
            <w:vAlign w:val="center"/>
          </w:tcPr>
          <w:p>
            <w:pPr>
              <w:pStyle w:val="97"/>
            </w:pPr>
            <w:r>
              <w:t>0.0018</w:t>
            </w:r>
          </w:p>
        </w:tc>
        <w:tc>
          <w:tcPr>
            <w:tcW w:w="2018" w:type="dxa"/>
            <w:vAlign w:val="center"/>
          </w:tcPr>
          <w:p>
            <w:pPr>
              <w:pStyle w:val="97"/>
            </w:pPr>
            <w: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13000</w:t>
            </w:r>
          </w:p>
        </w:tc>
        <w:tc>
          <w:tcPr>
            <w:tcW w:w="1903" w:type="dxa"/>
            <w:vAlign w:val="center"/>
          </w:tcPr>
          <w:p>
            <w:pPr>
              <w:pStyle w:val="97"/>
            </w:pPr>
            <w:r>
              <w:t>0.0056</w:t>
            </w:r>
          </w:p>
        </w:tc>
        <w:tc>
          <w:tcPr>
            <w:tcW w:w="2090" w:type="dxa"/>
            <w:vAlign w:val="center"/>
          </w:tcPr>
          <w:p>
            <w:pPr>
              <w:pStyle w:val="97"/>
            </w:pPr>
            <w:r>
              <w:t>0.0012</w:t>
            </w:r>
          </w:p>
        </w:tc>
        <w:tc>
          <w:tcPr>
            <w:tcW w:w="2079" w:type="dxa"/>
            <w:vAlign w:val="center"/>
          </w:tcPr>
          <w:p>
            <w:pPr>
              <w:pStyle w:val="97"/>
            </w:pPr>
            <w:r>
              <w:t>0.0056</w:t>
            </w:r>
          </w:p>
        </w:tc>
        <w:tc>
          <w:tcPr>
            <w:tcW w:w="1914" w:type="dxa"/>
            <w:vAlign w:val="center"/>
          </w:tcPr>
          <w:p>
            <w:pPr>
              <w:pStyle w:val="97"/>
            </w:pPr>
            <w:r>
              <w:t>0.0012</w:t>
            </w:r>
          </w:p>
        </w:tc>
        <w:tc>
          <w:tcPr>
            <w:tcW w:w="2146" w:type="dxa"/>
            <w:vAlign w:val="center"/>
          </w:tcPr>
          <w:p>
            <w:pPr>
              <w:pStyle w:val="97"/>
            </w:pPr>
            <w:r>
              <w:t>0.0027</w:t>
            </w:r>
          </w:p>
        </w:tc>
        <w:tc>
          <w:tcPr>
            <w:tcW w:w="2018" w:type="dxa"/>
            <w:vAlign w:val="center"/>
          </w:tcPr>
          <w:p>
            <w:pPr>
              <w:pStyle w:val="97"/>
            </w:pPr>
            <w: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14000</w:t>
            </w:r>
          </w:p>
        </w:tc>
        <w:tc>
          <w:tcPr>
            <w:tcW w:w="1903" w:type="dxa"/>
            <w:vAlign w:val="center"/>
          </w:tcPr>
          <w:p>
            <w:pPr>
              <w:pStyle w:val="97"/>
            </w:pPr>
            <w:r>
              <w:t>0.0065</w:t>
            </w:r>
          </w:p>
        </w:tc>
        <w:tc>
          <w:tcPr>
            <w:tcW w:w="2090" w:type="dxa"/>
            <w:vAlign w:val="center"/>
          </w:tcPr>
          <w:p>
            <w:pPr>
              <w:pStyle w:val="97"/>
            </w:pPr>
            <w:r>
              <w:t>0.0014</w:t>
            </w:r>
          </w:p>
        </w:tc>
        <w:tc>
          <w:tcPr>
            <w:tcW w:w="2079" w:type="dxa"/>
            <w:vAlign w:val="center"/>
          </w:tcPr>
          <w:p>
            <w:pPr>
              <w:pStyle w:val="97"/>
            </w:pPr>
            <w:r>
              <w:t>0.0065</w:t>
            </w:r>
          </w:p>
        </w:tc>
        <w:tc>
          <w:tcPr>
            <w:tcW w:w="1914" w:type="dxa"/>
            <w:vAlign w:val="center"/>
          </w:tcPr>
          <w:p>
            <w:pPr>
              <w:pStyle w:val="97"/>
            </w:pPr>
            <w:r>
              <w:t>0.0014</w:t>
            </w:r>
          </w:p>
        </w:tc>
        <w:tc>
          <w:tcPr>
            <w:tcW w:w="2146" w:type="dxa"/>
            <w:vAlign w:val="center"/>
          </w:tcPr>
          <w:p>
            <w:pPr>
              <w:pStyle w:val="97"/>
            </w:pPr>
            <w:r>
              <w:t>0.0032</w:t>
            </w:r>
          </w:p>
        </w:tc>
        <w:tc>
          <w:tcPr>
            <w:tcW w:w="2018" w:type="dxa"/>
            <w:vAlign w:val="center"/>
          </w:tcPr>
          <w:p>
            <w:pPr>
              <w:pStyle w:val="97"/>
            </w:pPr>
            <w: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15000</w:t>
            </w:r>
          </w:p>
        </w:tc>
        <w:tc>
          <w:tcPr>
            <w:tcW w:w="1903" w:type="dxa"/>
            <w:vAlign w:val="center"/>
          </w:tcPr>
          <w:p>
            <w:pPr>
              <w:pStyle w:val="97"/>
            </w:pPr>
            <w:r>
              <w:t>0.0024</w:t>
            </w:r>
          </w:p>
        </w:tc>
        <w:tc>
          <w:tcPr>
            <w:tcW w:w="2090" w:type="dxa"/>
            <w:vAlign w:val="center"/>
          </w:tcPr>
          <w:p>
            <w:pPr>
              <w:pStyle w:val="97"/>
            </w:pPr>
            <w:r>
              <w:t>0.0005</w:t>
            </w:r>
          </w:p>
        </w:tc>
        <w:tc>
          <w:tcPr>
            <w:tcW w:w="2079" w:type="dxa"/>
            <w:vAlign w:val="center"/>
          </w:tcPr>
          <w:p>
            <w:pPr>
              <w:pStyle w:val="97"/>
            </w:pPr>
            <w:r>
              <w:t>0.0024</w:t>
            </w:r>
          </w:p>
        </w:tc>
        <w:tc>
          <w:tcPr>
            <w:tcW w:w="1914" w:type="dxa"/>
            <w:vAlign w:val="center"/>
          </w:tcPr>
          <w:p>
            <w:pPr>
              <w:pStyle w:val="97"/>
            </w:pPr>
            <w:r>
              <w:t>0.0005</w:t>
            </w:r>
          </w:p>
        </w:tc>
        <w:tc>
          <w:tcPr>
            <w:tcW w:w="2146" w:type="dxa"/>
            <w:vAlign w:val="center"/>
          </w:tcPr>
          <w:p>
            <w:pPr>
              <w:pStyle w:val="97"/>
            </w:pPr>
            <w:r>
              <w:t>0.0012</w:t>
            </w:r>
          </w:p>
        </w:tc>
        <w:tc>
          <w:tcPr>
            <w:tcW w:w="2018" w:type="dxa"/>
            <w:vAlign w:val="center"/>
          </w:tcPr>
          <w:p>
            <w:pPr>
              <w:pStyle w:val="97"/>
            </w:pPr>
            <w: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20000</w:t>
            </w:r>
          </w:p>
        </w:tc>
        <w:tc>
          <w:tcPr>
            <w:tcW w:w="1903" w:type="dxa"/>
            <w:vAlign w:val="center"/>
          </w:tcPr>
          <w:p>
            <w:pPr>
              <w:pStyle w:val="97"/>
            </w:pPr>
            <w:r>
              <w:t>0.0033</w:t>
            </w:r>
          </w:p>
        </w:tc>
        <w:tc>
          <w:tcPr>
            <w:tcW w:w="2090" w:type="dxa"/>
            <w:vAlign w:val="center"/>
          </w:tcPr>
          <w:p>
            <w:pPr>
              <w:pStyle w:val="97"/>
            </w:pPr>
            <w:r>
              <w:t>0.0007</w:t>
            </w:r>
          </w:p>
        </w:tc>
        <w:tc>
          <w:tcPr>
            <w:tcW w:w="2079" w:type="dxa"/>
            <w:vAlign w:val="center"/>
          </w:tcPr>
          <w:p>
            <w:pPr>
              <w:pStyle w:val="97"/>
            </w:pPr>
            <w:r>
              <w:t>0.0033</w:t>
            </w:r>
          </w:p>
        </w:tc>
        <w:tc>
          <w:tcPr>
            <w:tcW w:w="1914" w:type="dxa"/>
            <w:vAlign w:val="center"/>
          </w:tcPr>
          <w:p>
            <w:pPr>
              <w:pStyle w:val="97"/>
            </w:pPr>
            <w:r>
              <w:t>0.0007</w:t>
            </w:r>
          </w:p>
        </w:tc>
        <w:tc>
          <w:tcPr>
            <w:tcW w:w="2146" w:type="dxa"/>
            <w:vAlign w:val="center"/>
          </w:tcPr>
          <w:p>
            <w:pPr>
              <w:pStyle w:val="97"/>
            </w:pPr>
            <w:r>
              <w:t>0.0016</w:t>
            </w:r>
          </w:p>
        </w:tc>
        <w:tc>
          <w:tcPr>
            <w:tcW w:w="2018" w:type="dxa"/>
            <w:vAlign w:val="center"/>
          </w:tcPr>
          <w:p>
            <w:pPr>
              <w:pStyle w:val="97"/>
            </w:pPr>
            <w: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pPr>
            <w:r>
              <w:t>25000</w:t>
            </w:r>
          </w:p>
        </w:tc>
        <w:tc>
          <w:tcPr>
            <w:tcW w:w="1903" w:type="dxa"/>
            <w:vAlign w:val="center"/>
          </w:tcPr>
          <w:p>
            <w:pPr>
              <w:pStyle w:val="97"/>
            </w:pPr>
            <w:r>
              <w:t>0.0019</w:t>
            </w:r>
          </w:p>
        </w:tc>
        <w:tc>
          <w:tcPr>
            <w:tcW w:w="2090" w:type="dxa"/>
            <w:vAlign w:val="center"/>
          </w:tcPr>
          <w:p>
            <w:pPr>
              <w:pStyle w:val="97"/>
            </w:pPr>
            <w:r>
              <w:t>0.0004</w:t>
            </w:r>
          </w:p>
        </w:tc>
        <w:tc>
          <w:tcPr>
            <w:tcW w:w="2079" w:type="dxa"/>
            <w:vAlign w:val="center"/>
          </w:tcPr>
          <w:p>
            <w:pPr>
              <w:pStyle w:val="97"/>
            </w:pPr>
            <w:r>
              <w:t>0.0019</w:t>
            </w:r>
          </w:p>
        </w:tc>
        <w:tc>
          <w:tcPr>
            <w:tcW w:w="1914" w:type="dxa"/>
            <w:vAlign w:val="center"/>
          </w:tcPr>
          <w:p>
            <w:pPr>
              <w:pStyle w:val="97"/>
            </w:pPr>
            <w:r>
              <w:t>0.0004</w:t>
            </w:r>
          </w:p>
        </w:tc>
        <w:tc>
          <w:tcPr>
            <w:tcW w:w="2146" w:type="dxa"/>
            <w:vAlign w:val="center"/>
          </w:tcPr>
          <w:p>
            <w:pPr>
              <w:pStyle w:val="97"/>
            </w:pPr>
            <w:r>
              <w:t>0.0011</w:t>
            </w:r>
          </w:p>
        </w:tc>
        <w:tc>
          <w:tcPr>
            <w:tcW w:w="2018" w:type="dxa"/>
            <w:vAlign w:val="center"/>
          </w:tcPr>
          <w:p>
            <w:pPr>
              <w:pStyle w:val="97"/>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rPr>
                <w:b/>
              </w:rPr>
            </w:pPr>
            <w:r>
              <w:rPr>
                <w:b/>
              </w:rPr>
              <w:t>下风向最大质量浓度及占标率</w:t>
            </w:r>
          </w:p>
        </w:tc>
        <w:tc>
          <w:tcPr>
            <w:tcW w:w="1903" w:type="dxa"/>
            <w:vAlign w:val="center"/>
          </w:tcPr>
          <w:p>
            <w:pPr>
              <w:pStyle w:val="97"/>
              <w:rPr>
                <w:b/>
              </w:rPr>
            </w:pPr>
            <w:r>
              <w:rPr>
                <w:b/>
              </w:rPr>
              <w:t>2.0971</w:t>
            </w:r>
          </w:p>
        </w:tc>
        <w:tc>
          <w:tcPr>
            <w:tcW w:w="2090" w:type="dxa"/>
            <w:vAlign w:val="center"/>
          </w:tcPr>
          <w:p>
            <w:pPr>
              <w:pStyle w:val="97"/>
              <w:rPr>
                <w:b/>
              </w:rPr>
            </w:pPr>
            <w:r>
              <w:rPr>
                <w:b/>
              </w:rPr>
              <w:t>0.4660</w:t>
            </w:r>
          </w:p>
        </w:tc>
        <w:tc>
          <w:tcPr>
            <w:tcW w:w="2079" w:type="dxa"/>
            <w:vAlign w:val="center"/>
          </w:tcPr>
          <w:p>
            <w:pPr>
              <w:pStyle w:val="97"/>
              <w:rPr>
                <w:b/>
              </w:rPr>
            </w:pPr>
            <w:r>
              <w:rPr>
                <w:b/>
              </w:rPr>
              <w:t>2.0971</w:t>
            </w:r>
          </w:p>
        </w:tc>
        <w:tc>
          <w:tcPr>
            <w:tcW w:w="1914" w:type="dxa"/>
            <w:vAlign w:val="center"/>
          </w:tcPr>
          <w:p>
            <w:pPr>
              <w:pStyle w:val="97"/>
              <w:rPr>
                <w:b/>
              </w:rPr>
            </w:pPr>
            <w:r>
              <w:rPr>
                <w:b/>
              </w:rPr>
              <w:t>0.4660</w:t>
            </w:r>
          </w:p>
        </w:tc>
        <w:tc>
          <w:tcPr>
            <w:tcW w:w="2146" w:type="dxa"/>
            <w:vAlign w:val="center"/>
          </w:tcPr>
          <w:p>
            <w:pPr>
              <w:pStyle w:val="97"/>
              <w:rPr>
                <w:b/>
              </w:rPr>
            </w:pPr>
            <w:r>
              <w:rPr>
                <w:b/>
              </w:rPr>
              <w:t>1.3527</w:t>
            </w:r>
          </w:p>
        </w:tc>
        <w:tc>
          <w:tcPr>
            <w:tcW w:w="2018" w:type="dxa"/>
            <w:vAlign w:val="center"/>
          </w:tcPr>
          <w:p>
            <w:pPr>
              <w:pStyle w:val="97"/>
              <w:rPr>
                <w:b/>
              </w:rPr>
            </w:pPr>
            <w:r>
              <w:rPr>
                <w:b/>
              </w:rPr>
              <w:t>0.3006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822" w:type="dxa"/>
            <w:vAlign w:val="center"/>
          </w:tcPr>
          <w:p>
            <w:pPr>
              <w:pStyle w:val="97"/>
              <w:rPr>
                <w:b/>
              </w:rPr>
            </w:pPr>
            <w:r>
              <w:rPr>
                <w:b/>
              </w:rPr>
              <w:t>地面最大浓度出现距离</w:t>
            </w:r>
          </w:p>
        </w:tc>
        <w:tc>
          <w:tcPr>
            <w:tcW w:w="3993" w:type="dxa"/>
            <w:gridSpan w:val="2"/>
            <w:vAlign w:val="center"/>
          </w:tcPr>
          <w:p>
            <w:pPr>
              <w:pStyle w:val="97"/>
              <w:rPr>
                <w:b/>
              </w:rPr>
            </w:pPr>
            <w:r>
              <w:rPr>
                <w:rFonts w:hint="eastAsia"/>
                <w:b/>
              </w:rPr>
              <w:t>15</w:t>
            </w:r>
            <w:r>
              <w:rPr>
                <w:b/>
              </w:rPr>
              <w:t>3m</w:t>
            </w:r>
          </w:p>
        </w:tc>
        <w:tc>
          <w:tcPr>
            <w:tcW w:w="3993" w:type="dxa"/>
            <w:gridSpan w:val="2"/>
            <w:vAlign w:val="center"/>
          </w:tcPr>
          <w:p>
            <w:pPr>
              <w:pStyle w:val="97"/>
              <w:rPr>
                <w:b/>
              </w:rPr>
            </w:pPr>
            <w:r>
              <w:rPr>
                <w:rFonts w:hint="eastAsia"/>
                <w:b/>
              </w:rPr>
              <w:t>153</w:t>
            </w:r>
            <w:r>
              <w:rPr>
                <w:b/>
              </w:rPr>
              <w:t>m</w:t>
            </w:r>
          </w:p>
        </w:tc>
        <w:tc>
          <w:tcPr>
            <w:tcW w:w="4164" w:type="dxa"/>
            <w:gridSpan w:val="2"/>
            <w:vAlign w:val="center"/>
          </w:tcPr>
          <w:p>
            <w:pPr>
              <w:pStyle w:val="97"/>
              <w:rPr>
                <w:b/>
              </w:rPr>
            </w:pPr>
            <w:r>
              <w:rPr>
                <w:b/>
              </w:rPr>
              <w:t>126m</w:t>
            </w:r>
          </w:p>
        </w:tc>
      </w:tr>
    </w:tbl>
    <w:p>
      <w:pPr>
        <w:ind w:firstLine="480"/>
        <w:rPr>
          <w:kern w:val="0"/>
          <w:highlight w:val="yellow"/>
        </w:rPr>
      </w:pPr>
    </w:p>
    <w:p>
      <w:pPr>
        <w:spacing w:line="240" w:lineRule="auto"/>
        <w:ind w:firstLine="0" w:firstLineChars="0"/>
        <w:jc w:val="center"/>
        <w:rPr>
          <w:b/>
          <w:sz w:val="20"/>
          <w:szCs w:val="20"/>
          <w:highlight w:val="yellow"/>
        </w:rPr>
      </w:pPr>
      <w:r>
        <w:rPr>
          <w:kern w:val="0"/>
          <w:highlight w:val="yellow"/>
        </w:rPr>
        <w:br w:type="column"/>
      </w: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5.2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5</w:t>
      </w:r>
      <w:r>
        <w:rPr>
          <w:b/>
          <w:sz w:val="21"/>
          <w:szCs w:val="24"/>
        </w:rPr>
        <w:fldChar w:fldCharType="end"/>
      </w:r>
      <w:r>
        <w:rPr>
          <w:b/>
          <w:sz w:val="21"/>
          <w:szCs w:val="21"/>
        </w:rPr>
        <w:t xml:space="preserve">  正常情况下</w:t>
      </w:r>
      <w:r>
        <w:rPr>
          <w:rFonts w:hint="eastAsia"/>
          <w:b/>
          <w:sz w:val="21"/>
          <w:szCs w:val="21"/>
        </w:rPr>
        <w:t>点源</w:t>
      </w:r>
      <w:r>
        <w:rPr>
          <w:b/>
          <w:sz w:val="21"/>
          <w:szCs w:val="21"/>
        </w:rPr>
        <w:t>P5</w:t>
      </w:r>
      <w:r>
        <w:rPr>
          <w:rFonts w:hint="eastAsia"/>
          <w:b/>
          <w:sz w:val="21"/>
          <w:szCs w:val="21"/>
        </w:rPr>
        <w:t>、</w:t>
      </w:r>
      <w:r>
        <w:rPr>
          <w:b/>
          <w:sz w:val="21"/>
          <w:szCs w:val="21"/>
        </w:rPr>
        <w:t>P6排放预测结果</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03"/>
        <w:gridCol w:w="1467"/>
        <w:gridCol w:w="1610"/>
        <w:gridCol w:w="1601"/>
        <w:gridCol w:w="1475"/>
        <w:gridCol w:w="1654"/>
        <w:gridCol w:w="1554"/>
        <w:gridCol w:w="1576"/>
        <w:gridCol w:w="16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403" w:type="dxa"/>
            <w:vMerge w:val="restart"/>
            <w:vAlign w:val="center"/>
          </w:tcPr>
          <w:p>
            <w:pPr>
              <w:pStyle w:val="97"/>
            </w:pPr>
            <w:r>
              <w:t>距源中心下风向距离（m）</w:t>
            </w:r>
          </w:p>
        </w:tc>
        <w:tc>
          <w:tcPr>
            <w:tcW w:w="3077" w:type="dxa"/>
            <w:gridSpan w:val="2"/>
            <w:vAlign w:val="center"/>
          </w:tcPr>
          <w:p>
            <w:pPr>
              <w:pStyle w:val="97"/>
            </w:pPr>
            <w:r>
              <w:rPr>
                <w:rFonts w:hint="eastAsia"/>
              </w:rPr>
              <w:t>甲醇</w:t>
            </w:r>
            <w:r>
              <w:t>回收</w:t>
            </w:r>
          </w:p>
        </w:tc>
        <w:tc>
          <w:tcPr>
            <w:tcW w:w="9492" w:type="dxa"/>
            <w:gridSpan w:val="6"/>
            <w:vAlign w:val="center"/>
          </w:tcPr>
          <w:p>
            <w:pPr>
              <w:pStyle w:val="97"/>
            </w:pPr>
            <w:r>
              <w:rPr>
                <w:rFonts w:hint="eastAsia"/>
              </w:rPr>
              <w:t>天然气</w:t>
            </w:r>
            <w:r>
              <w:t>锅炉废气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403" w:type="dxa"/>
            <w:vMerge w:val="continue"/>
            <w:vAlign w:val="center"/>
          </w:tcPr>
          <w:p>
            <w:pPr>
              <w:pStyle w:val="97"/>
            </w:pPr>
          </w:p>
        </w:tc>
        <w:tc>
          <w:tcPr>
            <w:tcW w:w="3077" w:type="dxa"/>
            <w:gridSpan w:val="2"/>
            <w:vAlign w:val="center"/>
          </w:tcPr>
          <w:p>
            <w:pPr>
              <w:pStyle w:val="97"/>
            </w:pPr>
            <w:r>
              <w:t xml:space="preserve">P5  </w:t>
            </w:r>
            <w:r>
              <w:rPr>
                <w:rFonts w:hint="eastAsia"/>
              </w:rPr>
              <w:t>甲醇</w:t>
            </w:r>
          </w:p>
        </w:tc>
        <w:tc>
          <w:tcPr>
            <w:tcW w:w="3076" w:type="dxa"/>
            <w:gridSpan w:val="2"/>
            <w:vAlign w:val="center"/>
          </w:tcPr>
          <w:p>
            <w:pPr>
              <w:pStyle w:val="97"/>
            </w:pPr>
            <w:r>
              <w:t xml:space="preserve">P6  </w:t>
            </w:r>
            <w:r>
              <w:rPr>
                <w:rFonts w:hint="eastAsia"/>
              </w:rPr>
              <w:t>颗粒物</w:t>
            </w:r>
            <w:r>
              <w:t xml:space="preserve">  </w:t>
            </w:r>
          </w:p>
        </w:tc>
        <w:tc>
          <w:tcPr>
            <w:tcW w:w="3208" w:type="dxa"/>
            <w:gridSpan w:val="2"/>
            <w:vAlign w:val="center"/>
          </w:tcPr>
          <w:p>
            <w:pPr>
              <w:pStyle w:val="97"/>
            </w:pPr>
            <w:r>
              <w:t xml:space="preserve">P6  </w:t>
            </w:r>
            <w:r>
              <w:rPr>
                <w:rFonts w:hint="eastAsia"/>
              </w:rPr>
              <w:t>SO</w:t>
            </w:r>
            <w:r>
              <w:rPr>
                <w:rFonts w:hint="eastAsia"/>
                <w:vertAlign w:val="subscript"/>
              </w:rPr>
              <w:t>2</w:t>
            </w:r>
          </w:p>
        </w:tc>
        <w:tc>
          <w:tcPr>
            <w:tcW w:w="3208" w:type="dxa"/>
            <w:gridSpan w:val="2"/>
            <w:vAlign w:val="center"/>
          </w:tcPr>
          <w:p>
            <w:pPr>
              <w:pStyle w:val="97"/>
            </w:pPr>
            <w:r>
              <w:t xml:space="preserve">P6  </w:t>
            </w:r>
            <w:r>
              <w:rPr>
                <w:rFonts w:hint="eastAsia"/>
              </w:rPr>
              <w:t>NO</w:t>
            </w:r>
            <w:r>
              <w:rPr>
                <w:rFonts w:hint="eastAsia"/>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403" w:type="dxa"/>
            <w:vMerge w:val="continue"/>
            <w:vAlign w:val="center"/>
          </w:tcPr>
          <w:p>
            <w:pPr>
              <w:pStyle w:val="97"/>
            </w:pPr>
          </w:p>
        </w:tc>
        <w:tc>
          <w:tcPr>
            <w:tcW w:w="1467" w:type="dxa"/>
            <w:vAlign w:val="center"/>
          </w:tcPr>
          <w:p>
            <w:pPr>
              <w:pStyle w:val="97"/>
            </w:pPr>
            <w:r>
              <w:t>下风向预测浓度</w:t>
            </w:r>
          </w:p>
          <w:p>
            <w:pPr>
              <w:pStyle w:val="97"/>
            </w:pPr>
            <w:r>
              <w:t>C (μg/m</w:t>
            </w:r>
            <w:r>
              <w:rPr>
                <w:vertAlign w:val="superscript"/>
              </w:rPr>
              <w:t>3</w:t>
            </w:r>
            <w:r>
              <w:t>)</w:t>
            </w:r>
          </w:p>
        </w:tc>
        <w:tc>
          <w:tcPr>
            <w:tcW w:w="1610" w:type="dxa"/>
            <w:vAlign w:val="center"/>
          </w:tcPr>
          <w:p>
            <w:pPr>
              <w:pStyle w:val="97"/>
            </w:pPr>
            <w:r>
              <w:t>浓度占标率</w:t>
            </w:r>
          </w:p>
          <w:p>
            <w:pPr>
              <w:pStyle w:val="97"/>
            </w:pPr>
            <w:r>
              <w:t>P (%)</w:t>
            </w:r>
          </w:p>
        </w:tc>
        <w:tc>
          <w:tcPr>
            <w:tcW w:w="1601" w:type="dxa"/>
            <w:vAlign w:val="center"/>
          </w:tcPr>
          <w:p>
            <w:pPr>
              <w:pStyle w:val="97"/>
            </w:pPr>
            <w:r>
              <w:t>下风向预测浓度</w:t>
            </w:r>
          </w:p>
          <w:p>
            <w:pPr>
              <w:pStyle w:val="97"/>
            </w:pPr>
            <w:r>
              <w:t>C (μg/m</w:t>
            </w:r>
            <w:r>
              <w:rPr>
                <w:vertAlign w:val="superscript"/>
              </w:rPr>
              <w:t>3</w:t>
            </w:r>
            <w:r>
              <w:t>)</w:t>
            </w:r>
          </w:p>
        </w:tc>
        <w:tc>
          <w:tcPr>
            <w:tcW w:w="1475" w:type="dxa"/>
            <w:vAlign w:val="center"/>
          </w:tcPr>
          <w:p>
            <w:pPr>
              <w:pStyle w:val="97"/>
            </w:pPr>
            <w:r>
              <w:t>浓度占标率</w:t>
            </w:r>
          </w:p>
          <w:p>
            <w:pPr>
              <w:pStyle w:val="97"/>
            </w:pPr>
            <w:r>
              <w:t>P (%)</w:t>
            </w:r>
          </w:p>
        </w:tc>
        <w:tc>
          <w:tcPr>
            <w:tcW w:w="1654" w:type="dxa"/>
            <w:vAlign w:val="center"/>
          </w:tcPr>
          <w:p>
            <w:pPr>
              <w:pStyle w:val="97"/>
            </w:pPr>
            <w:r>
              <w:t>下风向预测浓度</w:t>
            </w:r>
          </w:p>
          <w:p>
            <w:pPr>
              <w:pStyle w:val="97"/>
            </w:pPr>
            <w:r>
              <w:t>C (μg/m</w:t>
            </w:r>
            <w:r>
              <w:rPr>
                <w:vertAlign w:val="superscript"/>
              </w:rPr>
              <w:t>3</w:t>
            </w:r>
            <w:r>
              <w:t>)</w:t>
            </w:r>
          </w:p>
        </w:tc>
        <w:tc>
          <w:tcPr>
            <w:tcW w:w="1554" w:type="dxa"/>
            <w:vAlign w:val="center"/>
          </w:tcPr>
          <w:p>
            <w:pPr>
              <w:pStyle w:val="97"/>
            </w:pPr>
            <w:r>
              <w:t>浓度占标率</w:t>
            </w:r>
          </w:p>
          <w:p>
            <w:pPr>
              <w:pStyle w:val="97"/>
            </w:pPr>
            <w:r>
              <w:t>P (%)</w:t>
            </w:r>
          </w:p>
        </w:tc>
        <w:tc>
          <w:tcPr>
            <w:tcW w:w="1576" w:type="dxa"/>
            <w:vAlign w:val="center"/>
          </w:tcPr>
          <w:p>
            <w:pPr>
              <w:pStyle w:val="97"/>
            </w:pPr>
            <w:r>
              <w:t>下风向预测浓度C (μg/m</w:t>
            </w:r>
            <w:r>
              <w:rPr>
                <w:vertAlign w:val="superscript"/>
              </w:rPr>
              <w:t>3</w:t>
            </w:r>
            <w:r>
              <w:t>)</w:t>
            </w:r>
          </w:p>
        </w:tc>
        <w:tc>
          <w:tcPr>
            <w:tcW w:w="1632" w:type="dxa"/>
            <w:vAlign w:val="center"/>
          </w:tcPr>
          <w:p>
            <w:pPr>
              <w:pStyle w:val="97"/>
            </w:pPr>
            <w:r>
              <w:t>浓度占标率P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50</w:t>
            </w:r>
          </w:p>
        </w:tc>
        <w:tc>
          <w:tcPr>
            <w:tcW w:w="1467" w:type="dxa"/>
            <w:vAlign w:val="center"/>
          </w:tcPr>
          <w:p>
            <w:pPr>
              <w:pStyle w:val="97"/>
            </w:pPr>
            <w:r>
              <w:t>0.1151</w:t>
            </w:r>
          </w:p>
        </w:tc>
        <w:tc>
          <w:tcPr>
            <w:tcW w:w="1610" w:type="dxa"/>
            <w:vAlign w:val="center"/>
          </w:tcPr>
          <w:p>
            <w:pPr>
              <w:pStyle w:val="97"/>
            </w:pPr>
            <w:r>
              <w:t>0.0038</w:t>
            </w:r>
          </w:p>
        </w:tc>
        <w:tc>
          <w:tcPr>
            <w:tcW w:w="1601" w:type="dxa"/>
            <w:vAlign w:val="center"/>
          </w:tcPr>
          <w:p>
            <w:pPr>
              <w:pStyle w:val="92"/>
            </w:pPr>
            <w:r>
              <w:t>0.2074</w:t>
            </w:r>
          </w:p>
        </w:tc>
        <w:tc>
          <w:tcPr>
            <w:tcW w:w="1475" w:type="dxa"/>
            <w:vAlign w:val="center"/>
          </w:tcPr>
          <w:p>
            <w:pPr>
              <w:pStyle w:val="92"/>
            </w:pPr>
            <w:r>
              <w:t>0.0461</w:t>
            </w:r>
          </w:p>
        </w:tc>
        <w:tc>
          <w:tcPr>
            <w:tcW w:w="1654" w:type="dxa"/>
            <w:vAlign w:val="center"/>
          </w:tcPr>
          <w:p>
            <w:pPr>
              <w:pStyle w:val="92"/>
            </w:pPr>
            <w:r>
              <w:t>0.1728</w:t>
            </w:r>
          </w:p>
        </w:tc>
        <w:tc>
          <w:tcPr>
            <w:tcW w:w="1554" w:type="dxa"/>
            <w:vAlign w:val="center"/>
          </w:tcPr>
          <w:p>
            <w:pPr>
              <w:pStyle w:val="92"/>
            </w:pPr>
            <w:r>
              <w:t>0.0346</w:t>
            </w:r>
          </w:p>
        </w:tc>
        <w:tc>
          <w:tcPr>
            <w:tcW w:w="1576" w:type="dxa"/>
            <w:vAlign w:val="center"/>
          </w:tcPr>
          <w:p>
            <w:pPr>
              <w:pStyle w:val="92"/>
            </w:pPr>
            <w:r>
              <w:t>0.1613</w:t>
            </w:r>
          </w:p>
        </w:tc>
        <w:tc>
          <w:tcPr>
            <w:tcW w:w="1632" w:type="dxa"/>
            <w:vAlign w:val="center"/>
          </w:tcPr>
          <w:p>
            <w:pPr>
              <w:pStyle w:val="92"/>
            </w:pPr>
            <w:r>
              <w:t>0.0645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100</w:t>
            </w:r>
          </w:p>
        </w:tc>
        <w:tc>
          <w:tcPr>
            <w:tcW w:w="1467" w:type="dxa"/>
            <w:vAlign w:val="center"/>
          </w:tcPr>
          <w:p>
            <w:pPr>
              <w:pStyle w:val="97"/>
            </w:pPr>
            <w:r>
              <w:t>0.2177</w:t>
            </w:r>
          </w:p>
        </w:tc>
        <w:tc>
          <w:tcPr>
            <w:tcW w:w="1610" w:type="dxa"/>
            <w:vAlign w:val="center"/>
          </w:tcPr>
          <w:p>
            <w:pPr>
              <w:pStyle w:val="97"/>
            </w:pPr>
            <w:r>
              <w:t>0.0073</w:t>
            </w:r>
          </w:p>
        </w:tc>
        <w:tc>
          <w:tcPr>
            <w:tcW w:w="1601" w:type="dxa"/>
            <w:vAlign w:val="center"/>
          </w:tcPr>
          <w:p>
            <w:pPr>
              <w:pStyle w:val="92"/>
            </w:pPr>
            <w:r>
              <w:t>0.5113</w:t>
            </w:r>
          </w:p>
        </w:tc>
        <w:tc>
          <w:tcPr>
            <w:tcW w:w="1475" w:type="dxa"/>
            <w:vAlign w:val="center"/>
          </w:tcPr>
          <w:p>
            <w:pPr>
              <w:pStyle w:val="92"/>
            </w:pPr>
            <w:r>
              <w:t>0.1136</w:t>
            </w:r>
          </w:p>
        </w:tc>
        <w:tc>
          <w:tcPr>
            <w:tcW w:w="1654" w:type="dxa"/>
            <w:vAlign w:val="center"/>
          </w:tcPr>
          <w:p>
            <w:pPr>
              <w:pStyle w:val="92"/>
            </w:pPr>
            <w:r>
              <w:t>0.4261</w:t>
            </w:r>
          </w:p>
        </w:tc>
        <w:tc>
          <w:tcPr>
            <w:tcW w:w="1554" w:type="dxa"/>
            <w:vAlign w:val="center"/>
          </w:tcPr>
          <w:p>
            <w:pPr>
              <w:pStyle w:val="92"/>
            </w:pPr>
            <w:r>
              <w:t>0.0852</w:t>
            </w:r>
          </w:p>
        </w:tc>
        <w:tc>
          <w:tcPr>
            <w:tcW w:w="1576" w:type="dxa"/>
            <w:vAlign w:val="center"/>
          </w:tcPr>
          <w:p>
            <w:pPr>
              <w:pStyle w:val="92"/>
            </w:pPr>
            <w:r>
              <w:t>0.3977</w:t>
            </w:r>
          </w:p>
        </w:tc>
        <w:tc>
          <w:tcPr>
            <w:tcW w:w="1632" w:type="dxa"/>
            <w:vAlign w:val="center"/>
          </w:tcPr>
          <w:p>
            <w:pPr>
              <w:pStyle w:val="92"/>
            </w:pPr>
            <w:r>
              <w:t>0.1591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200</w:t>
            </w:r>
          </w:p>
        </w:tc>
        <w:tc>
          <w:tcPr>
            <w:tcW w:w="1467" w:type="dxa"/>
            <w:vAlign w:val="center"/>
          </w:tcPr>
          <w:p>
            <w:pPr>
              <w:pStyle w:val="97"/>
            </w:pPr>
            <w:r>
              <w:t>0.3414</w:t>
            </w:r>
          </w:p>
        </w:tc>
        <w:tc>
          <w:tcPr>
            <w:tcW w:w="1610" w:type="dxa"/>
            <w:vAlign w:val="center"/>
          </w:tcPr>
          <w:p>
            <w:pPr>
              <w:pStyle w:val="97"/>
            </w:pPr>
            <w:r>
              <w:t>0.0114</w:t>
            </w:r>
          </w:p>
        </w:tc>
        <w:tc>
          <w:tcPr>
            <w:tcW w:w="1601" w:type="dxa"/>
            <w:vAlign w:val="center"/>
          </w:tcPr>
          <w:p>
            <w:pPr>
              <w:pStyle w:val="92"/>
            </w:pPr>
            <w:r>
              <w:t>0.7411</w:t>
            </w:r>
          </w:p>
        </w:tc>
        <w:tc>
          <w:tcPr>
            <w:tcW w:w="1475" w:type="dxa"/>
            <w:vAlign w:val="center"/>
          </w:tcPr>
          <w:p>
            <w:pPr>
              <w:pStyle w:val="92"/>
            </w:pPr>
            <w:r>
              <w:t>0.1647</w:t>
            </w:r>
          </w:p>
        </w:tc>
        <w:tc>
          <w:tcPr>
            <w:tcW w:w="1654" w:type="dxa"/>
            <w:vAlign w:val="center"/>
          </w:tcPr>
          <w:p>
            <w:pPr>
              <w:pStyle w:val="92"/>
            </w:pPr>
            <w:r>
              <w:t>0.6176</w:t>
            </w:r>
          </w:p>
        </w:tc>
        <w:tc>
          <w:tcPr>
            <w:tcW w:w="1554" w:type="dxa"/>
            <w:vAlign w:val="center"/>
          </w:tcPr>
          <w:p>
            <w:pPr>
              <w:pStyle w:val="92"/>
            </w:pPr>
            <w:r>
              <w:t>0.1235</w:t>
            </w:r>
          </w:p>
        </w:tc>
        <w:tc>
          <w:tcPr>
            <w:tcW w:w="1576" w:type="dxa"/>
            <w:vAlign w:val="center"/>
          </w:tcPr>
          <w:p>
            <w:pPr>
              <w:pStyle w:val="92"/>
            </w:pPr>
            <w:r>
              <w:t>0.5765</w:t>
            </w:r>
          </w:p>
        </w:tc>
        <w:tc>
          <w:tcPr>
            <w:tcW w:w="1632" w:type="dxa"/>
            <w:vAlign w:val="center"/>
          </w:tcPr>
          <w:p>
            <w:pPr>
              <w:pStyle w:val="92"/>
            </w:pPr>
            <w:r>
              <w:t>0.2306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300</w:t>
            </w:r>
          </w:p>
        </w:tc>
        <w:tc>
          <w:tcPr>
            <w:tcW w:w="1467" w:type="dxa"/>
            <w:vAlign w:val="center"/>
          </w:tcPr>
          <w:p>
            <w:pPr>
              <w:pStyle w:val="97"/>
            </w:pPr>
            <w:r>
              <w:t>4.7792</w:t>
            </w:r>
          </w:p>
        </w:tc>
        <w:tc>
          <w:tcPr>
            <w:tcW w:w="1610" w:type="dxa"/>
            <w:vAlign w:val="center"/>
          </w:tcPr>
          <w:p>
            <w:pPr>
              <w:pStyle w:val="97"/>
            </w:pPr>
            <w:r>
              <w:t>0.1593</w:t>
            </w:r>
          </w:p>
        </w:tc>
        <w:tc>
          <w:tcPr>
            <w:tcW w:w="1601" w:type="dxa"/>
            <w:vAlign w:val="center"/>
          </w:tcPr>
          <w:p>
            <w:pPr>
              <w:pStyle w:val="92"/>
            </w:pPr>
            <w:r>
              <w:t>6.9041</w:t>
            </w:r>
          </w:p>
        </w:tc>
        <w:tc>
          <w:tcPr>
            <w:tcW w:w="1475" w:type="dxa"/>
            <w:vAlign w:val="center"/>
          </w:tcPr>
          <w:p>
            <w:pPr>
              <w:pStyle w:val="92"/>
            </w:pPr>
            <w:r>
              <w:t>1.5342</w:t>
            </w:r>
          </w:p>
        </w:tc>
        <w:tc>
          <w:tcPr>
            <w:tcW w:w="1654" w:type="dxa"/>
            <w:vAlign w:val="center"/>
          </w:tcPr>
          <w:p>
            <w:pPr>
              <w:pStyle w:val="92"/>
            </w:pPr>
            <w:r>
              <w:t>5.7534</w:t>
            </w:r>
          </w:p>
        </w:tc>
        <w:tc>
          <w:tcPr>
            <w:tcW w:w="1554" w:type="dxa"/>
            <w:vAlign w:val="center"/>
          </w:tcPr>
          <w:p>
            <w:pPr>
              <w:pStyle w:val="92"/>
            </w:pPr>
            <w:r>
              <w:t>1.1507</w:t>
            </w:r>
          </w:p>
        </w:tc>
        <w:tc>
          <w:tcPr>
            <w:tcW w:w="1576" w:type="dxa"/>
            <w:vAlign w:val="center"/>
          </w:tcPr>
          <w:p>
            <w:pPr>
              <w:pStyle w:val="92"/>
            </w:pPr>
            <w:r>
              <w:t>5.3699</w:t>
            </w:r>
          </w:p>
        </w:tc>
        <w:tc>
          <w:tcPr>
            <w:tcW w:w="1632" w:type="dxa"/>
            <w:vAlign w:val="center"/>
          </w:tcPr>
          <w:p>
            <w:pPr>
              <w:pStyle w:val="92"/>
            </w:pPr>
            <w:r>
              <w:t>2.1479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400</w:t>
            </w:r>
          </w:p>
        </w:tc>
        <w:tc>
          <w:tcPr>
            <w:tcW w:w="1467" w:type="dxa"/>
            <w:vAlign w:val="center"/>
          </w:tcPr>
          <w:p>
            <w:pPr>
              <w:pStyle w:val="97"/>
            </w:pPr>
            <w:r>
              <w:t>2.9023</w:t>
            </w:r>
          </w:p>
        </w:tc>
        <w:tc>
          <w:tcPr>
            <w:tcW w:w="1610" w:type="dxa"/>
            <w:vAlign w:val="center"/>
          </w:tcPr>
          <w:p>
            <w:pPr>
              <w:pStyle w:val="97"/>
            </w:pPr>
            <w:r>
              <w:t>0.0967</w:t>
            </w:r>
          </w:p>
        </w:tc>
        <w:tc>
          <w:tcPr>
            <w:tcW w:w="1601" w:type="dxa"/>
            <w:vAlign w:val="center"/>
          </w:tcPr>
          <w:p>
            <w:pPr>
              <w:pStyle w:val="92"/>
            </w:pPr>
            <w:r>
              <w:t>16.5560</w:t>
            </w:r>
          </w:p>
        </w:tc>
        <w:tc>
          <w:tcPr>
            <w:tcW w:w="1475" w:type="dxa"/>
            <w:vAlign w:val="center"/>
          </w:tcPr>
          <w:p>
            <w:pPr>
              <w:pStyle w:val="92"/>
            </w:pPr>
            <w:r>
              <w:t>3.6791</w:t>
            </w:r>
          </w:p>
        </w:tc>
        <w:tc>
          <w:tcPr>
            <w:tcW w:w="1654" w:type="dxa"/>
            <w:vAlign w:val="center"/>
          </w:tcPr>
          <w:p>
            <w:pPr>
              <w:pStyle w:val="92"/>
            </w:pPr>
            <w:r>
              <w:t>13.7967</w:t>
            </w:r>
          </w:p>
        </w:tc>
        <w:tc>
          <w:tcPr>
            <w:tcW w:w="1554" w:type="dxa"/>
            <w:vAlign w:val="center"/>
          </w:tcPr>
          <w:p>
            <w:pPr>
              <w:pStyle w:val="92"/>
            </w:pPr>
            <w:r>
              <w:t>2.7593</w:t>
            </w:r>
          </w:p>
        </w:tc>
        <w:tc>
          <w:tcPr>
            <w:tcW w:w="1576" w:type="dxa"/>
            <w:vAlign w:val="center"/>
          </w:tcPr>
          <w:p>
            <w:pPr>
              <w:pStyle w:val="92"/>
            </w:pPr>
            <w:r>
              <w:t>12.8769</w:t>
            </w:r>
          </w:p>
        </w:tc>
        <w:tc>
          <w:tcPr>
            <w:tcW w:w="1632" w:type="dxa"/>
            <w:vAlign w:val="center"/>
          </w:tcPr>
          <w:p>
            <w:pPr>
              <w:pStyle w:val="92"/>
            </w:pPr>
            <w:r>
              <w:t>5.1508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500</w:t>
            </w:r>
          </w:p>
        </w:tc>
        <w:tc>
          <w:tcPr>
            <w:tcW w:w="1467" w:type="dxa"/>
            <w:vAlign w:val="center"/>
          </w:tcPr>
          <w:p>
            <w:pPr>
              <w:pStyle w:val="97"/>
            </w:pPr>
            <w:r>
              <w:t>3.2193</w:t>
            </w:r>
          </w:p>
        </w:tc>
        <w:tc>
          <w:tcPr>
            <w:tcW w:w="1610" w:type="dxa"/>
            <w:vAlign w:val="center"/>
          </w:tcPr>
          <w:p>
            <w:pPr>
              <w:pStyle w:val="97"/>
            </w:pPr>
            <w:r>
              <w:t>0.1073</w:t>
            </w:r>
          </w:p>
        </w:tc>
        <w:tc>
          <w:tcPr>
            <w:tcW w:w="1601" w:type="dxa"/>
            <w:vAlign w:val="center"/>
          </w:tcPr>
          <w:p>
            <w:pPr>
              <w:pStyle w:val="92"/>
            </w:pPr>
            <w:r>
              <w:t>8.2363</w:t>
            </w:r>
          </w:p>
        </w:tc>
        <w:tc>
          <w:tcPr>
            <w:tcW w:w="1475" w:type="dxa"/>
            <w:vAlign w:val="center"/>
          </w:tcPr>
          <w:p>
            <w:pPr>
              <w:pStyle w:val="92"/>
            </w:pPr>
            <w:r>
              <w:t>1.8303</w:t>
            </w:r>
          </w:p>
        </w:tc>
        <w:tc>
          <w:tcPr>
            <w:tcW w:w="1654" w:type="dxa"/>
            <w:vAlign w:val="center"/>
          </w:tcPr>
          <w:p>
            <w:pPr>
              <w:pStyle w:val="92"/>
            </w:pPr>
            <w:r>
              <w:t>6.8636</w:t>
            </w:r>
          </w:p>
        </w:tc>
        <w:tc>
          <w:tcPr>
            <w:tcW w:w="1554" w:type="dxa"/>
            <w:vAlign w:val="center"/>
          </w:tcPr>
          <w:p>
            <w:pPr>
              <w:pStyle w:val="92"/>
            </w:pPr>
            <w:r>
              <w:t>1.3727</w:t>
            </w:r>
          </w:p>
        </w:tc>
        <w:tc>
          <w:tcPr>
            <w:tcW w:w="1576" w:type="dxa"/>
            <w:vAlign w:val="center"/>
          </w:tcPr>
          <w:p>
            <w:pPr>
              <w:pStyle w:val="92"/>
            </w:pPr>
            <w:r>
              <w:t>6.4060</w:t>
            </w:r>
          </w:p>
        </w:tc>
        <w:tc>
          <w:tcPr>
            <w:tcW w:w="1632" w:type="dxa"/>
            <w:vAlign w:val="center"/>
          </w:tcPr>
          <w:p>
            <w:pPr>
              <w:pStyle w:val="92"/>
            </w:pPr>
            <w:r>
              <w:t>2.5624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600</w:t>
            </w:r>
          </w:p>
        </w:tc>
        <w:tc>
          <w:tcPr>
            <w:tcW w:w="1467" w:type="dxa"/>
            <w:vAlign w:val="center"/>
          </w:tcPr>
          <w:p>
            <w:pPr>
              <w:pStyle w:val="97"/>
            </w:pPr>
            <w:r>
              <w:t>2.5399</w:t>
            </w:r>
          </w:p>
        </w:tc>
        <w:tc>
          <w:tcPr>
            <w:tcW w:w="1610" w:type="dxa"/>
            <w:vAlign w:val="center"/>
          </w:tcPr>
          <w:p>
            <w:pPr>
              <w:pStyle w:val="97"/>
            </w:pPr>
            <w:r>
              <w:t>0.0847</w:t>
            </w:r>
          </w:p>
        </w:tc>
        <w:tc>
          <w:tcPr>
            <w:tcW w:w="1601" w:type="dxa"/>
            <w:vAlign w:val="center"/>
          </w:tcPr>
          <w:p>
            <w:pPr>
              <w:pStyle w:val="92"/>
            </w:pPr>
            <w:r>
              <w:t>9.5827</w:t>
            </w:r>
          </w:p>
        </w:tc>
        <w:tc>
          <w:tcPr>
            <w:tcW w:w="1475" w:type="dxa"/>
            <w:vAlign w:val="center"/>
          </w:tcPr>
          <w:p>
            <w:pPr>
              <w:pStyle w:val="92"/>
            </w:pPr>
            <w:r>
              <w:t>2.1295</w:t>
            </w:r>
          </w:p>
        </w:tc>
        <w:tc>
          <w:tcPr>
            <w:tcW w:w="1654" w:type="dxa"/>
            <w:vAlign w:val="center"/>
          </w:tcPr>
          <w:p>
            <w:pPr>
              <w:pStyle w:val="92"/>
            </w:pPr>
            <w:r>
              <w:t>7.9856</w:t>
            </w:r>
          </w:p>
        </w:tc>
        <w:tc>
          <w:tcPr>
            <w:tcW w:w="1554" w:type="dxa"/>
            <w:vAlign w:val="center"/>
          </w:tcPr>
          <w:p>
            <w:pPr>
              <w:pStyle w:val="92"/>
            </w:pPr>
            <w:r>
              <w:t>1.5971</w:t>
            </w:r>
          </w:p>
        </w:tc>
        <w:tc>
          <w:tcPr>
            <w:tcW w:w="1576" w:type="dxa"/>
            <w:vAlign w:val="center"/>
          </w:tcPr>
          <w:p>
            <w:pPr>
              <w:pStyle w:val="92"/>
            </w:pPr>
            <w:r>
              <w:t>7.4532</w:t>
            </w:r>
          </w:p>
        </w:tc>
        <w:tc>
          <w:tcPr>
            <w:tcW w:w="1632" w:type="dxa"/>
            <w:vAlign w:val="center"/>
          </w:tcPr>
          <w:p>
            <w:pPr>
              <w:pStyle w:val="92"/>
            </w:pPr>
            <w:r>
              <w:t>2.9813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700</w:t>
            </w:r>
          </w:p>
        </w:tc>
        <w:tc>
          <w:tcPr>
            <w:tcW w:w="1467" w:type="dxa"/>
            <w:vAlign w:val="center"/>
          </w:tcPr>
          <w:p>
            <w:pPr>
              <w:pStyle w:val="97"/>
            </w:pPr>
            <w:r>
              <w:t>3.1932</w:t>
            </w:r>
          </w:p>
        </w:tc>
        <w:tc>
          <w:tcPr>
            <w:tcW w:w="1610" w:type="dxa"/>
            <w:vAlign w:val="center"/>
          </w:tcPr>
          <w:p>
            <w:pPr>
              <w:pStyle w:val="97"/>
            </w:pPr>
            <w:r>
              <w:t>0.1064</w:t>
            </w:r>
          </w:p>
        </w:tc>
        <w:tc>
          <w:tcPr>
            <w:tcW w:w="1601" w:type="dxa"/>
            <w:vAlign w:val="center"/>
          </w:tcPr>
          <w:p>
            <w:pPr>
              <w:pStyle w:val="92"/>
            </w:pPr>
            <w:r>
              <w:t>7.5583</w:t>
            </w:r>
          </w:p>
        </w:tc>
        <w:tc>
          <w:tcPr>
            <w:tcW w:w="1475" w:type="dxa"/>
            <w:vAlign w:val="center"/>
          </w:tcPr>
          <w:p>
            <w:pPr>
              <w:pStyle w:val="92"/>
            </w:pPr>
            <w:r>
              <w:t>1.6796</w:t>
            </w:r>
          </w:p>
        </w:tc>
        <w:tc>
          <w:tcPr>
            <w:tcW w:w="1654" w:type="dxa"/>
            <w:vAlign w:val="center"/>
          </w:tcPr>
          <w:p>
            <w:pPr>
              <w:pStyle w:val="92"/>
            </w:pPr>
            <w:r>
              <w:t>6.2986</w:t>
            </w:r>
          </w:p>
        </w:tc>
        <w:tc>
          <w:tcPr>
            <w:tcW w:w="1554" w:type="dxa"/>
            <w:vAlign w:val="center"/>
          </w:tcPr>
          <w:p>
            <w:pPr>
              <w:pStyle w:val="92"/>
            </w:pPr>
            <w:r>
              <w:t>1.2597</w:t>
            </w:r>
          </w:p>
        </w:tc>
        <w:tc>
          <w:tcPr>
            <w:tcW w:w="1576" w:type="dxa"/>
            <w:vAlign w:val="center"/>
          </w:tcPr>
          <w:p>
            <w:pPr>
              <w:pStyle w:val="92"/>
            </w:pPr>
            <w:r>
              <w:t>5.8787</w:t>
            </w:r>
          </w:p>
        </w:tc>
        <w:tc>
          <w:tcPr>
            <w:tcW w:w="1632" w:type="dxa"/>
            <w:vAlign w:val="center"/>
          </w:tcPr>
          <w:p>
            <w:pPr>
              <w:pStyle w:val="92"/>
            </w:pPr>
            <w:r>
              <w:t>2.3515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800</w:t>
            </w:r>
          </w:p>
        </w:tc>
        <w:tc>
          <w:tcPr>
            <w:tcW w:w="1467" w:type="dxa"/>
            <w:vAlign w:val="center"/>
          </w:tcPr>
          <w:p>
            <w:pPr>
              <w:pStyle w:val="97"/>
            </w:pPr>
            <w:r>
              <w:t>2.9757</w:t>
            </w:r>
          </w:p>
        </w:tc>
        <w:tc>
          <w:tcPr>
            <w:tcW w:w="1610" w:type="dxa"/>
            <w:vAlign w:val="center"/>
          </w:tcPr>
          <w:p>
            <w:pPr>
              <w:pStyle w:val="97"/>
            </w:pPr>
            <w:r>
              <w:t>0.0992</w:t>
            </w:r>
          </w:p>
        </w:tc>
        <w:tc>
          <w:tcPr>
            <w:tcW w:w="1601" w:type="dxa"/>
            <w:vAlign w:val="center"/>
          </w:tcPr>
          <w:p>
            <w:pPr>
              <w:pStyle w:val="92"/>
            </w:pPr>
            <w:r>
              <w:t>3.7270</w:t>
            </w:r>
          </w:p>
        </w:tc>
        <w:tc>
          <w:tcPr>
            <w:tcW w:w="1475" w:type="dxa"/>
            <w:vAlign w:val="center"/>
          </w:tcPr>
          <w:p>
            <w:pPr>
              <w:pStyle w:val="92"/>
            </w:pPr>
            <w:r>
              <w:t>0.8282</w:t>
            </w:r>
          </w:p>
        </w:tc>
        <w:tc>
          <w:tcPr>
            <w:tcW w:w="1654" w:type="dxa"/>
            <w:vAlign w:val="center"/>
          </w:tcPr>
          <w:p>
            <w:pPr>
              <w:pStyle w:val="92"/>
            </w:pPr>
            <w:r>
              <w:t>3.1058</w:t>
            </w:r>
          </w:p>
        </w:tc>
        <w:tc>
          <w:tcPr>
            <w:tcW w:w="1554" w:type="dxa"/>
            <w:vAlign w:val="center"/>
          </w:tcPr>
          <w:p>
            <w:pPr>
              <w:pStyle w:val="92"/>
            </w:pPr>
            <w:r>
              <w:t>0.6212</w:t>
            </w:r>
          </w:p>
        </w:tc>
        <w:tc>
          <w:tcPr>
            <w:tcW w:w="1576" w:type="dxa"/>
            <w:vAlign w:val="center"/>
          </w:tcPr>
          <w:p>
            <w:pPr>
              <w:pStyle w:val="92"/>
            </w:pPr>
            <w:r>
              <w:t>2.8988</w:t>
            </w:r>
          </w:p>
        </w:tc>
        <w:tc>
          <w:tcPr>
            <w:tcW w:w="1632" w:type="dxa"/>
            <w:vAlign w:val="center"/>
          </w:tcPr>
          <w:p>
            <w:pPr>
              <w:pStyle w:val="92"/>
            </w:pPr>
            <w:r>
              <w:t>1.1595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900</w:t>
            </w:r>
          </w:p>
        </w:tc>
        <w:tc>
          <w:tcPr>
            <w:tcW w:w="1467" w:type="dxa"/>
            <w:vAlign w:val="center"/>
          </w:tcPr>
          <w:p>
            <w:pPr>
              <w:pStyle w:val="97"/>
            </w:pPr>
            <w:r>
              <w:t>1.5977</w:t>
            </w:r>
          </w:p>
        </w:tc>
        <w:tc>
          <w:tcPr>
            <w:tcW w:w="1610" w:type="dxa"/>
            <w:vAlign w:val="center"/>
          </w:tcPr>
          <w:p>
            <w:pPr>
              <w:pStyle w:val="97"/>
            </w:pPr>
            <w:r>
              <w:t>0.0533</w:t>
            </w:r>
          </w:p>
        </w:tc>
        <w:tc>
          <w:tcPr>
            <w:tcW w:w="1601" w:type="dxa"/>
            <w:vAlign w:val="center"/>
          </w:tcPr>
          <w:p>
            <w:pPr>
              <w:pStyle w:val="92"/>
            </w:pPr>
            <w:r>
              <w:t>2.9546</w:t>
            </w:r>
          </w:p>
        </w:tc>
        <w:tc>
          <w:tcPr>
            <w:tcW w:w="1475" w:type="dxa"/>
            <w:vAlign w:val="center"/>
          </w:tcPr>
          <w:p>
            <w:pPr>
              <w:pStyle w:val="92"/>
            </w:pPr>
            <w:r>
              <w:t>0.6566</w:t>
            </w:r>
          </w:p>
        </w:tc>
        <w:tc>
          <w:tcPr>
            <w:tcW w:w="1654" w:type="dxa"/>
            <w:vAlign w:val="center"/>
          </w:tcPr>
          <w:p>
            <w:pPr>
              <w:pStyle w:val="92"/>
            </w:pPr>
            <w:r>
              <w:t>2.4622</w:t>
            </w:r>
          </w:p>
        </w:tc>
        <w:tc>
          <w:tcPr>
            <w:tcW w:w="1554" w:type="dxa"/>
            <w:vAlign w:val="center"/>
          </w:tcPr>
          <w:p>
            <w:pPr>
              <w:pStyle w:val="92"/>
            </w:pPr>
            <w:r>
              <w:t>0.4924</w:t>
            </w:r>
          </w:p>
        </w:tc>
        <w:tc>
          <w:tcPr>
            <w:tcW w:w="1576" w:type="dxa"/>
            <w:vAlign w:val="center"/>
          </w:tcPr>
          <w:p>
            <w:pPr>
              <w:pStyle w:val="92"/>
            </w:pPr>
            <w:r>
              <w:t>2.2980</w:t>
            </w:r>
          </w:p>
        </w:tc>
        <w:tc>
          <w:tcPr>
            <w:tcW w:w="1632" w:type="dxa"/>
            <w:vAlign w:val="center"/>
          </w:tcPr>
          <w:p>
            <w:pPr>
              <w:pStyle w:val="92"/>
            </w:pPr>
            <w:r>
              <w:t>0.9192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1000</w:t>
            </w:r>
          </w:p>
        </w:tc>
        <w:tc>
          <w:tcPr>
            <w:tcW w:w="1467" w:type="dxa"/>
            <w:vAlign w:val="center"/>
          </w:tcPr>
          <w:p>
            <w:pPr>
              <w:pStyle w:val="97"/>
            </w:pPr>
            <w:r>
              <w:t>2.2693</w:t>
            </w:r>
          </w:p>
        </w:tc>
        <w:tc>
          <w:tcPr>
            <w:tcW w:w="1610" w:type="dxa"/>
            <w:vAlign w:val="center"/>
          </w:tcPr>
          <w:p>
            <w:pPr>
              <w:pStyle w:val="97"/>
            </w:pPr>
            <w:r>
              <w:t>0.0756</w:t>
            </w:r>
          </w:p>
        </w:tc>
        <w:tc>
          <w:tcPr>
            <w:tcW w:w="1601" w:type="dxa"/>
            <w:vAlign w:val="center"/>
          </w:tcPr>
          <w:p>
            <w:pPr>
              <w:pStyle w:val="92"/>
            </w:pPr>
            <w:r>
              <w:t>4.8965</w:t>
            </w:r>
          </w:p>
        </w:tc>
        <w:tc>
          <w:tcPr>
            <w:tcW w:w="1475" w:type="dxa"/>
            <w:vAlign w:val="center"/>
          </w:tcPr>
          <w:p>
            <w:pPr>
              <w:pStyle w:val="92"/>
            </w:pPr>
            <w:r>
              <w:t>1.0881</w:t>
            </w:r>
          </w:p>
        </w:tc>
        <w:tc>
          <w:tcPr>
            <w:tcW w:w="1654" w:type="dxa"/>
            <w:vAlign w:val="center"/>
          </w:tcPr>
          <w:p>
            <w:pPr>
              <w:pStyle w:val="92"/>
            </w:pPr>
            <w:r>
              <w:t>4.0804</w:t>
            </w:r>
          </w:p>
        </w:tc>
        <w:tc>
          <w:tcPr>
            <w:tcW w:w="1554" w:type="dxa"/>
            <w:vAlign w:val="center"/>
          </w:tcPr>
          <w:p>
            <w:pPr>
              <w:pStyle w:val="92"/>
            </w:pPr>
            <w:r>
              <w:t>0.8161</w:t>
            </w:r>
          </w:p>
        </w:tc>
        <w:tc>
          <w:tcPr>
            <w:tcW w:w="1576" w:type="dxa"/>
            <w:vAlign w:val="center"/>
          </w:tcPr>
          <w:p>
            <w:pPr>
              <w:pStyle w:val="92"/>
            </w:pPr>
            <w:r>
              <w:t>3.8084</w:t>
            </w:r>
          </w:p>
        </w:tc>
        <w:tc>
          <w:tcPr>
            <w:tcW w:w="1632" w:type="dxa"/>
            <w:vAlign w:val="center"/>
          </w:tcPr>
          <w:p>
            <w:pPr>
              <w:pStyle w:val="92"/>
            </w:pPr>
            <w:r>
              <w:t>1.5234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1200</w:t>
            </w:r>
          </w:p>
        </w:tc>
        <w:tc>
          <w:tcPr>
            <w:tcW w:w="1467" w:type="dxa"/>
            <w:vAlign w:val="center"/>
          </w:tcPr>
          <w:p>
            <w:pPr>
              <w:pStyle w:val="97"/>
            </w:pPr>
            <w:r>
              <w:t>1.7217</w:t>
            </w:r>
          </w:p>
        </w:tc>
        <w:tc>
          <w:tcPr>
            <w:tcW w:w="1610" w:type="dxa"/>
            <w:vAlign w:val="center"/>
          </w:tcPr>
          <w:p>
            <w:pPr>
              <w:pStyle w:val="97"/>
            </w:pPr>
            <w:r>
              <w:t>0.0574</w:t>
            </w:r>
          </w:p>
        </w:tc>
        <w:tc>
          <w:tcPr>
            <w:tcW w:w="1601" w:type="dxa"/>
            <w:vAlign w:val="center"/>
          </w:tcPr>
          <w:p>
            <w:pPr>
              <w:pStyle w:val="92"/>
            </w:pPr>
            <w:r>
              <w:t>2.1515</w:t>
            </w:r>
          </w:p>
        </w:tc>
        <w:tc>
          <w:tcPr>
            <w:tcW w:w="1475" w:type="dxa"/>
            <w:vAlign w:val="center"/>
          </w:tcPr>
          <w:p>
            <w:pPr>
              <w:pStyle w:val="92"/>
            </w:pPr>
            <w:r>
              <w:t>0.4781</w:t>
            </w:r>
          </w:p>
        </w:tc>
        <w:tc>
          <w:tcPr>
            <w:tcW w:w="1654" w:type="dxa"/>
            <w:vAlign w:val="center"/>
          </w:tcPr>
          <w:p>
            <w:pPr>
              <w:pStyle w:val="92"/>
            </w:pPr>
            <w:r>
              <w:t>1.7929</w:t>
            </w:r>
          </w:p>
        </w:tc>
        <w:tc>
          <w:tcPr>
            <w:tcW w:w="1554" w:type="dxa"/>
            <w:vAlign w:val="center"/>
          </w:tcPr>
          <w:p>
            <w:pPr>
              <w:pStyle w:val="92"/>
            </w:pPr>
            <w:r>
              <w:t>0.3586</w:t>
            </w:r>
          </w:p>
        </w:tc>
        <w:tc>
          <w:tcPr>
            <w:tcW w:w="1576" w:type="dxa"/>
            <w:vAlign w:val="center"/>
          </w:tcPr>
          <w:p>
            <w:pPr>
              <w:pStyle w:val="92"/>
            </w:pPr>
            <w:r>
              <w:t>1.6734</w:t>
            </w:r>
          </w:p>
        </w:tc>
        <w:tc>
          <w:tcPr>
            <w:tcW w:w="1632" w:type="dxa"/>
            <w:vAlign w:val="center"/>
          </w:tcPr>
          <w:p>
            <w:pPr>
              <w:pStyle w:val="92"/>
            </w:pPr>
            <w:r>
              <w:t>0.6694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1400</w:t>
            </w:r>
          </w:p>
        </w:tc>
        <w:tc>
          <w:tcPr>
            <w:tcW w:w="1467" w:type="dxa"/>
            <w:vAlign w:val="center"/>
          </w:tcPr>
          <w:p>
            <w:pPr>
              <w:pStyle w:val="97"/>
            </w:pPr>
            <w:r>
              <w:t>0.8842</w:t>
            </w:r>
          </w:p>
        </w:tc>
        <w:tc>
          <w:tcPr>
            <w:tcW w:w="1610" w:type="dxa"/>
            <w:vAlign w:val="center"/>
          </w:tcPr>
          <w:p>
            <w:pPr>
              <w:pStyle w:val="97"/>
            </w:pPr>
            <w:r>
              <w:t>0.0295</w:t>
            </w:r>
          </w:p>
        </w:tc>
        <w:tc>
          <w:tcPr>
            <w:tcW w:w="1601" w:type="dxa"/>
            <w:vAlign w:val="center"/>
          </w:tcPr>
          <w:p>
            <w:pPr>
              <w:pStyle w:val="92"/>
            </w:pPr>
            <w:r>
              <w:t>3.3362</w:t>
            </w:r>
          </w:p>
        </w:tc>
        <w:tc>
          <w:tcPr>
            <w:tcW w:w="1475" w:type="dxa"/>
            <w:vAlign w:val="center"/>
          </w:tcPr>
          <w:p>
            <w:pPr>
              <w:pStyle w:val="92"/>
            </w:pPr>
            <w:r>
              <w:t>0.7414</w:t>
            </w:r>
          </w:p>
        </w:tc>
        <w:tc>
          <w:tcPr>
            <w:tcW w:w="1654" w:type="dxa"/>
            <w:vAlign w:val="center"/>
          </w:tcPr>
          <w:p>
            <w:pPr>
              <w:pStyle w:val="92"/>
            </w:pPr>
            <w:r>
              <w:t>2.7802</w:t>
            </w:r>
          </w:p>
        </w:tc>
        <w:tc>
          <w:tcPr>
            <w:tcW w:w="1554" w:type="dxa"/>
            <w:vAlign w:val="center"/>
          </w:tcPr>
          <w:p>
            <w:pPr>
              <w:pStyle w:val="92"/>
            </w:pPr>
            <w:r>
              <w:t>0.5560</w:t>
            </w:r>
          </w:p>
        </w:tc>
        <w:tc>
          <w:tcPr>
            <w:tcW w:w="1576" w:type="dxa"/>
            <w:vAlign w:val="center"/>
          </w:tcPr>
          <w:p>
            <w:pPr>
              <w:pStyle w:val="92"/>
            </w:pPr>
            <w:r>
              <w:t>2.5948</w:t>
            </w:r>
          </w:p>
        </w:tc>
        <w:tc>
          <w:tcPr>
            <w:tcW w:w="1632" w:type="dxa"/>
            <w:vAlign w:val="center"/>
          </w:tcPr>
          <w:p>
            <w:pPr>
              <w:pStyle w:val="92"/>
            </w:pPr>
            <w:r>
              <w:t>1.0379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1600</w:t>
            </w:r>
          </w:p>
        </w:tc>
        <w:tc>
          <w:tcPr>
            <w:tcW w:w="1467" w:type="dxa"/>
            <w:vAlign w:val="center"/>
          </w:tcPr>
          <w:p>
            <w:pPr>
              <w:pStyle w:val="97"/>
            </w:pPr>
            <w:r>
              <w:t>1.2509</w:t>
            </w:r>
          </w:p>
        </w:tc>
        <w:tc>
          <w:tcPr>
            <w:tcW w:w="1610" w:type="dxa"/>
            <w:vAlign w:val="center"/>
          </w:tcPr>
          <w:p>
            <w:pPr>
              <w:pStyle w:val="97"/>
            </w:pPr>
            <w:r>
              <w:t>0.0417</w:t>
            </w:r>
          </w:p>
        </w:tc>
        <w:tc>
          <w:tcPr>
            <w:tcW w:w="1601" w:type="dxa"/>
            <w:vAlign w:val="center"/>
          </w:tcPr>
          <w:p>
            <w:pPr>
              <w:pStyle w:val="92"/>
            </w:pPr>
            <w:r>
              <w:t>2.2482</w:t>
            </w:r>
          </w:p>
        </w:tc>
        <w:tc>
          <w:tcPr>
            <w:tcW w:w="1475" w:type="dxa"/>
            <w:vAlign w:val="center"/>
          </w:tcPr>
          <w:p>
            <w:pPr>
              <w:pStyle w:val="92"/>
            </w:pPr>
            <w:r>
              <w:t>0.4996</w:t>
            </w:r>
          </w:p>
        </w:tc>
        <w:tc>
          <w:tcPr>
            <w:tcW w:w="1654" w:type="dxa"/>
            <w:vAlign w:val="center"/>
          </w:tcPr>
          <w:p>
            <w:pPr>
              <w:pStyle w:val="92"/>
            </w:pPr>
            <w:r>
              <w:t>1.8735</w:t>
            </w:r>
          </w:p>
        </w:tc>
        <w:tc>
          <w:tcPr>
            <w:tcW w:w="1554" w:type="dxa"/>
            <w:vAlign w:val="center"/>
          </w:tcPr>
          <w:p>
            <w:pPr>
              <w:pStyle w:val="92"/>
            </w:pPr>
            <w:r>
              <w:t>0.3747</w:t>
            </w:r>
          </w:p>
        </w:tc>
        <w:tc>
          <w:tcPr>
            <w:tcW w:w="1576" w:type="dxa"/>
            <w:vAlign w:val="center"/>
          </w:tcPr>
          <w:p>
            <w:pPr>
              <w:pStyle w:val="92"/>
            </w:pPr>
            <w:r>
              <w:t>1.7486</w:t>
            </w:r>
          </w:p>
        </w:tc>
        <w:tc>
          <w:tcPr>
            <w:tcW w:w="1632" w:type="dxa"/>
            <w:vAlign w:val="center"/>
          </w:tcPr>
          <w:p>
            <w:pPr>
              <w:pStyle w:val="92"/>
            </w:pPr>
            <w:r>
              <w:t>0.6994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1800</w:t>
            </w:r>
          </w:p>
        </w:tc>
        <w:tc>
          <w:tcPr>
            <w:tcW w:w="1467" w:type="dxa"/>
            <w:vAlign w:val="center"/>
          </w:tcPr>
          <w:p>
            <w:pPr>
              <w:pStyle w:val="97"/>
            </w:pPr>
            <w:r>
              <w:t>0.7395</w:t>
            </w:r>
          </w:p>
        </w:tc>
        <w:tc>
          <w:tcPr>
            <w:tcW w:w="1610" w:type="dxa"/>
            <w:vAlign w:val="center"/>
          </w:tcPr>
          <w:p>
            <w:pPr>
              <w:pStyle w:val="97"/>
            </w:pPr>
            <w:r>
              <w:t>0.0246</w:t>
            </w:r>
          </w:p>
        </w:tc>
        <w:tc>
          <w:tcPr>
            <w:tcW w:w="1601" w:type="dxa"/>
            <w:vAlign w:val="center"/>
          </w:tcPr>
          <w:p>
            <w:pPr>
              <w:pStyle w:val="92"/>
            </w:pPr>
            <w:r>
              <w:t>1.0836</w:t>
            </w:r>
          </w:p>
        </w:tc>
        <w:tc>
          <w:tcPr>
            <w:tcW w:w="1475" w:type="dxa"/>
            <w:vAlign w:val="center"/>
          </w:tcPr>
          <w:p>
            <w:pPr>
              <w:pStyle w:val="92"/>
            </w:pPr>
            <w:r>
              <w:t>0.2408</w:t>
            </w:r>
          </w:p>
        </w:tc>
        <w:tc>
          <w:tcPr>
            <w:tcW w:w="1654" w:type="dxa"/>
            <w:vAlign w:val="center"/>
          </w:tcPr>
          <w:p>
            <w:pPr>
              <w:pStyle w:val="92"/>
            </w:pPr>
            <w:r>
              <w:t>0.9030</w:t>
            </w:r>
          </w:p>
        </w:tc>
        <w:tc>
          <w:tcPr>
            <w:tcW w:w="1554" w:type="dxa"/>
            <w:vAlign w:val="center"/>
          </w:tcPr>
          <w:p>
            <w:pPr>
              <w:pStyle w:val="92"/>
            </w:pPr>
            <w:r>
              <w:t>0.1806</w:t>
            </w:r>
          </w:p>
        </w:tc>
        <w:tc>
          <w:tcPr>
            <w:tcW w:w="1576" w:type="dxa"/>
            <w:vAlign w:val="center"/>
          </w:tcPr>
          <w:p>
            <w:pPr>
              <w:pStyle w:val="92"/>
            </w:pPr>
            <w:r>
              <w:t>0.8428</w:t>
            </w:r>
          </w:p>
        </w:tc>
        <w:tc>
          <w:tcPr>
            <w:tcW w:w="1632" w:type="dxa"/>
            <w:vAlign w:val="center"/>
          </w:tcPr>
          <w:p>
            <w:pPr>
              <w:pStyle w:val="92"/>
            </w:pPr>
            <w:r>
              <w:t>0.3371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2000</w:t>
            </w:r>
          </w:p>
        </w:tc>
        <w:tc>
          <w:tcPr>
            <w:tcW w:w="1467" w:type="dxa"/>
            <w:vAlign w:val="center"/>
          </w:tcPr>
          <w:p>
            <w:pPr>
              <w:pStyle w:val="97"/>
            </w:pPr>
            <w:r>
              <w:t>0.7379</w:t>
            </w:r>
          </w:p>
        </w:tc>
        <w:tc>
          <w:tcPr>
            <w:tcW w:w="1610" w:type="dxa"/>
            <w:vAlign w:val="center"/>
          </w:tcPr>
          <w:p>
            <w:pPr>
              <w:pStyle w:val="97"/>
            </w:pPr>
            <w:r>
              <w:t>0.0246</w:t>
            </w:r>
          </w:p>
        </w:tc>
        <w:tc>
          <w:tcPr>
            <w:tcW w:w="1601" w:type="dxa"/>
            <w:vAlign w:val="center"/>
          </w:tcPr>
          <w:p>
            <w:pPr>
              <w:pStyle w:val="92"/>
            </w:pPr>
            <w:r>
              <w:t>1.2766</w:t>
            </w:r>
          </w:p>
        </w:tc>
        <w:tc>
          <w:tcPr>
            <w:tcW w:w="1475" w:type="dxa"/>
            <w:vAlign w:val="center"/>
          </w:tcPr>
          <w:p>
            <w:pPr>
              <w:pStyle w:val="92"/>
            </w:pPr>
            <w:r>
              <w:t>0.2837</w:t>
            </w:r>
          </w:p>
        </w:tc>
        <w:tc>
          <w:tcPr>
            <w:tcW w:w="1654" w:type="dxa"/>
            <w:vAlign w:val="center"/>
          </w:tcPr>
          <w:p>
            <w:pPr>
              <w:pStyle w:val="92"/>
            </w:pPr>
            <w:r>
              <w:t>1.0638</w:t>
            </w:r>
          </w:p>
        </w:tc>
        <w:tc>
          <w:tcPr>
            <w:tcW w:w="1554" w:type="dxa"/>
            <w:vAlign w:val="center"/>
          </w:tcPr>
          <w:p>
            <w:pPr>
              <w:pStyle w:val="92"/>
            </w:pPr>
            <w:r>
              <w:t>0.2128</w:t>
            </w:r>
          </w:p>
        </w:tc>
        <w:tc>
          <w:tcPr>
            <w:tcW w:w="1576" w:type="dxa"/>
            <w:vAlign w:val="center"/>
          </w:tcPr>
          <w:p>
            <w:pPr>
              <w:pStyle w:val="92"/>
            </w:pPr>
            <w:r>
              <w:t>0.9929</w:t>
            </w:r>
          </w:p>
        </w:tc>
        <w:tc>
          <w:tcPr>
            <w:tcW w:w="1632" w:type="dxa"/>
            <w:vAlign w:val="center"/>
          </w:tcPr>
          <w:p>
            <w:pPr>
              <w:pStyle w:val="92"/>
            </w:pPr>
            <w:r>
              <w:t>0.3972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2500</w:t>
            </w:r>
          </w:p>
        </w:tc>
        <w:tc>
          <w:tcPr>
            <w:tcW w:w="1467" w:type="dxa"/>
            <w:vAlign w:val="center"/>
          </w:tcPr>
          <w:p>
            <w:pPr>
              <w:pStyle w:val="97"/>
            </w:pPr>
            <w:r>
              <w:t>0.7201</w:t>
            </w:r>
          </w:p>
        </w:tc>
        <w:tc>
          <w:tcPr>
            <w:tcW w:w="1610" w:type="dxa"/>
            <w:vAlign w:val="center"/>
          </w:tcPr>
          <w:p>
            <w:pPr>
              <w:pStyle w:val="97"/>
            </w:pPr>
            <w:r>
              <w:t>0.0240</w:t>
            </w:r>
          </w:p>
        </w:tc>
        <w:tc>
          <w:tcPr>
            <w:tcW w:w="1601" w:type="dxa"/>
            <w:vAlign w:val="center"/>
          </w:tcPr>
          <w:p>
            <w:pPr>
              <w:pStyle w:val="92"/>
            </w:pPr>
            <w:r>
              <w:t>1.6243</w:t>
            </w:r>
          </w:p>
        </w:tc>
        <w:tc>
          <w:tcPr>
            <w:tcW w:w="1475" w:type="dxa"/>
            <w:vAlign w:val="center"/>
          </w:tcPr>
          <w:p>
            <w:pPr>
              <w:pStyle w:val="92"/>
            </w:pPr>
            <w:r>
              <w:t>0.3610</w:t>
            </w:r>
          </w:p>
        </w:tc>
        <w:tc>
          <w:tcPr>
            <w:tcW w:w="1654" w:type="dxa"/>
            <w:vAlign w:val="center"/>
          </w:tcPr>
          <w:p>
            <w:pPr>
              <w:pStyle w:val="92"/>
            </w:pPr>
            <w:r>
              <w:t>1.3536</w:t>
            </w:r>
          </w:p>
        </w:tc>
        <w:tc>
          <w:tcPr>
            <w:tcW w:w="1554" w:type="dxa"/>
            <w:vAlign w:val="center"/>
          </w:tcPr>
          <w:p>
            <w:pPr>
              <w:pStyle w:val="92"/>
            </w:pPr>
            <w:r>
              <w:t>0.2707</w:t>
            </w:r>
          </w:p>
        </w:tc>
        <w:tc>
          <w:tcPr>
            <w:tcW w:w="1576" w:type="dxa"/>
            <w:vAlign w:val="center"/>
          </w:tcPr>
          <w:p>
            <w:pPr>
              <w:pStyle w:val="92"/>
            </w:pPr>
            <w:r>
              <w:t>1.2633</w:t>
            </w:r>
          </w:p>
        </w:tc>
        <w:tc>
          <w:tcPr>
            <w:tcW w:w="1632" w:type="dxa"/>
            <w:vAlign w:val="center"/>
          </w:tcPr>
          <w:p>
            <w:pPr>
              <w:pStyle w:val="92"/>
            </w:pPr>
            <w:r>
              <w:t>0.5053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3000</w:t>
            </w:r>
          </w:p>
        </w:tc>
        <w:tc>
          <w:tcPr>
            <w:tcW w:w="1467" w:type="dxa"/>
            <w:vAlign w:val="center"/>
          </w:tcPr>
          <w:p>
            <w:pPr>
              <w:pStyle w:val="97"/>
            </w:pPr>
            <w:r>
              <w:t>0.4505</w:t>
            </w:r>
          </w:p>
        </w:tc>
        <w:tc>
          <w:tcPr>
            <w:tcW w:w="1610" w:type="dxa"/>
            <w:vAlign w:val="center"/>
          </w:tcPr>
          <w:p>
            <w:pPr>
              <w:pStyle w:val="97"/>
            </w:pPr>
            <w:r>
              <w:t>0.0150</w:t>
            </w:r>
          </w:p>
        </w:tc>
        <w:tc>
          <w:tcPr>
            <w:tcW w:w="1601" w:type="dxa"/>
            <w:vAlign w:val="center"/>
          </w:tcPr>
          <w:p>
            <w:pPr>
              <w:pStyle w:val="92"/>
            </w:pPr>
            <w:r>
              <w:t>1.1941</w:t>
            </w:r>
          </w:p>
        </w:tc>
        <w:tc>
          <w:tcPr>
            <w:tcW w:w="1475" w:type="dxa"/>
            <w:vAlign w:val="center"/>
          </w:tcPr>
          <w:p>
            <w:pPr>
              <w:pStyle w:val="92"/>
            </w:pPr>
            <w:r>
              <w:t>0.2654</w:t>
            </w:r>
          </w:p>
        </w:tc>
        <w:tc>
          <w:tcPr>
            <w:tcW w:w="1654" w:type="dxa"/>
            <w:vAlign w:val="center"/>
          </w:tcPr>
          <w:p>
            <w:pPr>
              <w:pStyle w:val="92"/>
            </w:pPr>
            <w:r>
              <w:t>0.9951</w:t>
            </w:r>
          </w:p>
        </w:tc>
        <w:tc>
          <w:tcPr>
            <w:tcW w:w="1554" w:type="dxa"/>
            <w:vAlign w:val="center"/>
          </w:tcPr>
          <w:p>
            <w:pPr>
              <w:pStyle w:val="92"/>
            </w:pPr>
            <w:r>
              <w:t>0.1990</w:t>
            </w:r>
          </w:p>
        </w:tc>
        <w:tc>
          <w:tcPr>
            <w:tcW w:w="1576" w:type="dxa"/>
            <w:vAlign w:val="center"/>
          </w:tcPr>
          <w:p>
            <w:pPr>
              <w:pStyle w:val="92"/>
            </w:pPr>
            <w:r>
              <w:t>0.9287</w:t>
            </w:r>
          </w:p>
        </w:tc>
        <w:tc>
          <w:tcPr>
            <w:tcW w:w="1632" w:type="dxa"/>
            <w:vAlign w:val="center"/>
          </w:tcPr>
          <w:p>
            <w:pPr>
              <w:pStyle w:val="92"/>
            </w:pPr>
            <w:r>
              <w:t>0.3715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3500</w:t>
            </w:r>
          </w:p>
        </w:tc>
        <w:tc>
          <w:tcPr>
            <w:tcW w:w="1467" w:type="dxa"/>
            <w:vAlign w:val="center"/>
          </w:tcPr>
          <w:p>
            <w:pPr>
              <w:pStyle w:val="97"/>
            </w:pPr>
            <w:r>
              <w:t>0.4716</w:t>
            </w:r>
          </w:p>
        </w:tc>
        <w:tc>
          <w:tcPr>
            <w:tcW w:w="1610" w:type="dxa"/>
            <w:vAlign w:val="center"/>
          </w:tcPr>
          <w:p>
            <w:pPr>
              <w:pStyle w:val="97"/>
            </w:pPr>
            <w:r>
              <w:t>0.0157</w:t>
            </w:r>
          </w:p>
        </w:tc>
        <w:tc>
          <w:tcPr>
            <w:tcW w:w="1601" w:type="dxa"/>
            <w:vAlign w:val="center"/>
          </w:tcPr>
          <w:p>
            <w:pPr>
              <w:pStyle w:val="92"/>
            </w:pPr>
            <w:r>
              <w:t>0.7232</w:t>
            </w:r>
          </w:p>
        </w:tc>
        <w:tc>
          <w:tcPr>
            <w:tcW w:w="1475" w:type="dxa"/>
            <w:vAlign w:val="center"/>
          </w:tcPr>
          <w:p>
            <w:pPr>
              <w:pStyle w:val="92"/>
            </w:pPr>
            <w:r>
              <w:t>0.1607</w:t>
            </w:r>
          </w:p>
        </w:tc>
        <w:tc>
          <w:tcPr>
            <w:tcW w:w="1654" w:type="dxa"/>
            <w:vAlign w:val="center"/>
          </w:tcPr>
          <w:p>
            <w:pPr>
              <w:pStyle w:val="92"/>
            </w:pPr>
            <w:r>
              <w:t>0.6027</w:t>
            </w:r>
          </w:p>
        </w:tc>
        <w:tc>
          <w:tcPr>
            <w:tcW w:w="1554" w:type="dxa"/>
            <w:vAlign w:val="center"/>
          </w:tcPr>
          <w:p>
            <w:pPr>
              <w:pStyle w:val="92"/>
            </w:pPr>
            <w:r>
              <w:t>0.1205</w:t>
            </w:r>
          </w:p>
        </w:tc>
        <w:tc>
          <w:tcPr>
            <w:tcW w:w="1576" w:type="dxa"/>
            <w:vAlign w:val="center"/>
          </w:tcPr>
          <w:p>
            <w:pPr>
              <w:pStyle w:val="92"/>
            </w:pPr>
            <w:r>
              <w:t>0.5625</w:t>
            </w:r>
          </w:p>
        </w:tc>
        <w:tc>
          <w:tcPr>
            <w:tcW w:w="1632" w:type="dxa"/>
            <w:vAlign w:val="center"/>
          </w:tcPr>
          <w:p>
            <w:pPr>
              <w:pStyle w:val="92"/>
            </w:pPr>
            <w:r>
              <w:t>0.2250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4000</w:t>
            </w:r>
          </w:p>
        </w:tc>
        <w:tc>
          <w:tcPr>
            <w:tcW w:w="1467" w:type="dxa"/>
            <w:vAlign w:val="center"/>
          </w:tcPr>
          <w:p>
            <w:pPr>
              <w:pStyle w:val="97"/>
            </w:pPr>
            <w:r>
              <w:t>0.3915</w:t>
            </w:r>
          </w:p>
        </w:tc>
        <w:tc>
          <w:tcPr>
            <w:tcW w:w="1610" w:type="dxa"/>
            <w:vAlign w:val="center"/>
          </w:tcPr>
          <w:p>
            <w:pPr>
              <w:pStyle w:val="97"/>
            </w:pPr>
            <w:r>
              <w:t>0.0131</w:t>
            </w:r>
          </w:p>
        </w:tc>
        <w:tc>
          <w:tcPr>
            <w:tcW w:w="1601" w:type="dxa"/>
            <w:vAlign w:val="center"/>
          </w:tcPr>
          <w:p>
            <w:pPr>
              <w:pStyle w:val="92"/>
            </w:pPr>
            <w:r>
              <w:t>0.6303</w:t>
            </w:r>
          </w:p>
        </w:tc>
        <w:tc>
          <w:tcPr>
            <w:tcW w:w="1475" w:type="dxa"/>
            <w:vAlign w:val="center"/>
          </w:tcPr>
          <w:p>
            <w:pPr>
              <w:pStyle w:val="92"/>
            </w:pPr>
            <w:r>
              <w:t>0.1401</w:t>
            </w:r>
          </w:p>
        </w:tc>
        <w:tc>
          <w:tcPr>
            <w:tcW w:w="1654" w:type="dxa"/>
            <w:vAlign w:val="center"/>
          </w:tcPr>
          <w:p>
            <w:pPr>
              <w:pStyle w:val="92"/>
            </w:pPr>
            <w:r>
              <w:t>0.5253</w:t>
            </w:r>
          </w:p>
        </w:tc>
        <w:tc>
          <w:tcPr>
            <w:tcW w:w="1554" w:type="dxa"/>
            <w:vAlign w:val="center"/>
          </w:tcPr>
          <w:p>
            <w:pPr>
              <w:pStyle w:val="92"/>
            </w:pPr>
            <w:r>
              <w:t>0.1051</w:t>
            </w:r>
          </w:p>
        </w:tc>
        <w:tc>
          <w:tcPr>
            <w:tcW w:w="1576" w:type="dxa"/>
            <w:vAlign w:val="center"/>
          </w:tcPr>
          <w:p>
            <w:pPr>
              <w:pStyle w:val="92"/>
            </w:pPr>
            <w:r>
              <w:t>0.4902</w:t>
            </w:r>
          </w:p>
        </w:tc>
        <w:tc>
          <w:tcPr>
            <w:tcW w:w="1632" w:type="dxa"/>
            <w:vAlign w:val="center"/>
          </w:tcPr>
          <w:p>
            <w:pPr>
              <w:pStyle w:val="92"/>
            </w:pPr>
            <w:r>
              <w:t>0.1961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4500</w:t>
            </w:r>
          </w:p>
        </w:tc>
        <w:tc>
          <w:tcPr>
            <w:tcW w:w="1467" w:type="dxa"/>
            <w:vAlign w:val="center"/>
          </w:tcPr>
          <w:p>
            <w:pPr>
              <w:pStyle w:val="97"/>
            </w:pPr>
            <w:r>
              <w:t>0.1254</w:t>
            </w:r>
          </w:p>
        </w:tc>
        <w:tc>
          <w:tcPr>
            <w:tcW w:w="1610" w:type="dxa"/>
            <w:vAlign w:val="center"/>
          </w:tcPr>
          <w:p>
            <w:pPr>
              <w:pStyle w:val="97"/>
            </w:pPr>
            <w:r>
              <w:t>0.0042</w:t>
            </w:r>
          </w:p>
        </w:tc>
        <w:tc>
          <w:tcPr>
            <w:tcW w:w="1601" w:type="dxa"/>
            <w:vAlign w:val="center"/>
          </w:tcPr>
          <w:p>
            <w:pPr>
              <w:pStyle w:val="92"/>
            </w:pPr>
            <w:r>
              <w:t>0.5525</w:t>
            </w:r>
          </w:p>
        </w:tc>
        <w:tc>
          <w:tcPr>
            <w:tcW w:w="1475" w:type="dxa"/>
            <w:vAlign w:val="center"/>
          </w:tcPr>
          <w:p>
            <w:pPr>
              <w:pStyle w:val="92"/>
            </w:pPr>
            <w:r>
              <w:t>0.1228</w:t>
            </w:r>
          </w:p>
        </w:tc>
        <w:tc>
          <w:tcPr>
            <w:tcW w:w="1654" w:type="dxa"/>
            <w:vAlign w:val="center"/>
          </w:tcPr>
          <w:p>
            <w:pPr>
              <w:pStyle w:val="92"/>
            </w:pPr>
            <w:r>
              <w:t>0.4604</w:t>
            </w:r>
          </w:p>
        </w:tc>
        <w:tc>
          <w:tcPr>
            <w:tcW w:w="1554" w:type="dxa"/>
            <w:vAlign w:val="center"/>
          </w:tcPr>
          <w:p>
            <w:pPr>
              <w:pStyle w:val="92"/>
            </w:pPr>
            <w:r>
              <w:t>0.0921</w:t>
            </w:r>
          </w:p>
        </w:tc>
        <w:tc>
          <w:tcPr>
            <w:tcW w:w="1576" w:type="dxa"/>
            <w:vAlign w:val="center"/>
          </w:tcPr>
          <w:p>
            <w:pPr>
              <w:pStyle w:val="92"/>
            </w:pPr>
            <w:r>
              <w:t>0.4297</w:t>
            </w:r>
          </w:p>
        </w:tc>
        <w:tc>
          <w:tcPr>
            <w:tcW w:w="1632" w:type="dxa"/>
            <w:vAlign w:val="center"/>
          </w:tcPr>
          <w:p>
            <w:pPr>
              <w:pStyle w:val="92"/>
            </w:pPr>
            <w:r>
              <w:t>0.1719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5000</w:t>
            </w:r>
          </w:p>
        </w:tc>
        <w:tc>
          <w:tcPr>
            <w:tcW w:w="1467" w:type="dxa"/>
            <w:vAlign w:val="center"/>
          </w:tcPr>
          <w:p>
            <w:pPr>
              <w:pStyle w:val="97"/>
            </w:pPr>
            <w:r>
              <w:t>0.2406</w:t>
            </w:r>
          </w:p>
        </w:tc>
        <w:tc>
          <w:tcPr>
            <w:tcW w:w="1610" w:type="dxa"/>
            <w:vAlign w:val="center"/>
          </w:tcPr>
          <w:p>
            <w:pPr>
              <w:pStyle w:val="97"/>
            </w:pPr>
            <w:r>
              <w:t>0.0080</w:t>
            </w:r>
          </w:p>
        </w:tc>
        <w:tc>
          <w:tcPr>
            <w:tcW w:w="1601" w:type="dxa"/>
            <w:vAlign w:val="center"/>
          </w:tcPr>
          <w:p>
            <w:pPr>
              <w:pStyle w:val="92"/>
            </w:pPr>
            <w:r>
              <w:t>0.6736</w:t>
            </w:r>
          </w:p>
        </w:tc>
        <w:tc>
          <w:tcPr>
            <w:tcW w:w="1475" w:type="dxa"/>
            <w:vAlign w:val="center"/>
          </w:tcPr>
          <w:p>
            <w:pPr>
              <w:pStyle w:val="92"/>
            </w:pPr>
            <w:r>
              <w:t>0.1497</w:t>
            </w:r>
          </w:p>
        </w:tc>
        <w:tc>
          <w:tcPr>
            <w:tcW w:w="1654" w:type="dxa"/>
            <w:vAlign w:val="center"/>
          </w:tcPr>
          <w:p>
            <w:pPr>
              <w:pStyle w:val="92"/>
            </w:pPr>
            <w:r>
              <w:t>0.5613</w:t>
            </w:r>
          </w:p>
        </w:tc>
        <w:tc>
          <w:tcPr>
            <w:tcW w:w="1554" w:type="dxa"/>
            <w:vAlign w:val="center"/>
          </w:tcPr>
          <w:p>
            <w:pPr>
              <w:pStyle w:val="92"/>
            </w:pPr>
            <w:r>
              <w:t>0.1123</w:t>
            </w:r>
          </w:p>
        </w:tc>
        <w:tc>
          <w:tcPr>
            <w:tcW w:w="1576" w:type="dxa"/>
            <w:vAlign w:val="center"/>
          </w:tcPr>
          <w:p>
            <w:pPr>
              <w:pStyle w:val="92"/>
            </w:pPr>
            <w:r>
              <w:t>0.5239</w:t>
            </w:r>
          </w:p>
        </w:tc>
        <w:tc>
          <w:tcPr>
            <w:tcW w:w="1632" w:type="dxa"/>
            <w:vAlign w:val="center"/>
          </w:tcPr>
          <w:p>
            <w:pPr>
              <w:pStyle w:val="92"/>
            </w:pPr>
            <w:r>
              <w:t>0.2096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10000</w:t>
            </w:r>
          </w:p>
        </w:tc>
        <w:tc>
          <w:tcPr>
            <w:tcW w:w="1467" w:type="dxa"/>
            <w:vAlign w:val="center"/>
          </w:tcPr>
          <w:p>
            <w:pPr>
              <w:pStyle w:val="97"/>
            </w:pPr>
            <w:r>
              <w:t>0.1166</w:t>
            </w:r>
          </w:p>
        </w:tc>
        <w:tc>
          <w:tcPr>
            <w:tcW w:w="1610" w:type="dxa"/>
            <w:vAlign w:val="center"/>
          </w:tcPr>
          <w:p>
            <w:pPr>
              <w:pStyle w:val="97"/>
            </w:pPr>
            <w:r>
              <w:t>0.0039</w:t>
            </w:r>
          </w:p>
        </w:tc>
        <w:tc>
          <w:tcPr>
            <w:tcW w:w="1601" w:type="dxa"/>
            <w:vAlign w:val="center"/>
          </w:tcPr>
          <w:p>
            <w:pPr>
              <w:pStyle w:val="92"/>
            </w:pPr>
            <w:r>
              <w:t>0.1732</w:t>
            </w:r>
          </w:p>
        </w:tc>
        <w:tc>
          <w:tcPr>
            <w:tcW w:w="1475" w:type="dxa"/>
            <w:vAlign w:val="center"/>
          </w:tcPr>
          <w:p>
            <w:pPr>
              <w:pStyle w:val="92"/>
            </w:pPr>
            <w:r>
              <w:t>0.0385</w:t>
            </w:r>
          </w:p>
        </w:tc>
        <w:tc>
          <w:tcPr>
            <w:tcW w:w="1654" w:type="dxa"/>
            <w:vAlign w:val="center"/>
          </w:tcPr>
          <w:p>
            <w:pPr>
              <w:pStyle w:val="92"/>
            </w:pPr>
            <w:r>
              <w:t>0.1444</w:t>
            </w:r>
          </w:p>
        </w:tc>
        <w:tc>
          <w:tcPr>
            <w:tcW w:w="1554" w:type="dxa"/>
            <w:vAlign w:val="center"/>
          </w:tcPr>
          <w:p>
            <w:pPr>
              <w:pStyle w:val="92"/>
            </w:pPr>
            <w:r>
              <w:t>0.0289</w:t>
            </w:r>
          </w:p>
        </w:tc>
        <w:tc>
          <w:tcPr>
            <w:tcW w:w="1576" w:type="dxa"/>
            <w:vAlign w:val="center"/>
          </w:tcPr>
          <w:p>
            <w:pPr>
              <w:pStyle w:val="92"/>
            </w:pPr>
            <w:r>
              <w:t>0.1347</w:t>
            </w:r>
          </w:p>
        </w:tc>
        <w:tc>
          <w:tcPr>
            <w:tcW w:w="1632" w:type="dxa"/>
            <w:vAlign w:val="center"/>
          </w:tcPr>
          <w:p>
            <w:pPr>
              <w:pStyle w:val="92"/>
            </w:pPr>
            <w:r>
              <w:t>0.0539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11000</w:t>
            </w:r>
          </w:p>
        </w:tc>
        <w:tc>
          <w:tcPr>
            <w:tcW w:w="1467" w:type="dxa"/>
            <w:vAlign w:val="center"/>
          </w:tcPr>
          <w:p>
            <w:pPr>
              <w:pStyle w:val="97"/>
            </w:pPr>
            <w:r>
              <w:t>0.0277</w:t>
            </w:r>
          </w:p>
        </w:tc>
        <w:tc>
          <w:tcPr>
            <w:tcW w:w="1610" w:type="dxa"/>
            <w:vAlign w:val="center"/>
          </w:tcPr>
          <w:p>
            <w:pPr>
              <w:pStyle w:val="97"/>
            </w:pPr>
            <w:r>
              <w:t>0.0009</w:t>
            </w:r>
          </w:p>
        </w:tc>
        <w:tc>
          <w:tcPr>
            <w:tcW w:w="1601" w:type="dxa"/>
            <w:vAlign w:val="center"/>
          </w:tcPr>
          <w:p>
            <w:pPr>
              <w:pStyle w:val="92"/>
            </w:pPr>
            <w:r>
              <w:t>0.2159</w:t>
            </w:r>
          </w:p>
        </w:tc>
        <w:tc>
          <w:tcPr>
            <w:tcW w:w="1475" w:type="dxa"/>
            <w:vAlign w:val="center"/>
          </w:tcPr>
          <w:p>
            <w:pPr>
              <w:pStyle w:val="92"/>
            </w:pPr>
            <w:r>
              <w:t>0.0480</w:t>
            </w:r>
          </w:p>
        </w:tc>
        <w:tc>
          <w:tcPr>
            <w:tcW w:w="1654" w:type="dxa"/>
            <w:vAlign w:val="center"/>
          </w:tcPr>
          <w:p>
            <w:pPr>
              <w:pStyle w:val="92"/>
            </w:pPr>
            <w:r>
              <w:t>0.1799</w:t>
            </w:r>
          </w:p>
        </w:tc>
        <w:tc>
          <w:tcPr>
            <w:tcW w:w="1554" w:type="dxa"/>
            <w:vAlign w:val="center"/>
          </w:tcPr>
          <w:p>
            <w:pPr>
              <w:pStyle w:val="92"/>
            </w:pPr>
            <w:r>
              <w:t>0.0360</w:t>
            </w:r>
          </w:p>
        </w:tc>
        <w:tc>
          <w:tcPr>
            <w:tcW w:w="1576" w:type="dxa"/>
            <w:vAlign w:val="center"/>
          </w:tcPr>
          <w:p>
            <w:pPr>
              <w:pStyle w:val="92"/>
            </w:pPr>
            <w:r>
              <w:t>0.1679</w:t>
            </w:r>
          </w:p>
        </w:tc>
        <w:tc>
          <w:tcPr>
            <w:tcW w:w="1632" w:type="dxa"/>
            <w:vAlign w:val="center"/>
          </w:tcPr>
          <w:p>
            <w:pPr>
              <w:pStyle w:val="92"/>
            </w:pPr>
            <w:r>
              <w:t>0.0672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12000</w:t>
            </w:r>
          </w:p>
        </w:tc>
        <w:tc>
          <w:tcPr>
            <w:tcW w:w="1467" w:type="dxa"/>
            <w:vAlign w:val="center"/>
          </w:tcPr>
          <w:p>
            <w:pPr>
              <w:pStyle w:val="97"/>
            </w:pPr>
            <w:r>
              <w:t>0.0735</w:t>
            </w:r>
          </w:p>
        </w:tc>
        <w:tc>
          <w:tcPr>
            <w:tcW w:w="1610" w:type="dxa"/>
            <w:vAlign w:val="center"/>
          </w:tcPr>
          <w:p>
            <w:pPr>
              <w:pStyle w:val="97"/>
            </w:pPr>
            <w:r>
              <w:t>0.0025</w:t>
            </w:r>
          </w:p>
        </w:tc>
        <w:tc>
          <w:tcPr>
            <w:tcW w:w="1601" w:type="dxa"/>
            <w:vAlign w:val="center"/>
          </w:tcPr>
          <w:p>
            <w:pPr>
              <w:pStyle w:val="92"/>
            </w:pPr>
            <w:r>
              <w:t>0.2040</w:t>
            </w:r>
          </w:p>
        </w:tc>
        <w:tc>
          <w:tcPr>
            <w:tcW w:w="1475" w:type="dxa"/>
            <w:vAlign w:val="center"/>
          </w:tcPr>
          <w:p>
            <w:pPr>
              <w:pStyle w:val="92"/>
            </w:pPr>
            <w:r>
              <w:t>0.0453</w:t>
            </w:r>
          </w:p>
        </w:tc>
        <w:tc>
          <w:tcPr>
            <w:tcW w:w="1654" w:type="dxa"/>
            <w:vAlign w:val="center"/>
          </w:tcPr>
          <w:p>
            <w:pPr>
              <w:pStyle w:val="92"/>
            </w:pPr>
            <w:r>
              <w:t>0.1700</w:t>
            </w:r>
          </w:p>
        </w:tc>
        <w:tc>
          <w:tcPr>
            <w:tcW w:w="1554" w:type="dxa"/>
            <w:vAlign w:val="center"/>
          </w:tcPr>
          <w:p>
            <w:pPr>
              <w:pStyle w:val="92"/>
            </w:pPr>
            <w:r>
              <w:t>0.0340</w:t>
            </w:r>
          </w:p>
        </w:tc>
        <w:tc>
          <w:tcPr>
            <w:tcW w:w="1576" w:type="dxa"/>
            <w:vAlign w:val="center"/>
          </w:tcPr>
          <w:p>
            <w:pPr>
              <w:pStyle w:val="92"/>
            </w:pPr>
            <w:r>
              <w:t>0.1586</w:t>
            </w:r>
          </w:p>
        </w:tc>
        <w:tc>
          <w:tcPr>
            <w:tcW w:w="1632" w:type="dxa"/>
            <w:vAlign w:val="center"/>
          </w:tcPr>
          <w:p>
            <w:pPr>
              <w:pStyle w:val="92"/>
            </w:pPr>
            <w:r>
              <w:t>0.0635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13000</w:t>
            </w:r>
          </w:p>
        </w:tc>
        <w:tc>
          <w:tcPr>
            <w:tcW w:w="1467" w:type="dxa"/>
            <w:vAlign w:val="center"/>
          </w:tcPr>
          <w:p>
            <w:pPr>
              <w:pStyle w:val="97"/>
            </w:pPr>
            <w:r>
              <w:t>0.0806</w:t>
            </w:r>
          </w:p>
        </w:tc>
        <w:tc>
          <w:tcPr>
            <w:tcW w:w="1610" w:type="dxa"/>
            <w:vAlign w:val="center"/>
          </w:tcPr>
          <w:p>
            <w:pPr>
              <w:pStyle w:val="97"/>
            </w:pPr>
            <w:r>
              <w:t>0.0027</w:t>
            </w:r>
          </w:p>
        </w:tc>
        <w:tc>
          <w:tcPr>
            <w:tcW w:w="1601" w:type="dxa"/>
            <w:vAlign w:val="center"/>
          </w:tcPr>
          <w:p>
            <w:pPr>
              <w:pStyle w:val="92"/>
            </w:pPr>
            <w:r>
              <w:t>0.0587</w:t>
            </w:r>
          </w:p>
        </w:tc>
        <w:tc>
          <w:tcPr>
            <w:tcW w:w="1475" w:type="dxa"/>
            <w:vAlign w:val="center"/>
          </w:tcPr>
          <w:p>
            <w:pPr>
              <w:pStyle w:val="92"/>
            </w:pPr>
            <w:r>
              <w:t>0.0130</w:t>
            </w:r>
          </w:p>
        </w:tc>
        <w:tc>
          <w:tcPr>
            <w:tcW w:w="1654" w:type="dxa"/>
            <w:vAlign w:val="center"/>
          </w:tcPr>
          <w:p>
            <w:pPr>
              <w:pStyle w:val="92"/>
            </w:pPr>
            <w:r>
              <w:t>0.0489</w:t>
            </w:r>
          </w:p>
        </w:tc>
        <w:tc>
          <w:tcPr>
            <w:tcW w:w="1554" w:type="dxa"/>
            <w:vAlign w:val="center"/>
          </w:tcPr>
          <w:p>
            <w:pPr>
              <w:pStyle w:val="92"/>
            </w:pPr>
            <w:r>
              <w:t>0.0098</w:t>
            </w:r>
          </w:p>
        </w:tc>
        <w:tc>
          <w:tcPr>
            <w:tcW w:w="1576" w:type="dxa"/>
            <w:vAlign w:val="center"/>
          </w:tcPr>
          <w:p>
            <w:pPr>
              <w:pStyle w:val="92"/>
            </w:pPr>
            <w:r>
              <w:t>0.0457</w:t>
            </w:r>
          </w:p>
        </w:tc>
        <w:tc>
          <w:tcPr>
            <w:tcW w:w="1632" w:type="dxa"/>
            <w:vAlign w:val="center"/>
          </w:tcPr>
          <w:p>
            <w:pPr>
              <w:pStyle w:val="92"/>
            </w:pPr>
            <w:r>
              <w:t>0.0183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14000</w:t>
            </w:r>
          </w:p>
        </w:tc>
        <w:tc>
          <w:tcPr>
            <w:tcW w:w="1467" w:type="dxa"/>
            <w:vAlign w:val="center"/>
          </w:tcPr>
          <w:p>
            <w:pPr>
              <w:pStyle w:val="97"/>
            </w:pPr>
            <w:r>
              <w:t>0.0765</w:t>
            </w:r>
          </w:p>
        </w:tc>
        <w:tc>
          <w:tcPr>
            <w:tcW w:w="1610" w:type="dxa"/>
            <w:vAlign w:val="center"/>
          </w:tcPr>
          <w:p>
            <w:pPr>
              <w:pStyle w:val="97"/>
            </w:pPr>
            <w:r>
              <w:t>0.0026</w:t>
            </w:r>
          </w:p>
        </w:tc>
        <w:tc>
          <w:tcPr>
            <w:tcW w:w="1601" w:type="dxa"/>
            <w:vAlign w:val="center"/>
          </w:tcPr>
          <w:p>
            <w:pPr>
              <w:pStyle w:val="92"/>
            </w:pPr>
            <w:r>
              <w:t>0.1717</w:t>
            </w:r>
          </w:p>
        </w:tc>
        <w:tc>
          <w:tcPr>
            <w:tcW w:w="1475" w:type="dxa"/>
            <w:vAlign w:val="center"/>
          </w:tcPr>
          <w:p>
            <w:pPr>
              <w:pStyle w:val="92"/>
            </w:pPr>
            <w:r>
              <w:t>0.0382</w:t>
            </w:r>
          </w:p>
        </w:tc>
        <w:tc>
          <w:tcPr>
            <w:tcW w:w="1654" w:type="dxa"/>
            <w:vAlign w:val="center"/>
          </w:tcPr>
          <w:p>
            <w:pPr>
              <w:pStyle w:val="92"/>
            </w:pPr>
            <w:r>
              <w:t>0.1431</w:t>
            </w:r>
          </w:p>
        </w:tc>
        <w:tc>
          <w:tcPr>
            <w:tcW w:w="1554" w:type="dxa"/>
            <w:vAlign w:val="center"/>
          </w:tcPr>
          <w:p>
            <w:pPr>
              <w:pStyle w:val="92"/>
            </w:pPr>
            <w:r>
              <w:t>0.0286</w:t>
            </w:r>
          </w:p>
        </w:tc>
        <w:tc>
          <w:tcPr>
            <w:tcW w:w="1576" w:type="dxa"/>
            <w:vAlign w:val="center"/>
          </w:tcPr>
          <w:p>
            <w:pPr>
              <w:pStyle w:val="92"/>
            </w:pPr>
            <w:r>
              <w:t>0.1336</w:t>
            </w:r>
          </w:p>
        </w:tc>
        <w:tc>
          <w:tcPr>
            <w:tcW w:w="1632" w:type="dxa"/>
            <w:vAlign w:val="center"/>
          </w:tcPr>
          <w:p>
            <w:pPr>
              <w:pStyle w:val="92"/>
            </w:pPr>
            <w:r>
              <w:t>0.0534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15000</w:t>
            </w:r>
          </w:p>
        </w:tc>
        <w:tc>
          <w:tcPr>
            <w:tcW w:w="1467" w:type="dxa"/>
            <w:vAlign w:val="center"/>
          </w:tcPr>
          <w:p>
            <w:pPr>
              <w:pStyle w:val="97"/>
            </w:pPr>
            <w:r>
              <w:t>0.0657</w:t>
            </w:r>
          </w:p>
        </w:tc>
        <w:tc>
          <w:tcPr>
            <w:tcW w:w="1610" w:type="dxa"/>
            <w:vAlign w:val="center"/>
          </w:tcPr>
          <w:p>
            <w:pPr>
              <w:pStyle w:val="97"/>
            </w:pPr>
            <w:r>
              <w:t>0.0022</w:t>
            </w:r>
          </w:p>
        </w:tc>
        <w:tc>
          <w:tcPr>
            <w:tcW w:w="1601" w:type="dxa"/>
            <w:vAlign w:val="center"/>
          </w:tcPr>
          <w:p>
            <w:pPr>
              <w:pStyle w:val="92"/>
            </w:pPr>
            <w:r>
              <w:t>0.1546</w:t>
            </w:r>
          </w:p>
        </w:tc>
        <w:tc>
          <w:tcPr>
            <w:tcW w:w="1475" w:type="dxa"/>
            <w:vAlign w:val="center"/>
          </w:tcPr>
          <w:p>
            <w:pPr>
              <w:pStyle w:val="92"/>
            </w:pPr>
            <w:r>
              <w:t>0.0344</w:t>
            </w:r>
          </w:p>
        </w:tc>
        <w:tc>
          <w:tcPr>
            <w:tcW w:w="1654" w:type="dxa"/>
            <w:vAlign w:val="center"/>
          </w:tcPr>
          <w:p>
            <w:pPr>
              <w:pStyle w:val="92"/>
            </w:pPr>
            <w:r>
              <w:t>0.1289</w:t>
            </w:r>
          </w:p>
        </w:tc>
        <w:tc>
          <w:tcPr>
            <w:tcW w:w="1554" w:type="dxa"/>
            <w:vAlign w:val="center"/>
          </w:tcPr>
          <w:p>
            <w:pPr>
              <w:pStyle w:val="92"/>
            </w:pPr>
            <w:r>
              <w:t>0.0258</w:t>
            </w:r>
          </w:p>
        </w:tc>
        <w:tc>
          <w:tcPr>
            <w:tcW w:w="1576" w:type="dxa"/>
            <w:vAlign w:val="center"/>
          </w:tcPr>
          <w:p>
            <w:pPr>
              <w:pStyle w:val="92"/>
            </w:pPr>
            <w:r>
              <w:t>0.1203</w:t>
            </w:r>
          </w:p>
        </w:tc>
        <w:tc>
          <w:tcPr>
            <w:tcW w:w="1632" w:type="dxa"/>
            <w:vAlign w:val="center"/>
          </w:tcPr>
          <w:p>
            <w:pPr>
              <w:pStyle w:val="92"/>
            </w:pPr>
            <w:r>
              <w:t>0.0481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20000</w:t>
            </w:r>
          </w:p>
        </w:tc>
        <w:tc>
          <w:tcPr>
            <w:tcW w:w="1467" w:type="dxa"/>
            <w:vAlign w:val="center"/>
          </w:tcPr>
          <w:p>
            <w:pPr>
              <w:pStyle w:val="97"/>
            </w:pPr>
            <w:r>
              <w:t>0.0085</w:t>
            </w:r>
          </w:p>
        </w:tc>
        <w:tc>
          <w:tcPr>
            <w:tcW w:w="1610" w:type="dxa"/>
            <w:vAlign w:val="center"/>
          </w:tcPr>
          <w:p>
            <w:pPr>
              <w:pStyle w:val="97"/>
            </w:pPr>
            <w:r>
              <w:t>0.0003</w:t>
            </w:r>
          </w:p>
        </w:tc>
        <w:tc>
          <w:tcPr>
            <w:tcW w:w="1601" w:type="dxa"/>
            <w:vAlign w:val="center"/>
          </w:tcPr>
          <w:p>
            <w:pPr>
              <w:pStyle w:val="92"/>
            </w:pPr>
            <w:r>
              <w:t>0.0193</w:t>
            </w:r>
          </w:p>
        </w:tc>
        <w:tc>
          <w:tcPr>
            <w:tcW w:w="1475" w:type="dxa"/>
            <w:vAlign w:val="center"/>
          </w:tcPr>
          <w:p>
            <w:pPr>
              <w:pStyle w:val="92"/>
            </w:pPr>
            <w:r>
              <w:t>0.0043</w:t>
            </w:r>
          </w:p>
        </w:tc>
        <w:tc>
          <w:tcPr>
            <w:tcW w:w="1654" w:type="dxa"/>
            <w:vAlign w:val="center"/>
          </w:tcPr>
          <w:p>
            <w:pPr>
              <w:pStyle w:val="92"/>
            </w:pPr>
            <w:r>
              <w:t>0.0161</w:t>
            </w:r>
          </w:p>
        </w:tc>
        <w:tc>
          <w:tcPr>
            <w:tcW w:w="1554" w:type="dxa"/>
            <w:vAlign w:val="center"/>
          </w:tcPr>
          <w:p>
            <w:pPr>
              <w:pStyle w:val="92"/>
            </w:pPr>
            <w:r>
              <w:t>0.0032</w:t>
            </w:r>
          </w:p>
        </w:tc>
        <w:tc>
          <w:tcPr>
            <w:tcW w:w="1576" w:type="dxa"/>
            <w:vAlign w:val="center"/>
          </w:tcPr>
          <w:p>
            <w:pPr>
              <w:pStyle w:val="92"/>
            </w:pPr>
            <w:r>
              <w:t>0.0150</w:t>
            </w:r>
          </w:p>
        </w:tc>
        <w:tc>
          <w:tcPr>
            <w:tcW w:w="1632" w:type="dxa"/>
            <w:vAlign w:val="center"/>
          </w:tcPr>
          <w:p>
            <w:pPr>
              <w:pStyle w:val="92"/>
            </w:pPr>
            <w:r>
              <w:t>0.0060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pPr>
            <w:r>
              <w:t>25000</w:t>
            </w:r>
          </w:p>
        </w:tc>
        <w:tc>
          <w:tcPr>
            <w:tcW w:w="1467" w:type="dxa"/>
            <w:vAlign w:val="center"/>
          </w:tcPr>
          <w:p>
            <w:pPr>
              <w:pStyle w:val="97"/>
            </w:pPr>
            <w:r>
              <w:t>0.0168</w:t>
            </w:r>
          </w:p>
        </w:tc>
        <w:tc>
          <w:tcPr>
            <w:tcW w:w="1610" w:type="dxa"/>
            <w:vAlign w:val="center"/>
          </w:tcPr>
          <w:p>
            <w:pPr>
              <w:pStyle w:val="97"/>
            </w:pPr>
            <w:r>
              <w:t>0.0006</w:t>
            </w:r>
          </w:p>
        </w:tc>
        <w:tc>
          <w:tcPr>
            <w:tcW w:w="1601" w:type="dxa"/>
            <w:vAlign w:val="center"/>
          </w:tcPr>
          <w:p>
            <w:pPr>
              <w:pStyle w:val="92"/>
            </w:pPr>
            <w:r>
              <w:t>0.0418</w:t>
            </w:r>
          </w:p>
        </w:tc>
        <w:tc>
          <w:tcPr>
            <w:tcW w:w="1475" w:type="dxa"/>
            <w:vAlign w:val="center"/>
          </w:tcPr>
          <w:p>
            <w:pPr>
              <w:pStyle w:val="92"/>
            </w:pPr>
            <w:r>
              <w:t>0.0093</w:t>
            </w:r>
          </w:p>
        </w:tc>
        <w:tc>
          <w:tcPr>
            <w:tcW w:w="1654" w:type="dxa"/>
            <w:vAlign w:val="center"/>
          </w:tcPr>
          <w:p>
            <w:pPr>
              <w:pStyle w:val="92"/>
            </w:pPr>
            <w:r>
              <w:t>0.0348</w:t>
            </w:r>
          </w:p>
        </w:tc>
        <w:tc>
          <w:tcPr>
            <w:tcW w:w="1554" w:type="dxa"/>
            <w:vAlign w:val="center"/>
          </w:tcPr>
          <w:p>
            <w:pPr>
              <w:pStyle w:val="92"/>
            </w:pPr>
            <w:r>
              <w:t>0.0070</w:t>
            </w:r>
          </w:p>
        </w:tc>
        <w:tc>
          <w:tcPr>
            <w:tcW w:w="1576" w:type="dxa"/>
            <w:vAlign w:val="center"/>
          </w:tcPr>
          <w:p>
            <w:pPr>
              <w:pStyle w:val="92"/>
            </w:pPr>
            <w:r>
              <w:t>0.0325</w:t>
            </w:r>
          </w:p>
        </w:tc>
        <w:tc>
          <w:tcPr>
            <w:tcW w:w="1632" w:type="dxa"/>
            <w:vAlign w:val="center"/>
          </w:tcPr>
          <w:p>
            <w:pPr>
              <w:pStyle w:val="92"/>
            </w:pPr>
            <w:r>
              <w:t>0.0130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rPr>
                <w:b/>
              </w:rPr>
            </w:pPr>
            <w:r>
              <w:rPr>
                <w:b/>
              </w:rPr>
              <w:t>下风向最大质量浓度及占标率</w:t>
            </w:r>
          </w:p>
        </w:tc>
        <w:tc>
          <w:tcPr>
            <w:tcW w:w="1467" w:type="dxa"/>
            <w:vAlign w:val="center"/>
          </w:tcPr>
          <w:p>
            <w:pPr>
              <w:pStyle w:val="97"/>
              <w:rPr>
                <w:b/>
              </w:rPr>
            </w:pPr>
            <w:r>
              <w:rPr>
                <w:b/>
              </w:rPr>
              <w:t>13.8630</w:t>
            </w:r>
          </w:p>
        </w:tc>
        <w:tc>
          <w:tcPr>
            <w:tcW w:w="1610" w:type="dxa"/>
            <w:vAlign w:val="center"/>
          </w:tcPr>
          <w:p>
            <w:pPr>
              <w:pStyle w:val="97"/>
              <w:rPr>
                <w:b/>
              </w:rPr>
            </w:pPr>
            <w:r>
              <w:rPr>
                <w:b/>
              </w:rPr>
              <w:t>0.4621</w:t>
            </w:r>
          </w:p>
        </w:tc>
        <w:tc>
          <w:tcPr>
            <w:tcW w:w="1601" w:type="dxa"/>
            <w:vAlign w:val="center"/>
          </w:tcPr>
          <w:p>
            <w:pPr>
              <w:pStyle w:val="92"/>
              <w:rPr>
                <w:b/>
              </w:rPr>
            </w:pPr>
            <w:r>
              <w:rPr>
                <w:b/>
              </w:rPr>
              <w:t>30.9700</w:t>
            </w:r>
          </w:p>
        </w:tc>
        <w:tc>
          <w:tcPr>
            <w:tcW w:w="1475" w:type="dxa"/>
            <w:vAlign w:val="center"/>
          </w:tcPr>
          <w:p>
            <w:pPr>
              <w:pStyle w:val="92"/>
              <w:rPr>
                <w:b/>
              </w:rPr>
            </w:pPr>
            <w:r>
              <w:rPr>
                <w:b/>
              </w:rPr>
              <w:t>6.8822</w:t>
            </w:r>
          </w:p>
        </w:tc>
        <w:tc>
          <w:tcPr>
            <w:tcW w:w="1654" w:type="dxa"/>
            <w:vAlign w:val="center"/>
          </w:tcPr>
          <w:p>
            <w:pPr>
              <w:pStyle w:val="92"/>
              <w:rPr>
                <w:b/>
              </w:rPr>
            </w:pPr>
            <w:r>
              <w:rPr>
                <w:b/>
              </w:rPr>
              <w:t>25.8083</w:t>
            </w:r>
          </w:p>
        </w:tc>
        <w:tc>
          <w:tcPr>
            <w:tcW w:w="1554" w:type="dxa"/>
            <w:vAlign w:val="center"/>
          </w:tcPr>
          <w:p>
            <w:pPr>
              <w:pStyle w:val="92"/>
              <w:rPr>
                <w:b/>
              </w:rPr>
            </w:pPr>
            <w:r>
              <w:rPr>
                <w:b/>
              </w:rPr>
              <w:t>5.1617</w:t>
            </w:r>
          </w:p>
        </w:tc>
        <w:tc>
          <w:tcPr>
            <w:tcW w:w="1576" w:type="dxa"/>
            <w:vAlign w:val="center"/>
          </w:tcPr>
          <w:p>
            <w:pPr>
              <w:pStyle w:val="92"/>
              <w:rPr>
                <w:b/>
              </w:rPr>
            </w:pPr>
            <w:r>
              <w:rPr>
                <w:b/>
              </w:rPr>
              <w:t>24.0878</w:t>
            </w:r>
          </w:p>
        </w:tc>
        <w:tc>
          <w:tcPr>
            <w:tcW w:w="1632" w:type="dxa"/>
            <w:vAlign w:val="center"/>
          </w:tcPr>
          <w:p>
            <w:pPr>
              <w:pStyle w:val="92"/>
              <w:rPr>
                <w:b/>
              </w:rPr>
            </w:pPr>
            <w:r>
              <w:rPr>
                <w:b/>
              </w:rPr>
              <w:t>9.6351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403" w:type="dxa"/>
            <w:vAlign w:val="center"/>
          </w:tcPr>
          <w:p>
            <w:pPr>
              <w:pStyle w:val="97"/>
              <w:rPr>
                <w:b/>
              </w:rPr>
            </w:pPr>
            <w:r>
              <w:rPr>
                <w:b/>
              </w:rPr>
              <w:t>地面最大浓度出现距离</w:t>
            </w:r>
          </w:p>
        </w:tc>
        <w:tc>
          <w:tcPr>
            <w:tcW w:w="3077" w:type="dxa"/>
            <w:gridSpan w:val="2"/>
            <w:vAlign w:val="center"/>
          </w:tcPr>
          <w:p>
            <w:pPr>
              <w:pStyle w:val="97"/>
              <w:rPr>
                <w:b/>
              </w:rPr>
            </w:pPr>
            <w:r>
              <w:rPr>
                <w:b/>
              </w:rPr>
              <w:t>249m</w:t>
            </w:r>
          </w:p>
        </w:tc>
        <w:tc>
          <w:tcPr>
            <w:tcW w:w="9492" w:type="dxa"/>
            <w:gridSpan w:val="6"/>
            <w:vAlign w:val="center"/>
          </w:tcPr>
          <w:p>
            <w:pPr>
              <w:pStyle w:val="97"/>
              <w:rPr>
                <w:b/>
              </w:rPr>
            </w:pPr>
            <w:r>
              <w:rPr>
                <w:rFonts w:hint="eastAsia"/>
                <w:b/>
              </w:rPr>
              <w:t>249</w:t>
            </w:r>
            <w:r>
              <w:rPr>
                <w:b/>
              </w:rPr>
              <w:t>m</w:t>
            </w:r>
          </w:p>
        </w:tc>
      </w:tr>
    </w:tbl>
    <w:p>
      <w:pPr>
        <w:pStyle w:val="93"/>
        <w:rPr>
          <w:kern w:val="0"/>
          <w:highlight w:val="yellow"/>
        </w:rPr>
      </w:pPr>
    </w:p>
    <w:p>
      <w:pPr>
        <w:pStyle w:val="93"/>
        <w:rPr>
          <w:kern w:val="0"/>
          <w:highlight w:val="yellow"/>
        </w:rPr>
      </w:pPr>
    </w:p>
    <w:p>
      <w:pPr>
        <w:pStyle w:val="93"/>
        <w:rPr>
          <w:kern w:val="0"/>
          <w:highlight w:val="yellow"/>
        </w:rPr>
      </w:pPr>
    </w:p>
    <w:p>
      <w:pPr>
        <w:pStyle w:val="93"/>
        <w:rPr>
          <w:rFonts w:hAnsi="Times New Roman"/>
          <w:szCs w:val="21"/>
        </w:rPr>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6</w:t>
      </w:r>
      <w:r>
        <w:fldChar w:fldCharType="end"/>
      </w:r>
      <w:r>
        <w:t xml:space="preserve"> </w:t>
      </w:r>
      <w:r>
        <w:rPr>
          <w:rFonts w:hAnsi="Times New Roman"/>
          <w:szCs w:val="21"/>
        </w:rPr>
        <w:t xml:space="preserve">  正常情况下</w:t>
      </w:r>
      <w:r>
        <w:rPr>
          <w:rFonts w:hint="eastAsia" w:hAnsi="Times New Roman"/>
          <w:szCs w:val="21"/>
        </w:rPr>
        <w:t>面源A</w:t>
      </w:r>
      <w:r>
        <w:rPr>
          <w:rFonts w:hAnsi="Times New Roman"/>
          <w:szCs w:val="21"/>
        </w:rPr>
        <w:t>1排放预测结果</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503"/>
        <w:gridCol w:w="2954"/>
        <w:gridCol w:w="2750"/>
        <w:gridCol w:w="3119"/>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2503" w:type="dxa"/>
            <w:vMerge w:val="restart"/>
            <w:vAlign w:val="center"/>
          </w:tcPr>
          <w:p>
            <w:pPr>
              <w:pStyle w:val="92"/>
            </w:pPr>
            <w:r>
              <w:t>距源中心下风向距离（m）</w:t>
            </w:r>
          </w:p>
        </w:tc>
        <w:tc>
          <w:tcPr>
            <w:tcW w:w="11469" w:type="dxa"/>
            <w:gridSpan w:val="4"/>
            <w:vAlign w:val="center"/>
          </w:tcPr>
          <w:p>
            <w:pPr>
              <w:pStyle w:val="92"/>
            </w:pPr>
            <w:r>
              <w:rPr>
                <w:rFonts w:hint="eastAsia"/>
              </w:rPr>
              <w:t>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2503" w:type="dxa"/>
            <w:vMerge w:val="continue"/>
            <w:vAlign w:val="center"/>
          </w:tcPr>
          <w:p>
            <w:pPr>
              <w:pStyle w:val="92"/>
            </w:pPr>
          </w:p>
        </w:tc>
        <w:tc>
          <w:tcPr>
            <w:tcW w:w="5704" w:type="dxa"/>
            <w:gridSpan w:val="2"/>
            <w:vAlign w:val="center"/>
          </w:tcPr>
          <w:p>
            <w:pPr>
              <w:pStyle w:val="92"/>
            </w:pPr>
            <w:r>
              <w:rPr>
                <w:rFonts w:hint="eastAsia"/>
              </w:rPr>
              <w:t>甲醇</w:t>
            </w:r>
          </w:p>
        </w:tc>
        <w:tc>
          <w:tcPr>
            <w:tcW w:w="5765" w:type="dxa"/>
            <w:gridSpan w:val="2"/>
            <w:vAlign w:val="center"/>
          </w:tcPr>
          <w:p>
            <w:pPr>
              <w:pStyle w:val="92"/>
            </w:pPr>
            <w:r>
              <w:rPr>
                <w:rFonts w:hint="eastAsia"/>
              </w:rPr>
              <w:t>非甲烷</w:t>
            </w:r>
            <w:r>
              <w:t>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2503" w:type="dxa"/>
            <w:vMerge w:val="continue"/>
            <w:vAlign w:val="center"/>
          </w:tcPr>
          <w:p>
            <w:pPr>
              <w:pStyle w:val="92"/>
            </w:pPr>
          </w:p>
        </w:tc>
        <w:tc>
          <w:tcPr>
            <w:tcW w:w="2954" w:type="dxa"/>
            <w:vAlign w:val="center"/>
          </w:tcPr>
          <w:p>
            <w:pPr>
              <w:pStyle w:val="92"/>
            </w:pPr>
            <w:r>
              <w:t>下风向预测浓度</w:t>
            </w:r>
            <w:r>
              <w:rPr>
                <w:rFonts w:hint="eastAsia"/>
              </w:rPr>
              <w:t xml:space="preserve"> </w:t>
            </w:r>
            <w:r>
              <w:t>C (</w:t>
            </w:r>
            <w:r>
              <w:rPr>
                <w:rFonts w:hAnsi="Times New Roman" w:eastAsiaTheme="minorEastAsia"/>
              </w:rPr>
              <w:t>μ</w:t>
            </w:r>
            <w:r>
              <w:t>g/m</w:t>
            </w:r>
            <w:r>
              <w:rPr>
                <w:vertAlign w:val="superscript"/>
              </w:rPr>
              <w:t>3</w:t>
            </w:r>
            <w:r>
              <w:t>)</w:t>
            </w:r>
          </w:p>
        </w:tc>
        <w:tc>
          <w:tcPr>
            <w:tcW w:w="2750" w:type="dxa"/>
            <w:vAlign w:val="center"/>
          </w:tcPr>
          <w:p>
            <w:pPr>
              <w:pStyle w:val="92"/>
            </w:pPr>
            <w:r>
              <w:t>浓度占标率P (%)</w:t>
            </w:r>
          </w:p>
        </w:tc>
        <w:tc>
          <w:tcPr>
            <w:tcW w:w="3119" w:type="dxa"/>
            <w:vAlign w:val="center"/>
          </w:tcPr>
          <w:p>
            <w:pPr>
              <w:pStyle w:val="92"/>
            </w:pPr>
            <w:r>
              <w:t>下风向预测浓度C (</w:t>
            </w:r>
            <w:r>
              <w:rPr>
                <w:rFonts w:hAnsi="Times New Roman"/>
              </w:rPr>
              <w:t>μ</w:t>
            </w:r>
            <w:r>
              <w:t>g/m</w:t>
            </w:r>
            <w:r>
              <w:rPr>
                <w:vertAlign w:val="superscript"/>
              </w:rPr>
              <w:t>3</w:t>
            </w:r>
            <w:r>
              <w:t>)</w:t>
            </w:r>
          </w:p>
        </w:tc>
        <w:tc>
          <w:tcPr>
            <w:tcW w:w="2646" w:type="dxa"/>
            <w:vAlign w:val="center"/>
          </w:tcPr>
          <w:p>
            <w:pPr>
              <w:pStyle w:val="92"/>
            </w:pPr>
            <w:r>
              <w:t>浓度占标率P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50</w:t>
            </w:r>
          </w:p>
        </w:tc>
        <w:tc>
          <w:tcPr>
            <w:tcW w:w="2954" w:type="dxa"/>
            <w:vAlign w:val="center"/>
          </w:tcPr>
          <w:p>
            <w:pPr>
              <w:pStyle w:val="97"/>
            </w:pPr>
            <w:r>
              <w:t>0.4002</w:t>
            </w:r>
          </w:p>
        </w:tc>
        <w:tc>
          <w:tcPr>
            <w:tcW w:w="2750" w:type="dxa"/>
            <w:vAlign w:val="center"/>
          </w:tcPr>
          <w:p>
            <w:pPr>
              <w:pStyle w:val="97"/>
            </w:pPr>
            <w:r>
              <w:t>0.0133</w:t>
            </w:r>
          </w:p>
        </w:tc>
        <w:tc>
          <w:tcPr>
            <w:tcW w:w="3119" w:type="dxa"/>
            <w:vAlign w:val="center"/>
          </w:tcPr>
          <w:p>
            <w:pPr>
              <w:pStyle w:val="97"/>
            </w:pPr>
            <w:r>
              <w:t>0.8003</w:t>
            </w:r>
          </w:p>
        </w:tc>
        <w:tc>
          <w:tcPr>
            <w:tcW w:w="2646" w:type="dxa"/>
            <w:vAlign w:val="center"/>
          </w:tcPr>
          <w:p>
            <w:pPr>
              <w:pStyle w:val="97"/>
            </w:pPr>
            <w:r>
              <w:t>0.0400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100</w:t>
            </w:r>
          </w:p>
        </w:tc>
        <w:tc>
          <w:tcPr>
            <w:tcW w:w="2954" w:type="dxa"/>
            <w:vAlign w:val="center"/>
          </w:tcPr>
          <w:p>
            <w:pPr>
              <w:pStyle w:val="97"/>
            </w:pPr>
            <w:r>
              <w:t>0.2688</w:t>
            </w:r>
          </w:p>
        </w:tc>
        <w:tc>
          <w:tcPr>
            <w:tcW w:w="2750" w:type="dxa"/>
            <w:vAlign w:val="center"/>
          </w:tcPr>
          <w:p>
            <w:pPr>
              <w:pStyle w:val="97"/>
            </w:pPr>
            <w:r>
              <w:t>0.0090</w:t>
            </w:r>
          </w:p>
        </w:tc>
        <w:tc>
          <w:tcPr>
            <w:tcW w:w="3119" w:type="dxa"/>
            <w:vAlign w:val="center"/>
          </w:tcPr>
          <w:p>
            <w:pPr>
              <w:pStyle w:val="97"/>
            </w:pPr>
            <w:r>
              <w:t>0.5375</w:t>
            </w:r>
          </w:p>
        </w:tc>
        <w:tc>
          <w:tcPr>
            <w:tcW w:w="2646" w:type="dxa"/>
            <w:vAlign w:val="center"/>
          </w:tcPr>
          <w:p>
            <w:pPr>
              <w:pStyle w:val="97"/>
            </w:pPr>
            <w:r>
              <w:t>0.0269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200</w:t>
            </w:r>
          </w:p>
        </w:tc>
        <w:tc>
          <w:tcPr>
            <w:tcW w:w="2954" w:type="dxa"/>
            <w:vAlign w:val="center"/>
          </w:tcPr>
          <w:p>
            <w:pPr>
              <w:pStyle w:val="97"/>
            </w:pPr>
            <w:r>
              <w:t>0.1822</w:t>
            </w:r>
          </w:p>
        </w:tc>
        <w:tc>
          <w:tcPr>
            <w:tcW w:w="2750" w:type="dxa"/>
            <w:vAlign w:val="center"/>
          </w:tcPr>
          <w:p>
            <w:pPr>
              <w:pStyle w:val="97"/>
            </w:pPr>
            <w:r>
              <w:t>0.0061</w:t>
            </w:r>
          </w:p>
        </w:tc>
        <w:tc>
          <w:tcPr>
            <w:tcW w:w="3119" w:type="dxa"/>
            <w:vAlign w:val="center"/>
          </w:tcPr>
          <w:p>
            <w:pPr>
              <w:pStyle w:val="97"/>
            </w:pPr>
            <w:r>
              <w:t>0.3644</w:t>
            </w:r>
          </w:p>
        </w:tc>
        <w:tc>
          <w:tcPr>
            <w:tcW w:w="2646" w:type="dxa"/>
            <w:vAlign w:val="center"/>
          </w:tcPr>
          <w:p>
            <w:pPr>
              <w:pStyle w:val="97"/>
            </w:pPr>
            <w:r>
              <w:t>0.0182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300</w:t>
            </w:r>
          </w:p>
        </w:tc>
        <w:tc>
          <w:tcPr>
            <w:tcW w:w="2954" w:type="dxa"/>
            <w:vAlign w:val="center"/>
          </w:tcPr>
          <w:p>
            <w:pPr>
              <w:pStyle w:val="97"/>
            </w:pPr>
            <w:r>
              <w:t>0.1393</w:t>
            </w:r>
          </w:p>
        </w:tc>
        <w:tc>
          <w:tcPr>
            <w:tcW w:w="2750" w:type="dxa"/>
            <w:vAlign w:val="center"/>
          </w:tcPr>
          <w:p>
            <w:pPr>
              <w:pStyle w:val="97"/>
            </w:pPr>
            <w:r>
              <w:t>0.0046</w:t>
            </w:r>
          </w:p>
        </w:tc>
        <w:tc>
          <w:tcPr>
            <w:tcW w:w="3119" w:type="dxa"/>
            <w:vAlign w:val="center"/>
          </w:tcPr>
          <w:p>
            <w:pPr>
              <w:pStyle w:val="97"/>
            </w:pPr>
            <w:r>
              <w:t>0.2785</w:t>
            </w:r>
          </w:p>
        </w:tc>
        <w:tc>
          <w:tcPr>
            <w:tcW w:w="2646" w:type="dxa"/>
            <w:vAlign w:val="center"/>
          </w:tcPr>
          <w:p>
            <w:pPr>
              <w:pStyle w:val="97"/>
            </w:pPr>
            <w:r>
              <w:t>0.0139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400</w:t>
            </w:r>
          </w:p>
        </w:tc>
        <w:tc>
          <w:tcPr>
            <w:tcW w:w="2954" w:type="dxa"/>
            <w:vAlign w:val="center"/>
          </w:tcPr>
          <w:p>
            <w:pPr>
              <w:pStyle w:val="97"/>
            </w:pPr>
            <w:r>
              <w:t>0.1185</w:t>
            </w:r>
          </w:p>
        </w:tc>
        <w:tc>
          <w:tcPr>
            <w:tcW w:w="2750" w:type="dxa"/>
            <w:vAlign w:val="center"/>
          </w:tcPr>
          <w:p>
            <w:pPr>
              <w:pStyle w:val="97"/>
            </w:pPr>
            <w:r>
              <w:t>0.0040</w:t>
            </w:r>
          </w:p>
        </w:tc>
        <w:tc>
          <w:tcPr>
            <w:tcW w:w="3119" w:type="dxa"/>
            <w:vAlign w:val="center"/>
          </w:tcPr>
          <w:p>
            <w:pPr>
              <w:pStyle w:val="97"/>
            </w:pPr>
            <w:r>
              <w:t>0.2371</w:t>
            </w:r>
          </w:p>
        </w:tc>
        <w:tc>
          <w:tcPr>
            <w:tcW w:w="2646" w:type="dxa"/>
            <w:vAlign w:val="center"/>
          </w:tcPr>
          <w:p>
            <w:pPr>
              <w:pStyle w:val="97"/>
            </w:pPr>
            <w:r>
              <w:t>0.0119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500</w:t>
            </w:r>
          </w:p>
        </w:tc>
        <w:tc>
          <w:tcPr>
            <w:tcW w:w="2954" w:type="dxa"/>
            <w:vAlign w:val="center"/>
          </w:tcPr>
          <w:p>
            <w:pPr>
              <w:pStyle w:val="97"/>
            </w:pPr>
            <w:r>
              <w:t>0.1022</w:t>
            </w:r>
          </w:p>
        </w:tc>
        <w:tc>
          <w:tcPr>
            <w:tcW w:w="2750" w:type="dxa"/>
            <w:vAlign w:val="center"/>
          </w:tcPr>
          <w:p>
            <w:pPr>
              <w:pStyle w:val="97"/>
            </w:pPr>
            <w:r>
              <w:t>0.0034</w:t>
            </w:r>
          </w:p>
        </w:tc>
        <w:tc>
          <w:tcPr>
            <w:tcW w:w="3119" w:type="dxa"/>
            <w:vAlign w:val="center"/>
          </w:tcPr>
          <w:p>
            <w:pPr>
              <w:pStyle w:val="97"/>
            </w:pPr>
            <w:r>
              <w:t>0.2043</w:t>
            </w:r>
          </w:p>
        </w:tc>
        <w:tc>
          <w:tcPr>
            <w:tcW w:w="2646" w:type="dxa"/>
            <w:vAlign w:val="center"/>
          </w:tcPr>
          <w:p>
            <w:pPr>
              <w:pStyle w:val="97"/>
            </w:pPr>
            <w:r>
              <w:t>0.0102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600</w:t>
            </w:r>
          </w:p>
        </w:tc>
        <w:tc>
          <w:tcPr>
            <w:tcW w:w="2954" w:type="dxa"/>
            <w:vAlign w:val="center"/>
          </w:tcPr>
          <w:p>
            <w:pPr>
              <w:pStyle w:val="97"/>
            </w:pPr>
            <w:r>
              <w:t>0.0893</w:t>
            </w:r>
          </w:p>
        </w:tc>
        <w:tc>
          <w:tcPr>
            <w:tcW w:w="2750" w:type="dxa"/>
            <w:vAlign w:val="center"/>
          </w:tcPr>
          <w:p>
            <w:pPr>
              <w:pStyle w:val="97"/>
            </w:pPr>
            <w:r>
              <w:t>0.0030</w:t>
            </w:r>
          </w:p>
        </w:tc>
        <w:tc>
          <w:tcPr>
            <w:tcW w:w="3119" w:type="dxa"/>
            <w:vAlign w:val="center"/>
          </w:tcPr>
          <w:p>
            <w:pPr>
              <w:pStyle w:val="97"/>
            </w:pPr>
            <w:r>
              <w:t>0.1786</w:t>
            </w:r>
          </w:p>
        </w:tc>
        <w:tc>
          <w:tcPr>
            <w:tcW w:w="2646" w:type="dxa"/>
            <w:vAlign w:val="center"/>
          </w:tcPr>
          <w:p>
            <w:pPr>
              <w:pStyle w:val="97"/>
            </w:pPr>
            <w:r>
              <w:t>0.0089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700</w:t>
            </w:r>
          </w:p>
        </w:tc>
        <w:tc>
          <w:tcPr>
            <w:tcW w:w="2954" w:type="dxa"/>
            <w:vAlign w:val="center"/>
          </w:tcPr>
          <w:p>
            <w:pPr>
              <w:pStyle w:val="97"/>
            </w:pPr>
            <w:r>
              <w:t>0.0810</w:t>
            </w:r>
          </w:p>
        </w:tc>
        <w:tc>
          <w:tcPr>
            <w:tcW w:w="2750" w:type="dxa"/>
            <w:vAlign w:val="center"/>
          </w:tcPr>
          <w:p>
            <w:pPr>
              <w:pStyle w:val="97"/>
            </w:pPr>
            <w:r>
              <w:t>0.0027</w:t>
            </w:r>
          </w:p>
        </w:tc>
        <w:tc>
          <w:tcPr>
            <w:tcW w:w="3119" w:type="dxa"/>
            <w:vAlign w:val="center"/>
          </w:tcPr>
          <w:p>
            <w:pPr>
              <w:pStyle w:val="97"/>
            </w:pPr>
            <w:r>
              <w:t>0.1620</w:t>
            </w:r>
          </w:p>
        </w:tc>
        <w:tc>
          <w:tcPr>
            <w:tcW w:w="2646" w:type="dxa"/>
            <w:vAlign w:val="center"/>
          </w:tcPr>
          <w:p>
            <w:pPr>
              <w:pStyle w:val="97"/>
            </w:pPr>
            <w:r>
              <w:t>0.0081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800</w:t>
            </w:r>
          </w:p>
        </w:tc>
        <w:tc>
          <w:tcPr>
            <w:tcW w:w="2954" w:type="dxa"/>
            <w:vAlign w:val="center"/>
          </w:tcPr>
          <w:p>
            <w:pPr>
              <w:pStyle w:val="97"/>
            </w:pPr>
            <w:r>
              <w:t>0.0738</w:t>
            </w:r>
          </w:p>
        </w:tc>
        <w:tc>
          <w:tcPr>
            <w:tcW w:w="2750" w:type="dxa"/>
            <w:vAlign w:val="center"/>
          </w:tcPr>
          <w:p>
            <w:pPr>
              <w:pStyle w:val="97"/>
            </w:pPr>
            <w:r>
              <w:t>0.0025</w:t>
            </w:r>
          </w:p>
        </w:tc>
        <w:tc>
          <w:tcPr>
            <w:tcW w:w="3119" w:type="dxa"/>
            <w:vAlign w:val="center"/>
          </w:tcPr>
          <w:p>
            <w:pPr>
              <w:pStyle w:val="97"/>
            </w:pPr>
            <w:r>
              <w:t>0.1477</w:t>
            </w:r>
          </w:p>
        </w:tc>
        <w:tc>
          <w:tcPr>
            <w:tcW w:w="2646" w:type="dxa"/>
            <w:vAlign w:val="center"/>
          </w:tcPr>
          <w:p>
            <w:pPr>
              <w:pStyle w:val="97"/>
            </w:pPr>
            <w:r>
              <w:t>0.0074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900</w:t>
            </w:r>
          </w:p>
        </w:tc>
        <w:tc>
          <w:tcPr>
            <w:tcW w:w="2954" w:type="dxa"/>
            <w:vAlign w:val="center"/>
          </w:tcPr>
          <w:p>
            <w:pPr>
              <w:pStyle w:val="97"/>
            </w:pPr>
            <w:r>
              <w:t>0.0679</w:t>
            </w:r>
          </w:p>
        </w:tc>
        <w:tc>
          <w:tcPr>
            <w:tcW w:w="2750" w:type="dxa"/>
            <w:vAlign w:val="center"/>
          </w:tcPr>
          <w:p>
            <w:pPr>
              <w:pStyle w:val="97"/>
            </w:pPr>
            <w:r>
              <w:t>0.0023</w:t>
            </w:r>
          </w:p>
        </w:tc>
        <w:tc>
          <w:tcPr>
            <w:tcW w:w="3119" w:type="dxa"/>
            <w:vAlign w:val="center"/>
          </w:tcPr>
          <w:p>
            <w:pPr>
              <w:pStyle w:val="97"/>
            </w:pPr>
            <w:r>
              <w:t>0.1359</w:t>
            </w:r>
          </w:p>
        </w:tc>
        <w:tc>
          <w:tcPr>
            <w:tcW w:w="2646" w:type="dxa"/>
            <w:vAlign w:val="center"/>
          </w:tcPr>
          <w:p>
            <w:pPr>
              <w:pStyle w:val="97"/>
            </w:pPr>
            <w:r>
              <w:t>0.0068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1000</w:t>
            </w:r>
          </w:p>
        </w:tc>
        <w:tc>
          <w:tcPr>
            <w:tcW w:w="2954" w:type="dxa"/>
            <w:vAlign w:val="center"/>
          </w:tcPr>
          <w:p>
            <w:pPr>
              <w:pStyle w:val="97"/>
            </w:pPr>
            <w:r>
              <w:t>0.0630</w:t>
            </w:r>
          </w:p>
        </w:tc>
        <w:tc>
          <w:tcPr>
            <w:tcW w:w="2750" w:type="dxa"/>
            <w:vAlign w:val="center"/>
          </w:tcPr>
          <w:p>
            <w:pPr>
              <w:pStyle w:val="97"/>
            </w:pPr>
            <w:r>
              <w:t>0.0021</w:t>
            </w:r>
          </w:p>
        </w:tc>
        <w:tc>
          <w:tcPr>
            <w:tcW w:w="3119" w:type="dxa"/>
            <w:vAlign w:val="center"/>
          </w:tcPr>
          <w:p>
            <w:pPr>
              <w:pStyle w:val="97"/>
            </w:pPr>
            <w:r>
              <w:t>0.1261</w:t>
            </w:r>
          </w:p>
        </w:tc>
        <w:tc>
          <w:tcPr>
            <w:tcW w:w="2646" w:type="dxa"/>
            <w:vAlign w:val="center"/>
          </w:tcPr>
          <w:p>
            <w:pPr>
              <w:pStyle w:val="97"/>
            </w:pPr>
            <w:r>
              <w:t>0.0063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1200</w:t>
            </w:r>
          </w:p>
        </w:tc>
        <w:tc>
          <w:tcPr>
            <w:tcW w:w="2954" w:type="dxa"/>
            <w:vAlign w:val="center"/>
          </w:tcPr>
          <w:p>
            <w:pPr>
              <w:pStyle w:val="97"/>
            </w:pPr>
            <w:r>
              <w:t>0.0552</w:t>
            </w:r>
          </w:p>
        </w:tc>
        <w:tc>
          <w:tcPr>
            <w:tcW w:w="2750" w:type="dxa"/>
            <w:vAlign w:val="center"/>
          </w:tcPr>
          <w:p>
            <w:pPr>
              <w:pStyle w:val="97"/>
            </w:pPr>
            <w:r>
              <w:t>0.0018</w:t>
            </w:r>
          </w:p>
        </w:tc>
        <w:tc>
          <w:tcPr>
            <w:tcW w:w="3119" w:type="dxa"/>
            <w:vAlign w:val="center"/>
          </w:tcPr>
          <w:p>
            <w:pPr>
              <w:pStyle w:val="97"/>
            </w:pPr>
            <w:r>
              <w:t>0.1103</w:t>
            </w:r>
          </w:p>
        </w:tc>
        <w:tc>
          <w:tcPr>
            <w:tcW w:w="2646" w:type="dxa"/>
            <w:vAlign w:val="center"/>
          </w:tcPr>
          <w:p>
            <w:pPr>
              <w:pStyle w:val="97"/>
            </w:pPr>
            <w:r>
              <w:t>0.0055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1400</w:t>
            </w:r>
          </w:p>
        </w:tc>
        <w:tc>
          <w:tcPr>
            <w:tcW w:w="2954" w:type="dxa"/>
            <w:vAlign w:val="center"/>
          </w:tcPr>
          <w:p>
            <w:pPr>
              <w:pStyle w:val="97"/>
            </w:pPr>
            <w:r>
              <w:t>0.0488</w:t>
            </w:r>
          </w:p>
        </w:tc>
        <w:tc>
          <w:tcPr>
            <w:tcW w:w="2750" w:type="dxa"/>
            <w:vAlign w:val="center"/>
          </w:tcPr>
          <w:p>
            <w:pPr>
              <w:pStyle w:val="97"/>
            </w:pPr>
            <w:r>
              <w:t>0.0016</w:t>
            </w:r>
          </w:p>
        </w:tc>
        <w:tc>
          <w:tcPr>
            <w:tcW w:w="3119" w:type="dxa"/>
            <w:vAlign w:val="center"/>
          </w:tcPr>
          <w:p>
            <w:pPr>
              <w:pStyle w:val="97"/>
            </w:pPr>
            <w:r>
              <w:t>0.0976</w:t>
            </w:r>
          </w:p>
        </w:tc>
        <w:tc>
          <w:tcPr>
            <w:tcW w:w="2646" w:type="dxa"/>
            <w:vAlign w:val="center"/>
          </w:tcPr>
          <w:p>
            <w:pPr>
              <w:pStyle w:val="97"/>
            </w:pPr>
            <w:r>
              <w:t>0.0049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1600</w:t>
            </w:r>
          </w:p>
        </w:tc>
        <w:tc>
          <w:tcPr>
            <w:tcW w:w="2954" w:type="dxa"/>
            <w:vAlign w:val="center"/>
          </w:tcPr>
          <w:p>
            <w:pPr>
              <w:pStyle w:val="97"/>
            </w:pPr>
            <w:r>
              <w:t>0.0436</w:t>
            </w:r>
          </w:p>
        </w:tc>
        <w:tc>
          <w:tcPr>
            <w:tcW w:w="2750" w:type="dxa"/>
            <w:vAlign w:val="center"/>
          </w:tcPr>
          <w:p>
            <w:pPr>
              <w:pStyle w:val="97"/>
            </w:pPr>
            <w:r>
              <w:t>0.0015</w:t>
            </w:r>
          </w:p>
        </w:tc>
        <w:tc>
          <w:tcPr>
            <w:tcW w:w="3119" w:type="dxa"/>
            <w:vAlign w:val="center"/>
          </w:tcPr>
          <w:p>
            <w:pPr>
              <w:pStyle w:val="97"/>
            </w:pPr>
            <w:r>
              <w:t>0.0872</w:t>
            </w:r>
          </w:p>
        </w:tc>
        <w:tc>
          <w:tcPr>
            <w:tcW w:w="2646" w:type="dxa"/>
            <w:vAlign w:val="center"/>
          </w:tcPr>
          <w:p>
            <w:pPr>
              <w:pStyle w:val="97"/>
            </w:pPr>
            <w:r>
              <w:t>0.0044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1800</w:t>
            </w:r>
          </w:p>
        </w:tc>
        <w:tc>
          <w:tcPr>
            <w:tcW w:w="2954" w:type="dxa"/>
            <w:vAlign w:val="center"/>
          </w:tcPr>
          <w:p>
            <w:pPr>
              <w:pStyle w:val="97"/>
            </w:pPr>
            <w:r>
              <w:t>0.0392</w:t>
            </w:r>
          </w:p>
        </w:tc>
        <w:tc>
          <w:tcPr>
            <w:tcW w:w="2750" w:type="dxa"/>
            <w:vAlign w:val="center"/>
          </w:tcPr>
          <w:p>
            <w:pPr>
              <w:pStyle w:val="97"/>
            </w:pPr>
            <w:r>
              <w:t>0.0013</w:t>
            </w:r>
          </w:p>
        </w:tc>
        <w:tc>
          <w:tcPr>
            <w:tcW w:w="3119" w:type="dxa"/>
            <w:vAlign w:val="center"/>
          </w:tcPr>
          <w:p>
            <w:pPr>
              <w:pStyle w:val="97"/>
            </w:pPr>
            <w:r>
              <w:t>0.0785</w:t>
            </w:r>
          </w:p>
        </w:tc>
        <w:tc>
          <w:tcPr>
            <w:tcW w:w="2646" w:type="dxa"/>
            <w:vAlign w:val="center"/>
          </w:tcPr>
          <w:p>
            <w:pPr>
              <w:pStyle w:val="97"/>
            </w:pPr>
            <w:r>
              <w:t>0.0039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2000</w:t>
            </w:r>
          </w:p>
        </w:tc>
        <w:tc>
          <w:tcPr>
            <w:tcW w:w="2954" w:type="dxa"/>
            <w:vAlign w:val="center"/>
          </w:tcPr>
          <w:p>
            <w:pPr>
              <w:pStyle w:val="97"/>
            </w:pPr>
            <w:r>
              <w:t>0.0356</w:t>
            </w:r>
          </w:p>
        </w:tc>
        <w:tc>
          <w:tcPr>
            <w:tcW w:w="2750" w:type="dxa"/>
            <w:vAlign w:val="center"/>
          </w:tcPr>
          <w:p>
            <w:pPr>
              <w:pStyle w:val="97"/>
            </w:pPr>
            <w:r>
              <w:t>0.0012</w:t>
            </w:r>
          </w:p>
        </w:tc>
        <w:tc>
          <w:tcPr>
            <w:tcW w:w="3119" w:type="dxa"/>
            <w:vAlign w:val="center"/>
          </w:tcPr>
          <w:p>
            <w:pPr>
              <w:pStyle w:val="97"/>
            </w:pPr>
            <w:r>
              <w:t>0.0712</w:t>
            </w:r>
          </w:p>
        </w:tc>
        <w:tc>
          <w:tcPr>
            <w:tcW w:w="2646" w:type="dxa"/>
            <w:vAlign w:val="center"/>
          </w:tcPr>
          <w:p>
            <w:pPr>
              <w:pStyle w:val="97"/>
            </w:pPr>
            <w: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2500</w:t>
            </w:r>
          </w:p>
        </w:tc>
        <w:tc>
          <w:tcPr>
            <w:tcW w:w="2954" w:type="dxa"/>
            <w:vAlign w:val="center"/>
          </w:tcPr>
          <w:p>
            <w:pPr>
              <w:pStyle w:val="97"/>
            </w:pPr>
            <w:r>
              <w:t>0.0286</w:t>
            </w:r>
          </w:p>
        </w:tc>
        <w:tc>
          <w:tcPr>
            <w:tcW w:w="2750" w:type="dxa"/>
            <w:vAlign w:val="center"/>
          </w:tcPr>
          <w:p>
            <w:pPr>
              <w:pStyle w:val="97"/>
            </w:pPr>
            <w:r>
              <w:t>0.0010</w:t>
            </w:r>
          </w:p>
        </w:tc>
        <w:tc>
          <w:tcPr>
            <w:tcW w:w="3119" w:type="dxa"/>
            <w:vAlign w:val="center"/>
          </w:tcPr>
          <w:p>
            <w:pPr>
              <w:pStyle w:val="97"/>
            </w:pPr>
            <w:r>
              <w:t>0.0572</w:t>
            </w:r>
          </w:p>
        </w:tc>
        <w:tc>
          <w:tcPr>
            <w:tcW w:w="2646" w:type="dxa"/>
            <w:vAlign w:val="center"/>
          </w:tcPr>
          <w:p>
            <w:pPr>
              <w:pStyle w:val="97"/>
            </w:pPr>
            <w:r>
              <w:t>0.0029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3000</w:t>
            </w:r>
          </w:p>
        </w:tc>
        <w:tc>
          <w:tcPr>
            <w:tcW w:w="2954" w:type="dxa"/>
            <w:vAlign w:val="center"/>
          </w:tcPr>
          <w:p>
            <w:pPr>
              <w:pStyle w:val="97"/>
            </w:pPr>
            <w:r>
              <w:t>0.0237</w:t>
            </w:r>
          </w:p>
        </w:tc>
        <w:tc>
          <w:tcPr>
            <w:tcW w:w="2750" w:type="dxa"/>
            <w:vAlign w:val="center"/>
          </w:tcPr>
          <w:p>
            <w:pPr>
              <w:pStyle w:val="97"/>
            </w:pPr>
            <w:r>
              <w:t>0.0008</w:t>
            </w:r>
          </w:p>
        </w:tc>
        <w:tc>
          <w:tcPr>
            <w:tcW w:w="3119" w:type="dxa"/>
            <w:vAlign w:val="center"/>
          </w:tcPr>
          <w:p>
            <w:pPr>
              <w:pStyle w:val="97"/>
            </w:pPr>
            <w:r>
              <w:t>0.0473</w:t>
            </w:r>
          </w:p>
        </w:tc>
        <w:tc>
          <w:tcPr>
            <w:tcW w:w="2646" w:type="dxa"/>
            <w:vAlign w:val="center"/>
          </w:tcPr>
          <w:p>
            <w:pPr>
              <w:pStyle w:val="97"/>
            </w:pPr>
            <w:r>
              <w:t>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3500</w:t>
            </w:r>
          </w:p>
        </w:tc>
        <w:tc>
          <w:tcPr>
            <w:tcW w:w="2954" w:type="dxa"/>
            <w:vAlign w:val="center"/>
          </w:tcPr>
          <w:p>
            <w:pPr>
              <w:pStyle w:val="97"/>
            </w:pPr>
            <w:r>
              <w:t>0.0201</w:t>
            </w:r>
          </w:p>
        </w:tc>
        <w:tc>
          <w:tcPr>
            <w:tcW w:w="2750" w:type="dxa"/>
            <w:vAlign w:val="center"/>
          </w:tcPr>
          <w:p>
            <w:pPr>
              <w:pStyle w:val="97"/>
            </w:pPr>
            <w:r>
              <w:t>0.0007</w:t>
            </w:r>
          </w:p>
        </w:tc>
        <w:tc>
          <w:tcPr>
            <w:tcW w:w="3119" w:type="dxa"/>
            <w:vAlign w:val="center"/>
          </w:tcPr>
          <w:p>
            <w:pPr>
              <w:pStyle w:val="97"/>
            </w:pPr>
            <w:r>
              <w:t>0.0401</w:t>
            </w:r>
          </w:p>
        </w:tc>
        <w:tc>
          <w:tcPr>
            <w:tcW w:w="2646" w:type="dxa"/>
            <w:vAlign w:val="center"/>
          </w:tcPr>
          <w:p>
            <w:pPr>
              <w:pStyle w:val="97"/>
            </w:pPr>
            <w:r>
              <w:t>0.0020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4000</w:t>
            </w:r>
          </w:p>
        </w:tc>
        <w:tc>
          <w:tcPr>
            <w:tcW w:w="2954" w:type="dxa"/>
            <w:vAlign w:val="center"/>
          </w:tcPr>
          <w:p>
            <w:pPr>
              <w:pStyle w:val="97"/>
            </w:pPr>
            <w:r>
              <w:t>0.0173</w:t>
            </w:r>
          </w:p>
        </w:tc>
        <w:tc>
          <w:tcPr>
            <w:tcW w:w="2750" w:type="dxa"/>
            <w:vAlign w:val="center"/>
          </w:tcPr>
          <w:p>
            <w:pPr>
              <w:pStyle w:val="97"/>
            </w:pPr>
            <w:r>
              <w:t>0.0006</w:t>
            </w:r>
          </w:p>
        </w:tc>
        <w:tc>
          <w:tcPr>
            <w:tcW w:w="3119" w:type="dxa"/>
            <w:vAlign w:val="center"/>
          </w:tcPr>
          <w:p>
            <w:pPr>
              <w:pStyle w:val="97"/>
            </w:pPr>
            <w:r>
              <w:t>0.0346</w:t>
            </w:r>
          </w:p>
        </w:tc>
        <w:tc>
          <w:tcPr>
            <w:tcW w:w="2646" w:type="dxa"/>
            <w:vAlign w:val="center"/>
          </w:tcPr>
          <w:p>
            <w:pPr>
              <w:pStyle w:val="97"/>
            </w:pPr>
            <w: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4500</w:t>
            </w:r>
          </w:p>
        </w:tc>
        <w:tc>
          <w:tcPr>
            <w:tcW w:w="2954" w:type="dxa"/>
            <w:vAlign w:val="center"/>
          </w:tcPr>
          <w:p>
            <w:pPr>
              <w:pStyle w:val="97"/>
            </w:pPr>
            <w:r>
              <w:t>0.0152</w:t>
            </w:r>
          </w:p>
        </w:tc>
        <w:tc>
          <w:tcPr>
            <w:tcW w:w="2750" w:type="dxa"/>
            <w:vAlign w:val="center"/>
          </w:tcPr>
          <w:p>
            <w:pPr>
              <w:pStyle w:val="97"/>
            </w:pPr>
            <w:r>
              <w:t>0.0005</w:t>
            </w:r>
          </w:p>
        </w:tc>
        <w:tc>
          <w:tcPr>
            <w:tcW w:w="3119" w:type="dxa"/>
            <w:vAlign w:val="center"/>
          </w:tcPr>
          <w:p>
            <w:pPr>
              <w:pStyle w:val="97"/>
            </w:pPr>
            <w:r>
              <w:t>0.0303</w:t>
            </w:r>
          </w:p>
        </w:tc>
        <w:tc>
          <w:tcPr>
            <w:tcW w:w="2646" w:type="dxa"/>
            <w:vAlign w:val="center"/>
          </w:tcPr>
          <w:p>
            <w:pPr>
              <w:pStyle w:val="97"/>
            </w:pPr>
            <w:r>
              <w:t>0.0015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5000</w:t>
            </w:r>
          </w:p>
        </w:tc>
        <w:tc>
          <w:tcPr>
            <w:tcW w:w="2954" w:type="dxa"/>
            <w:vAlign w:val="center"/>
          </w:tcPr>
          <w:p>
            <w:pPr>
              <w:pStyle w:val="97"/>
            </w:pPr>
            <w:r>
              <w:t>0.0134</w:t>
            </w:r>
          </w:p>
        </w:tc>
        <w:tc>
          <w:tcPr>
            <w:tcW w:w="2750" w:type="dxa"/>
            <w:vAlign w:val="center"/>
          </w:tcPr>
          <w:p>
            <w:pPr>
              <w:pStyle w:val="97"/>
            </w:pPr>
            <w:r>
              <w:t>0.0004</w:t>
            </w:r>
          </w:p>
        </w:tc>
        <w:tc>
          <w:tcPr>
            <w:tcW w:w="3119" w:type="dxa"/>
            <w:vAlign w:val="center"/>
          </w:tcPr>
          <w:p>
            <w:pPr>
              <w:pStyle w:val="97"/>
            </w:pPr>
            <w:r>
              <w:t>0.0269</w:t>
            </w:r>
          </w:p>
        </w:tc>
        <w:tc>
          <w:tcPr>
            <w:tcW w:w="2646" w:type="dxa"/>
            <w:vAlign w:val="center"/>
          </w:tcPr>
          <w:p>
            <w:pPr>
              <w:pStyle w:val="97"/>
            </w:pPr>
            <w: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10000</w:t>
            </w:r>
          </w:p>
        </w:tc>
        <w:tc>
          <w:tcPr>
            <w:tcW w:w="2954" w:type="dxa"/>
            <w:vAlign w:val="center"/>
          </w:tcPr>
          <w:p>
            <w:pPr>
              <w:pStyle w:val="97"/>
            </w:pPr>
            <w:r>
              <w:t>0.0059</w:t>
            </w:r>
          </w:p>
        </w:tc>
        <w:tc>
          <w:tcPr>
            <w:tcW w:w="2750" w:type="dxa"/>
            <w:vAlign w:val="center"/>
          </w:tcPr>
          <w:p>
            <w:pPr>
              <w:pStyle w:val="97"/>
            </w:pPr>
            <w:r>
              <w:t>0.0002</w:t>
            </w:r>
          </w:p>
        </w:tc>
        <w:tc>
          <w:tcPr>
            <w:tcW w:w="3119" w:type="dxa"/>
            <w:vAlign w:val="center"/>
          </w:tcPr>
          <w:p>
            <w:pPr>
              <w:pStyle w:val="97"/>
            </w:pPr>
            <w:r>
              <w:t>0.0118</w:t>
            </w:r>
          </w:p>
        </w:tc>
        <w:tc>
          <w:tcPr>
            <w:tcW w:w="2646" w:type="dxa"/>
            <w:vAlign w:val="center"/>
          </w:tcPr>
          <w:p>
            <w:pPr>
              <w:pStyle w:val="97"/>
            </w:pPr>
            <w: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11000</w:t>
            </w:r>
          </w:p>
        </w:tc>
        <w:tc>
          <w:tcPr>
            <w:tcW w:w="2954" w:type="dxa"/>
            <w:vAlign w:val="center"/>
          </w:tcPr>
          <w:p>
            <w:pPr>
              <w:pStyle w:val="97"/>
            </w:pPr>
            <w:r>
              <w:t>0.0052</w:t>
            </w:r>
          </w:p>
        </w:tc>
        <w:tc>
          <w:tcPr>
            <w:tcW w:w="2750" w:type="dxa"/>
            <w:vAlign w:val="center"/>
          </w:tcPr>
          <w:p>
            <w:pPr>
              <w:pStyle w:val="97"/>
            </w:pPr>
            <w:r>
              <w:t>0.0002</w:t>
            </w:r>
          </w:p>
        </w:tc>
        <w:tc>
          <w:tcPr>
            <w:tcW w:w="3119" w:type="dxa"/>
            <w:vAlign w:val="center"/>
          </w:tcPr>
          <w:p>
            <w:pPr>
              <w:pStyle w:val="97"/>
            </w:pPr>
            <w:r>
              <w:t>0.0105</w:t>
            </w:r>
          </w:p>
        </w:tc>
        <w:tc>
          <w:tcPr>
            <w:tcW w:w="2646" w:type="dxa"/>
            <w:vAlign w:val="center"/>
          </w:tcPr>
          <w:p>
            <w:pPr>
              <w:pStyle w:val="97"/>
            </w:pPr>
            <w: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12000</w:t>
            </w:r>
          </w:p>
        </w:tc>
        <w:tc>
          <w:tcPr>
            <w:tcW w:w="2954" w:type="dxa"/>
            <w:vAlign w:val="center"/>
          </w:tcPr>
          <w:p>
            <w:pPr>
              <w:pStyle w:val="97"/>
            </w:pPr>
            <w:r>
              <w:t>0.0047</w:t>
            </w:r>
          </w:p>
        </w:tc>
        <w:tc>
          <w:tcPr>
            <w:tcW w:w="2750" w:type="dxa"/>
            <w:vAlign w:val="center"/>
          </w:tcPr>
          <w:p>
            <w:pPr>
              <w:pStyle w:val="97"/>
            </w:pPr>
            <w:r>
              <w:t>0.0002</w:t>
            </w:r>
          </w:p>
        </w:tc>
        <w:tc>
          <w:tcPr>
            <w:tcW w:w="3119" w:type="dxa"/>
            <w:vAlign w:val="center"/>
          </w:tcPr>
          <w:p>
            <w:pPr>
              <w:pStyle w:val="97"/>
            </w:pPr>
            <w:r>
              <w:t>0.0094</w:t>
            </w:r>
          </w:p>
        </w:tc>
        <w:tc>
          <w:tcPr>
            <w:tcW w:w="2646" w:type="dxa"/>
            <w:vAlign w:val="center"/>
          </w:tcPr>
          <w:p>
            <w:pPr>
              <w:pStyle w:val="97"/>
            </w:pPr>
            <w: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13000</w:t>
            </w:r>
          </w:p>
        </w:tc>
        <w:tc>
          <w:tcPr>
            <w:tcW w:w="2954" w:type="dxa"/>
            <w:vAlign w:val="center"/>
          </w:tcPr>
          <w:p>
            <w:pPr>
              <w:pStyle w:val="97"/>
            </w:pPr>
            <w:r>
              <w:t>0.0043</w:t>
            </w:r>
          </w:p>
        </w:tc>
        <w:tc>
          <w:tcPr>
            <w:tcW w:w="2750" w:type="dxa"/>
            <w:vAlign w:val="center"/>
          </w:tcPr>
          <w:p>
            <w:pPr>
              <w:pStyle w:val="97"/>
            </w:pPr>
            <w:r>
              <w:t>0.0001</w:t>
            </w:r>
          </w:p>
        </w:tc>
        <w:tc>
          <w:tcPr>
            <w:tcW w:w="3119" w:type="dxa"/>
            <w:vAlign w:val="center"/>
          </w:tcPr>
          <w:p>
            <w:pPr>
              <w:pStyle w:val="97"/>
            </w:pPr>
            <w:r>
              <w:t>0.0085</w:t>
            </w:r>
          </w:p>
        </w:tc>
        <w:tc>
          <w:tcPr>
            <w:tcW w:w="2646" w:type="dxa"/>
            <w:vAlign w:val="center"/>
          </w:tcPr>
          <w:p>
            <w:pPr>
              <w:pStyle w:val="97"/>
            </w:pPr>
            <w: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14000</w:t>
            </w:r>
          </w:p>
        </w:tc>
        <w:tc>
          <w:tcPr>
            <w:tcW w:w="2954" w:type="dxa"/>
            <w:vAlign w:val="center"/>
          </w:tcPr>
          <w:p>
            <w:pPr>
              <w:pStyle w:val="97"/>
            </w:pPr>
            <w:r>
              <w:t>0.0039</w:t>
            </w:r>
          </w:p>
        </w:tc>
        <w:tc>
          <w:tcPr>
            <w:tcW w:w="2750" w:type="dxa"/>
            <w:vAlign w:val="center"/>
          </w:tcPr>
          <w:p>
            <w:pPr>
              <w:pStyle w:val="97"/>
            </w:pPr>
            <w:r>
              <w:t>0.0001</w:t>
            </w:r>
          </w:p>
        </w:tc>
        <w:tc>
          <w:tcPr>
            <w:tcW w:w="3119" w:type="dxa"/>
            <w:vAlign w:val="center"/>
          </w:tcPr>
          <w:p>
            <w:pPr>
              <w:pStyle w:val="97"/>
            </w:pPr>
            <w:r>
              <w:t>0.0078</w:t>
            </w:r>
          </w:p>
        </w:tc>
        <w:tc>
          <w:tcPr>
            <w:tcW w:w="2646" w:type="dxa"/>
            <w:vAlign w:val="center"/>
          </w:tcPr>
          <w:p>
            <w:pPr>
              <w:pStyle w:val="97"/>
            </w:pPr>
            <w: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15000</w:t>
            </w:r>
          </w:p>
        </w:tc>
        <w:tc>
          <w:tcPr>
            <w:tcW w:w="2954" w:type="dxa"/>
            <w:vAlign w:val="center"/>
          </w:tcPr>
          <w:p>
            <w:pPr>
              <w:pStyle w:val="97"/>
            </w:pPr>
            <w:r>
              <w:t>0.0036</w:t>
            </w:r>
          </w:p>
        </w:tc>
        <w:tc>
          <w:tcPr>
            <w:tcW w:w="2750" w:type="dxa"/>
            <w:vAlign w:val="center"/>
          </w:tcPr>
          <w:p>
            <w:pPr>
              <w:pStyle w:val="97"/>
            </w:pPr>
            <w:r>
              <w:t>0.0001</w:t>
            </w:r>
          </w:p>
        </w:tc>
        <w:tc>
          <w:tcPr>
            <w:tcW w:w="3119" w:type="dxa"/>
            <w:vAlign w:val="center"/>
          </w:tcPr>
          <w:p>
            <w:pPr>
              <w:pStyle w:val="97"/>
            </w:pPr>
            <w:r>
              <w:t>0.0071</w:t>
            </w:r>
          </w:p>
        </w:tc>
        <w:tc>
          <w:tcPr>
            <w:tcW w:w="2646" w:type="dxa"/>
            <w:vAlign w:val="center"/>
          </w:tcPr>
          <w:p>
            <w:pPr>
              <w:pStyle w:val="97"/>
            </w:pPr>
            <w: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20000</w:t>
            </w:r>
          </w:p>
        </w:tc>
        <w:tc>
          <w:tcPr>
            <w:tcW w:w="2954" w:type="dxa"/>
            <w:vAlign w:val="center"/>
          </w:tcPr>
          <w:p>
            <w:pPr>
              <w:pStyle w:val="97"/>
            </w:pPr>
            <w:r>
              <w:t>0.0025</w:t>
            </w:r>
          </w:p>
        </w:tc>
        <w:tc>
          <w:tcPr>
            <w:tcW w:w="2750" w:type="dxa"/>
            <w:vAlign w:val="center"/>
          </w:tcPr>
          <w:p>
            <w:pPr>
              <w:pStyle w:val="97"/>
            </w:pPr>
            <w:r>
              <w:t>0.0001</w:t>
            </w:r>
          </w:p>
        </w:tc>
        <w:tc>
          <w:tcPr>
            <w:tcW w:w="3119" w:type="dxa"/>
            <w:vAlign w:val="center"/>
          </w:tcPr>
          <w:p>
            <w:pPr>
              <w:pStyle w:val="97"/>
            </w:pPr>
            <w:r>
              <w:t>0.0050</w:t>
            </w:r>
          </w:p>
        </w:tc>
        <w:tc>
          <w:tcPr>
            <w:tcW w:w="2646" w:type="dxa"/>
            <w:vAlign w:val="center"/>
          </w:tcPr>
          <w:p>
            <w:pPr>
              <w:pStyle w:val="97"/>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pPr>
            <w:r>
              <w:t>25000</w:t>
            </w:r>
          </w:p>
        </w:tc>
        <w:tc>
          <w:tcPr>
            <w:tcW w:w="2954" w:type="dxa"/>
            <w:vAlign w:val="center"/>
          </w:tcPr>
          <w:p>
            <w:pPr>
              <w:pStyle w:val="97"/>
            </w:pPr>
            <w:r>
              <w:t>0.0019</w:t>
            </w:r>
          </w:p>
        </w:tc>
        <w:tc>
          <w:tcPr>
            <w:tcW w:w="2750" w:type="dxa"/>
            <w:vAlign w:val="center"/>
          </w:tcPr>
          <w:p>
            <w:pPr>
              <w:pStyle w:val="97"/>
            </w:pPr>
            <w:r>
              <w:t>0.0001</w:t>
            </w:r>
          </w:p>
        </w:tc>
        <w:tc>
          <w:tcPr>
            <w:tcW w:w="3119" w:type="dxa"/>
            <w:vAlign w:val="center"/>
          </w:tcPr>
          <w:p>
            <w:pPr>
              <w:pStyle w:val="97"/>
            </w:pPr>
            <w:r>
              <w:t>0.0037</w:t>
            </w:r>
          </w:p>
        </w:tc>
        <w:tc>
          <w:tcPr>
            <w:tcW w:w="2646" w:type="dxa"/>
            <w:vAlign w:val="center"/>
          </w:tcPr>
          <w:p>
            <w:pPr>
              <w:pStyle w:val="97"/>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rPr>
                <w:b/>
              </w:rPr>
            </w:pPr>
            <w:r>
              <w:rPr>
                <w:b/>
              </w:rPr>
              <w:t>下风向最大质量浓度及占标率</w:t>
            </w:r>
          </w:p>
        </w:tc>
        <w:tc>
          <w:tcPr>
            <w:tcW w:w="2954" w:type="dxa"/>
            <w:vAlign w:val="center"/>
          </w:tcPr>
          <w:p>
            <w:pPr>
              <w:pStyle w:val="97"/>
              <w:rPr>
                <w:b/>
              </w:rPr>
            </w:pPr>
            <w:r>
              <w:rPr>
                <w:b/>
              </w:rPr>
              <w:t>0.8240</w:t>
            </w:r>
          </w:p>
        </w:tc>
        <w:tc>
          <w:tcPr>
            <w:tcW w:w="2750" w:type="dxa"/>
            <w:vAlign w:val="center"/>
          </w:tcPr>
          <w:p>
            <w:pPr>
              <w:pStyle w:val="97"/>
              <w:rPr>
                <w:b/>
              </w:rPr>
            </w:pPr>
            <w:r>
              <w:rPr>
                <w:b/>
              </w:rPr>
              <w:t>0.0275</w:t>
            </w:r>
          </w:p>
        </w:tc>
        <w:tc>
          <w:tcPr>
            <w:tcW w:w="3119" w:type="dxa"/>
            <w:vAlign w:val="center"/>
          </w:tcPr>
          <w:p>
            <w:pPr>
              <w:pStyle w:val="97"/>
              <w:rPr>
                <w:b/>
              </w:rPr>
            </w:pPr>
            <w:r>
              <w:rPr>
                <w:b/>
              </w:rPr>
              <w:t>1.6481</w:t>
            </w:r>
          </w:p>
        </w:tc>
        <w:tc>
          <w:tcPr>
            <w:tcW w:w="2646" w:type="dxa"/>
            <w:vAlign w:val="center"/>
          </w:tcPr>
          <w:p>
            <w:pPr>
              <w:pStyle w:val="97"/>
              <w:rPr>
                <w:b/>
              </w:rPr>
            </w:pPr>
            <w:r>
              <w:rPr>
                <w:b/>
              </w:rPr>
              <w:t>0.0824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503" w:type="dxa"/>
            <w:vAlign w:val="center"/>
          </w:tcPr>
          <w:p>
            <w:pPr>
              <w:pStyle w:val="92"/>
              <w:rPr>
                <w:b/>
              </w:rPr>
            </w:pPr>
            <w:r>
              <w:rPr>
                <w:b/>
              </w:rPr>
              <w:t>地面最大浓度出现距离</w:t>
            </w:r>
          </w:p>
        </w:tc>
        <w:tc>
          <w:tcPr>
            <w:tcW w:w="11469" w:type="dxa"/>
            <w:gridSpan w:val="4"/>
            <w:vAlign w:val="center"/>
          </w:tcPr>
          <w:p>
            <w:pPr>
              <w:pStyle w:val="92"/>
              <w:rPr>
                <w:b/>
                <w:highlight w:val="yellow"/>
              </w:rPr>
            </w:pPr>
            <w:r>
              <w:rPr>
                <w:b/>
              </w:rPr>
              <w:t>13m</w:t>
            </w:r>
          </w:p>
        </w:tc>
      </w:tr>
    </w:tbl>
    <w:p>
      <w:pPr>
        <w:ind w:firstLine="480"/>
        <w:rPr>
          <w:kern w:val="0"/>
          <w:highlight w:val="yellow"/>
        </w:rPr>
      </w:pPr>
    </w:p>
    <w:p>
      <w:pPr>
        <w:pStyle w:val="93"/>
        <w:jc w:val="both"/>
        <w:rPr>
          <w:kern w:val="0"/>
          <w:highlight w:val="yellow"/>
        </w:rPr>
      </w:pPr>
    </w:p>
    <w:p>
      <w:pPr>
        <w:ind w:firstLine="480"/>
        <w:rPr>
          <w:kern w:val="0"/>
          <w:highlight w:val="yellow"/>
        </w:rPr>
      </w:pPr>
    </w:p>
    <w:p>
      <w:pPr>
        <w:ind w:firstLine="480"/>
        <w:rPr>
          <w:kern w:val="0"/>
          <w:highlight w:val="yellow"/>
        </w:rPr>
        <w:sectPr>
          <w:headerReference r:id="rId50" w:type="default"/>
          <w:headerReference r:id="rId51" w:type="even"/>
          <w:pgSz w:w="16838" w:h="11906" w:orient="landscape"/>
          <w:pgMar w:top="1800" w:right="1418" w:bottom="1800" w:left="1418" w:header="992" w:footer="992" w:gutter="0"/>
          <w:pgNumType w:fmt="numberInDash"/>
          <w:cols w:space="425" w:num="1"/>
          <w:docGrid w:type="lines" w:linePitch="326" w:charSpace="0"/>
        </w:sectPr>
      </w:pPr>
    </w:p>
    <w:p>
      <w:pPr>
        <w:pStyle w:val="5"/>
      </w:pPr>
      <w:r>
        <w:rPr>
          <w:rFonts w:hint="eastAsia"/>
        </w:rPr>
        <w:t>污染物</w:t>
      </w:r>
      <w:r>
        <w:t>源强核算</w:t>
      </w:r>
    </w:p>
    <w:p>
      <w:pPr>
        <w:ind w:firstLine="480"/>
      </w:pPr>
      <w:r>
        <w:rPr>
          <w:rFonts w:hint="eastAsia"/>
        </w:rPr>
        <w:t>（1）正常</w:t>
      </w:r>
      <w:r>
        <w:t>工况</w:t>
      </w:r>
      <w:r>
        <w:rPr>
          <w:rFonts w:hint="eastAsia"/>
        </w:rPr>
        <w:t>排放量</w:t>
      </w:r>
      <w:r>
        <w:t>核算</w:t>
      </w:r>
    </w:p>
    <w:p>
      <w:pPr>
        <w:pStyle w:val="93"/>
        <w:rPr>
          <w:rFonts w:hAnsi="Times New Roman"/>
          <w:snapToGrid w:val="0"/>
        </w:rPr>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7</w:t>
      </w:r>
      <w:r>
        <w:fldChar w:fldCharType="end"/>
      </w:r>
      <w:r>
        <w:rPr>
          <w:rFonts w:hAnsi="Times New Roman"/>
          <w:snapToGrid w:val="0"/>
        </w:rPr>
        <w:t xml:space="preserve">  大气污染物有组织排放量核算表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9"/>
        <w:gridCol w:w="1698"/>
        <w:gridCol w:w="1392"/>
        <w:gridCol w:w="1826"/>
        <w:gridCol w:w="1743"/>
        <w:gridCol w:w="17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snapToGrid w:val="0"/>
              </w:rPr>
              <w:t>序号</w:t>
            </w:r>
          </w:p>
        </w:tc>
        <w:tc>
          <w:tcPr>
            <w:tcW w:w="1698" w:type="dxa"/>
            <w:shd w:val="clear" w:color="auto" w:fill="auto"/>
            <w:vAlign w:val="center"/>
          </w:tcPr>
          <w:p>
            <w:pPr>
              <w:pStyle w:val="97"/>
              <w:rPr>
                <w:snapToGrid w:val="0"/>
              </w:rPr>
            </w:pPr>
            <w:r>
              <w:rPr>
                <w:snapToGrid w:val="0"/>
              </w:rPr>
              <w:t>排放口编号</w:t>
            </w:r>
          </w:p>
        </w:tc>
        <w:tc>
          <w:tcPr>
            <w:tcW w:w="1392" w:type="dxa"/>
            <w:shd w:val="clear" w:color="auto" w:fill="auto"/>
            <w:vAlign w:val="center"/>
          </w:tcPr>
          <w:p>
            <w:pPr>
              <w:pStyle w:val="97"/>
              <w:rPr>
                <w:snapToGrid w:val="0"/>
              </w:rPr>
            </w:pPr>
            <w:r>
              <w:rPr>
                <w:snapToGrid w:val="0"/>
              </w:rPr>
              <w:t>污染物</w:t>
            </w:r>
          </w:p>
        </w:tc>
        <w:tc>
          <w:tcPr>
            <w:tcW w:w="1826" w:type="dxa"/>
            <w:shd w:val="clear" w:color="auto" w:fill="auto"/>
            <w:vAlign w:val="center"/>
          </w:tcPr>
          <w:p>
            <w:pPr>
              <w:pStyle w:val="97"/>
              <w:rPr>
                <w:snapToGrid w:val="0"/>
              </w:rPr>
            </w:pPr>
            <w:r>
              <w:rPr>
                <w:snapToGrid w:val="0"/>
              </w:rPr>
              <w:t>核算排放浓度</w:t>
            </w:r>
          </w:p>
          <w:p>
            <w:pPr>
              <w:pStyle w:val="97"/>
              <w:rPr>
                <w:highlight w:val="yellow"/>
              </w:rPr>
            </w:pPr>
            <w:r>
              <w:t>（μg/m</w:t>
            </w:r>
            <w:r>
              <w:rPr>
                <w:vertAlign w:val="superscript"/>
              </w:rPr>
              <w:t>3</w:t>
            </w:r>
            <w:r>
              <w:t>）</w:t>
            </w:r>
          </w:p>
        </w:tc>
        <w:tc>
          <w:tcPr>
            <w:tcW w:w="1743" w:type="dxa"/>
            <w:shd w:val="clear" w:color="auto" w:fill="auto"/>
            <w:vAlign w:val="center"/>
          </w:tcPr>
          <w:p>
            <w:pPr>
              <w:pStyle w:val="97"/>
              <w:rPr>
                <w:snapToGrid w:val="0"/>
              </w:rPr>
            </w:pPr>
            <w:r>
              <w:rPr>
                <w:snapToGrid w:val="0"/>
              </w:rPr>
              <w:t>核算排放速率</w:t>
            </w:r>
          </w:p>
          <w:p>
            <w:pPr>
              <w:pStyle w:val="97"/>
            </w:pPr>
            <w:r>
              <w:t>（kg/h）</w:t>
            </w:r>
          </w:p>
        </w:tc>
        <w:tc>
          <w:tcPr>
            <w:tcW w:w="1772" w:type="dxa"/>
            <w:shd w:val="clear" w:color="auto" w:fill="auto"/>
            <w:vAlign w:val="center"/>
          </w:tcPr>
          <w:p>
            <w:pPr>
              <w:pStyle w:val="97"/>
              <w:rPr>
                <w:snapToGrid w:val="0"/>
              </w:rPr>
            </w:pPr>
            <w:r>
              <w:rPr>
                <w:snapToGrid w:val="0"/>
              </w:rPr>
              <w:t>核算年排放量</w:t>
            </w:r>
          </w:p>
          <w:p>
            <w:pPr>
              <w:pStyle w:val="97"/>
              <w:rPr>
                <w:highlight w:val="yellow"/>
              </w:rPr>
            </w:pPr>
            <w: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9040" w:type="dxa"/>
            <w:gridSpan w:val="6"/>
            <w:shd w:val="clear" w:color="auto" w:fill="auto"/>
            <w:vAlign w:val="center"/>
          </w:tcPr>
          <w:p>
            <w:pPr>
              <w:pStyle w:val="97"/>
              <w:rPr>
                <w:snapToGrid w:val="0"/>
              </w:rPr>
            </w:pPr>
            <w:r>
              <w:rPr>
                <w:snapToGrid w:val="0"/>
              </w:rPr>
              <w:t>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snapToGrid w:val="0"/>
              </w:rPr>
              <w:t>1</w:t>
            </w:r>
          </w:p>
        </w:tc>
        <w:tc>
          <w:tcPr>
            <w:tcW w:w="1698" w:type="dxa"/>
            <w:shd w:val="clear" w:color="auto" w:fill="auto"/>
            <w:vAlign w:val="center"/>
          </w:tcPr>
          <w:p>
            <w:pPr>
              <w:pStyle w:val="97"/>
              <w:rPr>
                <w:snapToGrid w:val="0"/>
              </w:rPr>
            </w:pPr>
            <w:r>
              <w:rPr>
                <w:snapToGrid w:val="0"/>
              </w:rPr>
              <w:t>排气筒（P1）</w:t>
            </w:r>
          </w:p>
        </w:tc>
        <w:tc>
          <w:tcPr>
            <w:tcW w:w="1392" w:type="dxa"/>
            <w:shd w:val="clear" w:color="auto" w:fill="auto"/>
            <w:vAlign w:val="center"/>
          </w:tcPr>
          <w:p>
            <w:pPr>
              <w:pStyle w:val="97"/>
            </w:pPr>
            <w:r>
              <w:rPr>
                <w:rFonts w:hint="eastAsia"/>
              </w:rPr>
              <w:t>颗粒物</w:t>
            </w:r>
          </w:p>
        </w:tc>
        <w:tc>
          <w:tcPr>
            <w:tcW w:w="1826" w:type="dxa"/>
            <w:shd w:val="clear" w:color="auto" w:fill="auto"/>
            <w:vAlign w:val="center"/>
          </w:tcPr>
          <w:p>
            <w:pPr>
              <w:pStyle w:val="97"/>
              <w:rPr>
                <w:snapToGrid w:val="0"/>
              </w:rPr>
            </w:pPr>
            <w:r>
              <w:rPr>
                <w:rFonts w:hint="eastAsia"/>
                <w:snapToGrid w:val="0"/>
              </w:rPr>
              <w:t>480</w:t>
            </w:r>
          </w:p>
        </w:tc>
        <w:tc>
          <w:tcPr>
            <w:tcW w:w="1743" w:type="dxa"/>
            <w:shd w:val="clear" w:color="auto" w:fill="auto"/>
            <w:vAlign w:val="center"/>
          </w:tcPr>
          <w:p>
            <w:pPr>
              <w:pStyle w:val="97"/>
              <w:rPr>
                <w:snapToGrid w:val="0"/>
              </w:rPr>
            </w:pPr>
            <w:r>
              <w:rPr>
                <w:rFonts w:hint="eastAsia"/>
                <w:snapToGrid w:val="0"/>
              </w:rPr>
              <w:t>0.001</w:t>
            </w:r>
          </w:p>
        </w:tc>
        <w:tc>
          <w:tcPr>
            <w:tcW w:w="1772" w:type="dxa"/>
            <w:shd w:val="clear" w:color="auto" w:fill="auto"/>
            <w:vAlign w:val="center"/>
          </w:tcPr>
          <w:p>
            <w:pPr>
              <w:pStyle w:val="97"/>
              <w:rPr>
                <w:snapToGrid w:val="0"/>
              </w:rPr>
            </w:pPr>
            <w:r>
              <w:rPr>
                <w:rFonts w:hint="eastAsia"/>
                <w:snapToGrid w:val="0"/>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snapToGrid w:val="0"/>
              </w:rPr>
              <w:t>2</w:t>
            </w:r>
          </w:p>
        </w:tc>
        <w:tc>
          <w:tcPr>
            <w:tcW w:w="1698" w:type="dxa"/>
            <w:shd w:val="clear" w:color="auto" w:fill="auto"/>
            <w:vAlign w:val="center"/>
          </w:tcPr>
          <w:p>
            <w:pPr>
              <w:pStyle w:val="97"/>
              <w:rPr>
                <w:snapToGrid w:val="0"/>
              </w:rPr>
            </w:pPr>
            <w:r>
              <w:rPr>
                <w:rFonts w:hint="eastAsia"/>
                <w:snapToGrid w:val="0"/>
              </w:rPr>
              <w:t>排气筒</w:t>
            </w:r>
            <w:r>
              <w:rPr>
                <w:snapToGrid w:val="0"/>
              </w:rPr>
              <w:t>（</w:t>
            </w:r>
            <w:r>
              <w:rPr>
                <w:rFonts w:hint="eastAsia"/>
                <w:snapToGrid w:val="0"/>
              </w:rPr>
              <w:t>P2</w:t>
            </w:r>
            <w:r>
              <w:rPr>
                <w:snapToGrid w:val="0"/>
              </w:rPr>
              <w:t>）</w:t>
            </w:r>
          </w:p>
        </w:tc>
        <w:tc>
          <w:tcPr>
            <w:tcW w:w="1392" w:type="dxa"/>
            <w:shd w:val="clear" w:color="auto" w:fill="auto"/>
            <w:vAlign w:val="center"/>
          </w:tcPr>
          <w:p>
            <w:pPr>
              <w:pStyle w:val="92"/>
            </w:pPr>
            <w:r>
              <w:rPr>
                <w:rFonts w:hint="eastAsia"/>
              </w:rPr>
              <w:t>颗粒物</w:t>
            </w:r>
          </w:p>
        </w:tc>
        <w:tc>
          <w:tcPr>
            <w:tcW w:w="1826" w:type="dxa"/>
            <w:shd w:val="clear" w:color="auto" w:fill="auto"/>
            <w:vAlign w:val="center"/>
          </w:tcPr>
          <w:p>
            <w:pPr>
              <w:pStyle w:val="97"/>
              <w:rPr>
                <w:snapToGrid w:val="0"/>
              </w:rPr>
            </w:pPr>
            <w:r>
              <w:rPr>
                <w:rFonts w:hint="eastAsia"/>
                <w:snapToGrid w:val="0"/>
              </w:rPr>
              <w:t>480</w:t>
            </w:r>
          </w:p>
        </w:tc>
        <w:tc>
          <w:tcPr>
            <w:tcW w:w="1743" w:type="dxa"/>
            <w:shd w:val="clear" w:color="auto" w:fill="auto"/>
            <w:vAlign w:val="center"/>
          </w:tcPr>
          <w:p>
            <w:pPr>
              <w:pStyle w:val="97"/>
              <w:rPr>
                <w:snapToGrid w:val="0"/>
              </w:rPr>
            </w:pPr>
            <w:r>
              <w:rPr>
                <w:rFonts w:hint="eastAsia"/>
                <w:snapToGrid w:val="0"/>
              </w:rPr>
              <w:t>0.001</w:t>
            </w:r>
          </w:p>
        </w:tc>
        <w:tc>
          <w:tcPr>
            <w:tcW w:w="1772" w:type="dxa"/>
            <w:shd w:val="clear" w:color="auto" w:fill="auto"/>
            <w:vAlign w:val="center"/>
          </w:tcPr>
          <w:p>
            <w:pPr>
              <w:pStyle w:val="97"/>
              <w:rPr>
                <w:snapToGrid w:val="0"/>
              </w:rPr>
            </w:pPr>
            <w:r>
              <w:rPr>
                <w:rFonts w:hint="eastAsia"/>
                <w:snapToGrid w:val="0"/>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rFonts w:hint="eastAsia"/>
                <w:snapToGrid w:val="0"/>
              </w:rPr>
              <w:t>3</w:t>
            </w:r>
          </w:p>
        </w:tc>
        <w:tc>
          <w:tcPr>
            <w:tcW w:w="1698" w:type="dxa"/>
            <w:shd w:val="clear" w:color="auto" w:fill="auto"/>
            <w:vAlign w:val="center"/>
          </w:tcPr>
          <w:p>
            <w:pPr>
              <w:pStyle w:val="97"/>
              <w:rPr>
                <w:snapToGrid w:val="0"/>
              </w:rPr>
            </w:pPr>
            <w:r>
              <w:rPr>
                <w:rFonts w:hint="eastAsia"/>
                <w:snapToGrid w:val="0"/>
              </w:rPr>
              <w:t>排气</w:t>
            </w:r>
            <w:r>
              <w:rPr>
                <w:snapToGrid w:val="0"/>
              </w:rPr>
              <w:t>筒（</w:t>
            </w:r>
            <w:r>
              <w:rPr>
                <w:rFonts w:hint="eastAsia"/>
                <w:snapToGrid w:val="0"/>
              </w:rPr>
              <w:t>P3</w:t>
            </w:r>
            <w:r>
              <w:rPr>
                <w:snapToGrid w:val="0"/>
              </w:rPr>
              <w:t>）</w:t>
            </w:r>
          </w:p>
        </w:tc>
        <w:tc>
          <w:tcPr>
            <w:tcW w:w="1392" w:type="dxa"/>
            <w:shd w:val="clear" w:color="auto" w:fill="auto"/>
            <w:vAlign w:val="center"/>
          </w:tcPr>
          <w:p>
            <w:pPr>
              <w:pStyle w:val="92"/>
            </w:pPr>
            <w:r>
              <w:rPr>
                <w:rFonts w:hint="eastAsia"/>
              </w:rPr>
              <w:t>颗粒物</w:t>
            </w:r>
          </w:p>
        </w:tc>
        <w:tc>
          <w:tcPr>
            <w:tcW w:w="1826" w:type="dxa"/>
            <w:shd w:val="clear" w:color="auto" w:fill="auto"/>
            <w:vAlign w:val="center"/>
          </w:tcPr>
          <w:p>
            <w:pPr>
              <w:pStyle w:val="97"/>
              <w:rPr>
                <w:snapToGrid w:val="0"/>
              </w:rPr>
            </w:pPr>
            <w:r>
              <w:rPr>
                <w:rFonts w:hint="eastAsia"/>
                <w:snapToGrid w:val="0"/>
              </w:rPr>
              <w:t>240</w:t>
            </w:r>
          </w:p>
        </w:tc>
        <w:tc>
          <w:tcPr>
            <w:tcW w:w="1743" w:type="dxa"/>
            <w:shd w:val="clear" w:color="auto" w:fill="auto"/>
            <w:vAlign w:val="center"/>
          </w:tcPr>
          <w:p>
            <w:pPr>
              <w:pStyle w:val="97"/>
              <w:rPr>
                <w:snapToGrid w:val="0"/>
              </w:rPr>
            </w:pPr>
            <w:r>
              <w:rPr>
                <w:rFonts w:hint="eastAsia"/>
                <w:snapToGrid w:val="0"/>
              </w:rPr>
              <w:t>0.0005</w:t>
            </w:r>
          </w:p>
        </w:tc>
        <w:tc>
          <w:tcPr>
            <w:tcW w:w="1772" w:type="dxa"/>
            <w:shd w:val="clear" w:color="auto" w:fill="auto"/>
            <w:vAlign w:val="center"/>
          </w:tcPr>
          <w:p>
            <w:pPr>
              <w:pStyle w:val="97"/>
              <w:rPr>
                <w:snapToGrid w:val="0"/>
              </w:rPr>
            </w:pPr>
            <w:r>
              <w:rPr>
                <w:rFonts w:hint="eastAsia"/>
                <w:snapToGrid w:val="0"/>
              </w:rPr>
              <w:t>0.0025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rFonts w:hint="eastAsia"/>
                <w:snapToGrid w:val="0"/>
              </w:rPr>
              <w:t>4</w:t>
            </w:r>
          </w:p>
        </w:tc>
        <w:tc>
          <w:tcPr>
            <w:tcW w:w="1698" w:type="dxa"/>
            <w:shd w:val="clear" w:color="auto" w:fill="auto"/>
            <w:vAlign w:val="center"/>
          </w:tcPr>
          <w:p>
            <w:pPr>
              <w:pStyle w:val="97"/>
              <w:rPr>
                <w:snapToGrid w:val="0"/>
              </w:rPr>
            </w:pPr>
            <w:r>
              <w:rPr>
                <w:rFonts w:hint="eastAsia"/>
                <w:snapToGrid w:val="0"/>
              </w:rPr>
              <w:t>排气</w:t>
            </w:r>
            <w:r>
              <w:rPr>
                <w:snapToGrid w:val="0"/>
              </w:rPr>
              <w:t>筒（</w:t>
            </w:r>
            <w:r>
              <w:rPr>
                <w:rFonts w:hint="eastAsia"/>
                <w:snapToGrid w:val="0"/>
              </w:rPr>
              <w:t>P</w:t>
            </w:r>
            <w:r>
              <w:rPr>
                <w:snapToGrid w:val="0"/>
              </w:rPr>
              <w:t>4）</w:t>
            </w:r>
          </w:p>
        </w:tc>
        <w:tc>
          <w:tcPr>
            <w:tcW w:w="1392" w:type="dxa"/>
            <w:shd w:val="clear" w:color="auto" w:fill="auto"/>
            <w:vAlign w:val="center"/>
          </w:tcPr>
          <w:p>
            <w:pPr>
              <w:pStyle w:val="92"/>
            </w:pPr>
            <w:r>
              <w:rPr>
                <w:rFonts w:hint="eastAsia"/>
              </w:rPr>
              <w:t>颗粒物</w:t>
            </w:r>
          </w:p>
        </w:tc>
        <w:tc>
          <w:tcPr>
            <w:tcW w:w="1826" w:type="dxa"/>
            <w:shd w:val="clear" w:color="auto" w:fill="auto"/>
            <w:vAlign w:val="center"/>
          </w:tcPr>
          <w:p>
            <w:pPr>
              <w:pStyle w:val="97"/>
              <w:rPr>
                <w:snapToGrid w:val="0"/>
              </w:rPr>
            </w:pPr>
            <w:r>
              <w:rPr>
                <w:rFonts w:hint="eastAsia"/>
                <w:snapToGrid w:val="0"/>
              </w:rPr>
              <w:t>240</w:t>
            </w:r>
          </w:p>
        </w:tc>
        <w:tc>
          <w:tcPr>
            <w:tcW w:w="1743" w:type="dxa"/>
            <w:shd w:val="clear" w:color="auto" w:fill="auto"/>
            <w:vAlign w:val="center"/>
          </w:tcPr>
          <w:p>
            <w:pPr>
              <w:pStyle w:val="97"/>
              <w:rPr>
                <w:snapToGrid w:val="0"/>
              </w:rPr>
            </w:pPr>
            <w:r>
              <w:rPr>
                <w:rFonts w:hint="eastAsia"/>
                <w:snapToGrid w:val="0"/>
              </w:rPr>
              <w:t>0.0005</w:t>
            </w:r>
          </w:p>
        </w:tc>
        <w:tc>
          <w:tcPr>
            <w:tcW w:w="1772" w:type="dxa"/>
            <w:shd w:val="clear" w:color="auto" w:fill="auto"/>
            <w:vAlign w:val="center"/>
          </w:tcPr>
          <w:p>
            <w:pPr>
              <w:pStyle w:val="97"/>
              <w:rPr>
                <w:snapToGrid w:val="0"/>
              </w:rPr>
            </w:pPr>
            <w:r>
              <w:rPr>
                <w:rFonts w:hint="eastAsia"/>
                <w:snapToGrid w:val="0"/>
              </w:rPr>
              <w:t>0.0025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rFonts w:hint="eastAsia"/>
                <w:snapToGrid w:val="0"/>
              </w:rPr>
              <w:t>5</w:t>
            </w:r>
          </w:p>
        </w:tc>
        <w:tc>
          <w:tcPr>
            <w:tcW w:w="1698" w:type="dxa"/>
            <w:shd w:val="clear" w:color="auto" w:fill="auto"/>
            <w:vAlign w:val="center"/>
          </w:tcPr>
          <w:p>
            <w:pPr>
              <w:pStyle w:val="97"/>
              <w:rPr>
                <w:snapToGrid w:val="0"/>
              </w:rPr>
            </w:pPr>
            <w:r>
              <w:rPr>
                <w:rFonts w:hint="eastAsia"/>
                <w:snapToGrid w:val="0"/>
              </w:rPr>
              <w:t>排气</w:t>
            </w:r>
            <w:r>
              <w:rPr>
                <w:snapToGrid w:val="0"/>
              </w:rPr>
              <w:t>筒（</w:t>
            </w:r>
            <w:r>
              <w:rPr>
                <w:rFonts w:hint="eastAsia"/>
                <w:snapToGrid w:val="0"/>
              </w:rPr>
              <w:t>P</w:t>
            </w:r>
            <w:r>
              <w:rPr>
                <w:snapToGrid w:val="0"/>
              </w:rPr>
              <w:t>5）</w:t>
            </w:r>
          </w:p>
        </w:tc>
        <w:tc>
          <w:tcPr>
            <w:tcW w:w="1392" w:type="dxa"/>
            <w:shd w:val="clear" w:color="auto" w:fill="auto"/>
            <w:vAlign w:val="center"/>
          </w:tcPr>
          <w:p>
            <w:pPr>
              <w:pStyle w:val="97"/>
            </w:pPr>
            <w:r>
              <w:rPr>
                <w:rFonts w:hint="eastAsia"/>
              </w:rPr>
              <w:t>甲醇</w:t>
            </w:r>
          </w:p>
        </w:tc>
        <w:tc>
          <w:tcPr>
            <w:tcW w:w="1826" w:type="dxa"/>
            <w:shd w:val="clear" w:color="auto" w:fill="auto"/>
            <w:vAlign w:val="center"/>
          </w:tcPr>
          <w:p>
            <w:pPr>
              <w:pStyle w:val="97"/>
              <w:rPr>
                <w:snapToGrid w:val="0"/>
                <w:highlight w:val="yellow"/>
              </w:rPr>
            </w:pPr>
            <w:r>
              <w:rPr>
                <w:rFonts w:hint="eastAsia"/>
                <w:snapToGrid w:val="0"/>
              </w:rPr>
              <w:t>7640</w:t>
            </w:r>
          </w:p>
        </w:tc>
        <w:tc>
          <w:tcPr>
            <w:tcW w:w="1743" w:type="dxa"/>
            <w:shd w:val="clear" w:color="auto" w:fill="auto"/>
            <w:vAlign w:val="center"/>
          </w:tcPr>
          <w:p>
            <w:pPr>
              <w:pStyle w:val="97"/>
              <w:rPr>
                <w:snapToGrid w:val="0"/>
              </w:rPr>
            </w:pPr>
            <w:r>
              <w:rPr>
                <w:rFonts w:hint="eastAsia"/>
                <w:snapToGrid w:val="0"/>
              </w:rPr>
              <w:t>0.016</w:t>
            </w:r>
          </w:p>
        </w:tc>
        <w:tc>
          <w:tcPr>
            <w:tcW w:w="1772" w:type="dxa"/>
            <w:shd w:val="clear" w:color="auto" w:fill="auto"/>
            <w:vAlign w:val="center"/>
          </w:tcPr>
          <w:p>
            <w:pPr>
              <w:pStyle w:val="97"/>
              <w:rPr>
                <w:snapToGrid w:val="0"/>
              </w:rPr>
            </w:pPr>
            <w:r>
              <w:rPr>
                <w:rFonts w:hint="eastAsia"/>
                <w:snapToGrid w:val="0"/>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rFonts w:hint="eastAsia"/>
                <w:snapToGrid w:val="0"/>
              </w:rPr>
              <w:t>6</w:t>
            </w:r>
          </w:p>
        </w:tc>
        <w:tc>
          <w:tcPr>
            <w:tcW w:w="1698" w:type="dxa"/>
            <w:vMerge w:val="restart"/>
            <w:shd w:val="clear" w:color="auto" w:fill="auto"/>
            <w:vAlign w:val="center"/>
          </w:tcPr>
          <w:p>
            <w:pPr>
              <w:pStyle w:val="97"/>
              <w:rPr>
                <w:snapToGrid w:val="0"/>
              </w:rPr>
            </w:pPr>
            <w:r>
              <w:rPr>
                <w:rFonts w:hint="eastAsia"/>
                <w:snapToGrid w:val="0"/>
              </w:rPr>
              <w:t>排气筒（</w:t>
            </w:r>
            <w:r>
              <w:rPr>
                <w:snapToGrid w:val="0"/>
              </w:rPr>
              <w:t>P6</w:t>
            </w:r>
            <w:r>
              <w:rPr>
                <w:rFonts w:hint="eastAsia"/>
                <w:snapToGrid w:val="0"/>
              </w:rPr>
              <w:t>）</w:t>
            </w:r>
          </w:p>
        </w:tc>
        <w:tc>
          <w:tcPr>
            <w:tcW w:w="1392" w:type="dxa"/>
            <w:shd w:val="clear" w:color="auto" w:fill="auto"/>
            <w:vAlign w:val="center"/>
          </w:tcPr>
          <w:p>
            <w:pPr>
              <w:pStyle w:val="97"/>
            </w:pPr>
            <w:r>
              <w:rPr>
                <w:rFonts w:hint="eastAsia"/>
              </w:rPr>
              <w:t>颗粒物</w:t>
            </w:r>
          </w:p>
        </w:tc>
        <w:tc>
          <w:tcPr>
            <w:tcW w:w="1826" w:type="dxa"/>
            <w:shd w:val="clear" w:color="auto" w:fill="auto"/>
            <w:vAlign w:val="center"/>
          </w:tcPr>
          <w:p>
            <w:pPr>
              <w:pStyle w:val="97"/>
              <w:rPr>
                <w:snapToGrid w:val="0"/>
              </w:rPr>
            </w:pPr>
            <w:r>
              <w:rPr>
                <w:snapToGrid w:val="0"/>
              </w:rPr>
              <w:t>8810</w:t>
            </w:r>
          </w:p>
        </w:tc>
        <w:tc>
          <w:tcPr>
            <w:tcW w:w="1743" w:type="dxa"/>
            <w:shd w:val="clear" w:color="auto" w:fill="auto"/>
            <w:vAlign w:val="center"/>
          </w:tcPr>
          <w:p>
            <w:pPr>
              <w:pStyle w:val="97"/>
              <w:rPr>
                <w:snapToGrid w:val="0"/>
              </w:rPr>
            </w:pPr>
            <w:r>
              <w:rPr>
                <w:rFonts w:hint="eastAsia"/>
                <w:snapToGrid w:val="0"/>
              </w:rPr>
              <w:t>0.036</w:t>
            </w:r>
          </w:p>
        </w:tc>
        <w:tc>
          <w:tcPr>
            <w:tcW w:w="1772" w:type="dxa"/>
            <w:shd w:val="clear" w:color="auto" w:fill="auto"/>
            <w:vAlign w:val="center"/>
          </w:tcPr>
          <w:p>
            <w:pPr>
              <w:pStyle w:val="97"/>
              <w:rPr>
                <w:snapToGrid w:val="0"/>
              </w:rPr>
            </w:pPr>
            <w:r>
              <w:rPr>
                <w:rFonts w:hint="eastAsia"/>
                <w:snapToGrid w:val="0"/>
              </w:rPr>
              <w:t>0.155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rFonts w:hint="eastAsia"/>
                <w:snapToGrid w:val="0"/>
              </w:rPr>
              <w:t>7</w:t>
            </w:r>
          </w:p>
        </w:tc>
        <w:tc>
          <w:tcPr>
            <w:tcW w:w="1698" w:type="dxa"/>
            <w:vMerge w:val="continue"/>
            <w:shd w:val="clear" w:color="auto" w:fill="auto"/>
            <w:vAlign w:val="center"/>
          </w:tcPr>
          <w:p>
            <w:pPr>
              <w:pStyle w:val="97"/>
              <w:rPr>
                <w:snapToGrid w:val="0"/>
              </w:rPr>
            </w:pPr>
          </w:p>
        </w:tc>
        <w:tc>
          <w:tcPr>
            <w:tcW w:w="1392" w:type="dxa"/>
            <w:shd w:val="clear" w:color="auto" w:fill="auto"/>
            <w:vAlign w:val="center"/>
          </w:tcPr>
          <w:p>
            <w:pPr>
              <w:pStyle w:val="97"/>
            </w:pPr>
            <w:r>
              <w:rPr>
                <w:rFonts w:hint="eastAsia"/>
              </w:rPr>
              <w:t>SO</w:t>
            </w:r>
            <w:r>
              <w:rPr>
                <w:rFonts w:hint="eastAsia"/>
                <w:vertAlign w:val="subscript"/>
              </w:rPr>
              <w:t>2</w:t>
            </w:r>
          </w:p>
        </w:tc>
        <w:tc>
          <w:tcPr>
            <w:tcW w:w="1826" w:type="dxa"/>
            <w:shd w:val="clear" w:color="auto" w:fill="auto"/>
            <w:vAlign w:val="center"/>
          </w:tcPr>
          <w:p>
            <w:pPr>
              <w:pStyle w:val="97"/>
              <w:rPr>
                <w:snapToGrid w:val="0"/>
              </w:rPr>
            </w:pPr>
            <w:r>
              <w:rPr>
                <w:rFonts w:hint="eastAsia"/>
                <w:snapToGrid w:val="0"/>
              </w:rPr>
              <w:t>7340</w:t>
            </w:r>
          </w:p>
        </w:tc>
        <w:tc>
          <w:tcPr>
            <w:tcW w:w="1743" w:type="dxa"/>
            <w:shd w:val="clear" w:color="auto" w:fill="auto"/>
            <w:vAlign w:val="center"/>
          </w:tcPr>
          <w:p>
            <w:pPr>
              <w:pStyle w:val="97"/>
              <w:rPr>
                <w:snapToGrid w:val="0"/>
              </w:rPr>
            </w:pPr>
            <w:r>
              <w:rPr>
                <w:rFonts w:hint="eastAsia"/>
                <w:snapToGrid w:val="0"/>
              </w:rPr>
              <w:t>0.03</w:t>
            </w:r>
          </w:p>
        </w:tc>
        <w:tc>
          <w:tcPr>
            <w:tcW w:w="1772" w:type="dxa"/>
            <w:shd w:val="clear" w:color="auto" w:fill="auto"/>
            <w:vAlign w:val="center"/>
          </w:tcPr>
          <w:p>
            <w:pPr>
              <w:pStyle w:val="97"/>
              <w:rPr>
                <w:snapToGrid w:val="0"/>
              </w:rPr>
            </w:pPr>
            <w:r>
              <w:rPr>
                <w:rFonts w:hint="eastAsia"/>
                <w:snapToGrid w:val="0"/>
              </w:rPr>
              <w:t>0.130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609" w:type="dxa"/>
            <w:shd w:val="clear" w:color="auto" w:fill="auto"/>
            <w:vAlign w:val="center"/>
          </w:tcPr>
          <w:p>
            <w:pPr>
              <w:pStyle w:val="97"/>
              <w:rPr>
                <w:snapToGrid w:val="0"/>
              </w:rPr>
            </w:pPr>
            <w:r>
              <w:rPr>
                <w:rFonts w:hint="eastAsia"/>
                <w:snapToGrid w:val="0"/>
              </w:rPr>
              <w:t>8</w:t>
            </w:r>
          </w:p>
        </w:tc>
        <w:tc>
          <w:tcPr>
            <w:tcW w:w="1698" w:type="dxa"/>
            <w:vMerge w:val="continue"/>
            <w:shd w:val="clear" w:color="auto" w:fill="auto"/>
            <w:vAlign w:val="center"/>
          </w:tcPr>
          <w:p>
            <w:pPr>
              <w:pStyle w:val="97"/>
              <w:rPr>
                <w:snapToGrid w:val="0"/>
              </w:rPr>
            </w:pPr>
          </w:p>
        </w:tc>
        <w:tc>
          <w:tcPr>
            <w:tcW w:w="1392" w:type="dxa"/>
            <w:shd w:val="clear" w:color="auto" w:fill="auto"/>
            <w:vAlign w:val="center"/>
          </w:tcPr>
          <w:p>
            <w:pPr>
              <w:pStyle w:val="97"/>
            </w:pPr>
            <w:r>
              <w:rPr>
                <w:rFonts w:hint="eastAsia"/>
              </w:rPr>
              <w:t>NO</w:t>
            </w:r>
            <w:r>
              <w:rPr>
                <w:rFonts w:hint="eastAsia"/>
                <w:vertAlign w:val="subscript"/>
              </w:rPr>
              <w:t>X</w:t>
            </w:r>
          </w:p>
        </w:tc>
        <w:tc>
          <w:tcPr>
            <w:tcW w:w="1826" w:type="dxa"/>
            <w:shd w:val="clear" w:color="auto" w:fill="auto"/>
            <w:vAlign w:val="center"/>
          </w:tcPr>
          <w:p>
            <w:pPr>
              <w:pStyle w:val="97"/>
              <w:rPr>
                <w:snapToGrid w:val="0"/>
              </w:rPr>
            </w:pPr>
            <w:r>
              <w:rPr>
                <w:rFonts w:hint="eastAsia"/>
                <w:snapToGrid w:val="0"/>
              </w:rPr>
              <w:t>6870</w:t>
            </w:r>
          </w:p>
        </w:tc>
        <w:tc>
          <w:tcPr>
            <w:tcW w:w="1743" w:type="dxa"/>
            <w:shd w:val="clear" w:color="auto" w:fill="auto"/>
            <w:vAlign w:val="center"/>
          </w:tcPr>
          <w:p>
            <w:pPr>
              <w:pStyle w:val="97"/>
              <w:rPr>
                <w:snapToGrid w:val="0"/>
              </w:rPr>
            </w:pPr>
            <w:r>
              <w:rPr>
                <w:rFonts w:hint="eastAsia"/>
                <w:snapToGrid w:val="0"/>
              </w:rPr>
              <w:t>0.028</w:t>
            </w:r>
          </w:p>
        </w:tc>
        <w:tc>
          <w:tcPr>
            <w:tcW w:w="1772" w:type="dxa"/>
            <w:shd w:val="clear" w:color="auto" w:fill="auto"/>
            <w:vAlign w:val="center"/>
          </w:tcPr>
          <w:p>
            <w:pPr>
              <w:pStyle w:val="97"/>
              <w:rPr>
                <w:snapToGrid w:val="0"/>
              </w:rPr>
            </w:pPr>
            <w:r>
              <w:rPr>
                <w:rFonts w:hint="eastAsia"/>
                <w:snapToGrid w:val="0"/>
              </w:rPr>
              <w:t>0.121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07" w:type="dxa"/>
            <w:gridSpan w:val="2"/>
            <w:vMerge w:val="restart"/>
            <w:shd w:val="clear" w:color="auto" w:fill="auto"/>
            <w:vAlign w:val="center"/>
          </w:tcPr>
          <w:p>
            <w:pPr>
              <w:pStyle w:val="97"/>
              <w:rPr>
                <w:snapToGrid w:val="0"/>
              </w:rPr>
            </w:pPr>
            <w:r>
              <w:rPr>
                <w:snapToGrid w:val="0"/>
              </w:rPr>
              <w:t>排放口合计</w:t>
            </w:r>
          </w:p>
        </w:tc>
        <w:tc>
          <w:tcPr>
            <w:tcW w:w="4961" w:type="dxa"/>
            <w:gridSpan w:val="3"/>
            <w:shd w:val="clear" w:color="auto" w:fill="auto"/>
            <w:vAlign w:val="center"/>
          </w:tcPr>
          <w:p>
            <w:pPr>
              <w:pStyle w:val="97"/>
            </w:pPr>
            <w:r>
              <w:rPr>
                <w:rFonts w:hint="eastAsia"/>
              </w:rPr>
              <w:t>颗粒</w:t>
            </w:r>
            <w:r>
              <w:t>物</w:t>
            </w:r>
          </w:p>
        </w:tc>
        <w:tc>
          <w:tcPr>
            <w:tcW w:w="1772" w:type="dxa"/>
            <w:shd w:val="clear" w:color="auto" w:fill="auto"/>
            <w:vAlign w:val="center"/>
          </w:tcPr>
          <w:p>
            <w:pPr>
              <w:pStyle w:val="97"/>
              <w:rPr>
                <w:snapToGrid w:val="0"/>
              </w:rPr>
            </w:pPr>
            <w:r>
              <w:rPr>
                <w:rFonts w:hint="eastAsia"/>
                <w:snapToGrid w:val="0"/>
              </w:rPr>
              <w:t>0.170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07" w:type="dxa"/>
            <w:gridSpan w:val="2"/>
            <w:vMerge w:val="continue"/>
            <w:shd w:val="clear" w:color="auto" w:fill="auto"/>
            <w:vAlign w:val="center"/>
          </w:tcPr>
          <w:p>
            <w:pPr>
              <w:pStyle w:val="97"/>
              <w:rPr>
                <w:snapToGrid w:val="0"/>
                <w:highlight w:val="yellow"/>
              </w:rPr>
            </w:pPr>
          </w:p>
        </w:tc>
        <w:tc>
          <w:tcPr>
            <w:tcW w:w="4961" w:type="dxa"/>
            <w:gridSpan w:val="3"/>
            <w:shd w:val="clear" w:color="auto" w:fill="auto"/>
            <w:vAlign w:val="center"/>
          </w:tcPr>
          <w:p>
            <w:pPr>
              <w:pStyle w:val="97"/>
            </w:pPr>
            <w:r>
              <w:rPr>
                <w:rFonts w:hint="eastAsia"/>
              </w:rPr>
              <w:t>SO</w:t>
            </w:r>
            <w:r>
              <w:rPr>
                <w:rFonts w:hint="eastAsia"/>
                <w:vertAlign w:val="subscript"/>
              </w:rPr>
              <w:t>2</w:t>
            </w:r>
          </w:p>
        </w:tc>
        <w:tc>
          <w:tcPr>
            <w:tcW w:w="1772" w:type="dxa"/>
            <w:shd w:val="clear" w:color="auto" w:fill="auto"/>
            <w:vAlign w:val="center"/>
          </w:tcPr>
          <w:p>
            <w:pPr>
              <w:pStyle w:val="97"/>
              <w:rPr>
                <w:snapToGrid w:val="0"/>
              </w:rPr>
            </w:pPr>
            <w:r>
              <w:rPr>
                <w:rFonts w:hint="eastAsia"/>
                <w:snapToGrid w:val="0"/>
              </w:rPr>
              <w:t>0.130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07" w:type="dxa"/>
            <w:gridSpan w:val="2"/>
            <w:vMerge w:val="continue"/>
            <w:shd w:val="clear" w:color="auto" w:fill="auto"/>
            <w:vAlign w:val="center"/>
          </w:tcPr>
          <w:p>
            <w:pPr>
              <w:pStyle w:val="97"/>
              <w:rPr>
                <w:snapToGrid w:val="0"/>
                <w:highlight w:val="yellow"/>
              </w:rPr>
            </w:pPr>
          </w:p>
        </w:tc>
        <w:tc>
          <w:tcPr>
            <w:tcW w:w="4961" w:type="dxa"/>
            <w:gridSpan w:val="3"/>
            <w:shd w:val="clear" w:color="auto" w:fill="auto"/>
            <w:vAlign w:val="center"/>
          </w:tcPr>
          <w:p>
            <w:pPr>
              <w:pStyle w:val="97"/>
            </w:pPr>
            <w:r>
              <w:rPr>
                <w:rFonts w:hint="eastAsia"/>
              </w:rPr>
              <w:t>NO</w:t>
            </w:r>
            <w:r>
              <w:rPr>
                <w:rFonts w:hint="eastAsia"/>
                <w:vertAlign w:val="subscript"/>
              </w:rPr>
              <w:t>X</w:t>
            </w:r>
          </w:p>
        </w:tc>
        <w:tc>
          <w:tcPr>
            <w:tcW w:w="1772" w:type="dxa"/>
            <w:shd w:val="clear" w:color="auto" w:fill="auto"/>
            <w:vAlign w:val="center"/>
          </w:tcPr>
          <w:p>
            <w:pPr>
              <w:pStyle w:val="97"/>
              <w:rPr>
                <w:snapToGrid w:val="0"/>
              </w:rPr>
            </w:pPr>
            <w:r>
              <w:rPr>
                <w:rFonts w:hint="eastAsia"/>
                <w:snapToGrid w:val="0"/>
              </w:rPr>
              <w:t>0.121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07" w:type="dxa"/>
            <w:gridSpan w:val="2"/>
            <w:vMerge w:val="continue"/>
            <w:shd w:val="clear" w:color="auto" w:fill="auto"/>
            <w:vAlign w:val="center"/>
          </w:tcPr>
          <w:p>
            <w:pPr>
              <w:pStyle w:val="97"/>
              <w:rPr>
                <w:snapToGrid w:val="0"/>
                <w:highlight w:val="yellow"/>
              </w:rPr>
            </w:pPr>
          </w:p>
        </w:tc>
        <w:tc>
          <w:tcPr>
            <w:tcW w:w="4961" w:type="dxa"/>
            <w:gridSpan w:val="3"/>
            <w:shd w:val="clear" w:color="auto" w:fill="auto"/>
            <w:vAlign w:val="center"/>
          </w:tcPr>
          <w:p>
            <w:pPr>
              <w:pStyle w:val="97"/>
            </w:pPr>
            <w:r>
              <w:rPr>
                <w:rFonts w:hint="eastAsia"/>
              </w:rPr>
              <w:t>甲醇</w:t>
            </w:r>
          </w:p>
        </w:tc>
        <w:tc>
          <w:tcPr>
            <w:tcW w:w="1772" w:type="dxa"/>
            <w:shd w:val="clear" w:color="auto" w:fill="auto"/>
            <w:vAlign w:val="center"/>
          </w:tcPr>
          <w:p>
            <w:pPr>
              <w:pStyle w:val="97"/>
              <w:rPr>
                <w:snapToGrid w:val="0"/>
              </w:rPr>
            </w:pPr>
            <w:r>
              <w:rPr>
                <w:rFonts w:hint="eastAsia"/>
                <w:snapToGrid w:val="0"/>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307" w:type="dxa"/>
            <w:gridSpan w:val="2"/>
            <w:vMerge w:val="continue"/>
            <w:shd w:val="clear" w:color="auto" w:fill="auto"/>
            <w:vAlign w:val="center"/>
          </w:tcPr>
          <w:p>
            <w:pPr>
              <w:pStyle w:val="97"/>
              <w:rPr>
                <w:snapToGrid w:val="0"/>
                <w:highlight w:val="yellow"/>
              </w:rPr>
            </w:pPr>
          </w:p>
        </w:tc>
        <w:tc>
          <w:tcPr>
            <w:tcW w:w="4961" w:type="dxa"/>
            <w:gridSpan w:val="3"/>
            <w:shd w:val="clear" w:color="auto" w:fill="auto"/>
            <w:vAlign w:val="center"/>
          </w:tcPr>
          <w:p>
            <w:pPr>
              <w:pStyle w:val="97"/>
            </w:pPr>
            <w:r>
              <w:rPr>
                <w:rFonts w:hint="eastAsia"/>
              </w:rPr>
              <w:t>非甲烷总烃</w:t>
            </w:r>
          </w:p>
        </w:tc>
        <w:tc>
          <w:tcPr>
            <w:tcW w:w="1772" w:type="dxa"/>
            <w:shd w:val="clear" w:color="auto" w:fill="auto"/>
            <w:vAlign w:val="center"/>
          </w:tcPr>
          <w:p>
            <w:pPr>
              <w:pStyle w:val="97"/>
              <w:rPr>
                <w:snapToGrid w:val="0"/>
              </w:rPr>
            </w:pPr>
            <w:r>
              <w:rPr>
                <w:rFonts w:hint="eastAsia"/>
                <w:snapToGrid w:val="0"/>
              </w:rPr>
              <w:t>0.07</w:t>
            </w:r>
          </w:p>
        </w:tc>
      </w:tr>
    </w:tbl>
    <w:p>
      <w:pPr>
        <w:pStyle w:val="93"/>
        <w:rPr>
          <w:rFonts w:hAnsi="Times New Roman"/>
          <w:snapToGrid w:val="0"/>
        </w:rPr>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8</w:t>
      </w:r>
      <w:r>
        <w:fldChar w:fldCharType="end"/>
      </w:r>
      <w:r>
        <w:rPr>
          <w:b w:val="0"/>
        </w:rPr>
        <w:t xml:space="preserve"> </w:t>
      </w:r>
      <w:r>
        <w:rPr>
          <w:rFonts w:hAnsi="Times New Roman"/>
          <w:snapToGrid w:val="0"/>
        </w:rPr>
        <w:t xml:space="preserve"> 大气污染物无组织排放量核算表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197"/>
        <w:gridCol w:w="752"/>
        <w:gridCol w:w="1032"/>
        <w:gridCol w:w="947"/>
        <w:gridCol w:w="2280"/>
        <w:gridCol w:w="1197"/>
        <w:gridCol w:w="1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40" w:type="dxa"/>
            <w:vMerge w:val="restart"/>
            <w:shd w:val="clear" w:color="auto" w:fill="auto"/>
            <w:vAlign w:val="center"/>
          </w:tcPr>
          <w:p>
            <w:pPr>
              <w:pStyle w:val="97"/>
              <w:rPr>
                <w:snapToGrid w:val="0"/>
              </w:rPr>
            </w:pPr>
            <w:r>
              <w:rPr>
                <w:snapToGrid w:val="0"/>
              </w:rPr>
              <w:t>序号</w:t>
            </w:r>
          </w:p>
        </w:tc>
        <w:tc>
          <w:tcPr>
            <w:tcW w:w="1197" w:type="dxa"/>
            <w:vMerge w:val="restart"/>
            <w:shd w:val="clear" w:color="auto" w:fill="auto"/>
            <w:vAlign w:val="center"/>
          </w:tcPr>
          <w:p>
            <w:pPr>
              <w:pStyle w:val="97"/>
              <w:rPr>
                <w:snapToGrid w:val="0"/>
              </w:rPr>
            </w:pPr>
            <w:r>
              <w:rPr>
                <w:snapToGrid w:val="0"/>
              </w:rPr>
              <w:t>排放口编号</w:t>
            </w:r>
          </w:p>
        </w:tc>
        <w:tc>
          <w:tcPr>
            <w:tcW w:w="752" w:type="dxa"/>
            <w:vMerge w:val="restart"/>
            <w:shd w:val="clear" w:color="auto" w:fill="auto"/>
            <w:vAlign w:val="center"/>
          </w:tcPr>
          <w:p>
            <w:pPr>
              <w:pStyle w:val="97"/>
              <w:rPr>
                <w:snapToGrid w:val="0"/>
              </w:rPr>
            </w:pPr>
            <w:r>
              <w:rPr>
                <w:snapToGrid w:val="0"/>
              </w:rPr>
              <w:t>产污环节</w:t>
            </w:r>
          </w:p>
        </w:tc>
        <w:tc>
          <w:tcPr>
            <w:tcW w:w="1032" w:type="dxa"/>
            <w:vMerge w:val="restart"/>
            <w:shd w:val="clear" w:color="auto" w:fill="auto"/>
            <w:vAlign w:val="center"/>
          </w:tcPr>
          <w:p>
            <w:pPr>
              <w:pStyle w:val="97"/>
            </w:pPr>
            <w:r>
              <w:t>污染物</w:t>
            </w:r>
          </w:p>
        </w:tc>
        <w:tc>
          <w:tcPr>
            <w:tcW w:w="947" w:type="dxa"/>
            <w:vMerge w:val="restart"/>
            <w:shd w:val="clear" w:color="auto" w:fill="auto"/>
            <w:vAlign w:val="center"/>
          </w:tcPr>
          <w:p>
            <w:pPr>
              <w:pStyle w:val="97"/>
            </w:pPr>
            <w:r>
              <w:t>主要污染防治措施</w:t>
            </w:r>
          </w:p>
        </w:tc>
        <w:tc>
          <w:tcPr>
            <w:tcW w:w="3477" w:type="dxa"/>
            <w:gridSpan w:val="2"/>
            <w:shd w:val="clear" w:color="auto" w:fill="auto"/>
            <w:vAlign w:val="center"/>
          </w:tcPr>
          <w:p>
            <w:pPr>
              <w:pStyle w:val="97"/>
              <w:rPr>
                <w:snapToGrid w:val="0"/>
              </w:rPr>
            </w:pPr>
            <w:r>
              <w:rPr>
                <w:snapToGrid w:val="0"/>
              </w:rPr>
              <w:t>国家或地方污染物排放标准</w:t>
            </w:r>
          </w:p>
        </w:tc>
        <w:tc>
          <w:tcPr>
            <w:tcW w:w="1195" w:type="dxa"/>
            <w:vMerge w:val="restart"/>
            <w:shd w:val="clear" w:color="auto" w:fill="auto"/>
            <w:vAlign w:val="center"/>
          </w:tcPr>
          <w:p>
            <w:pPr>
              <w:pStyle w:val="97"/>
            </w:pPr>
            <w:r>
              <w:rPr>
                <w:snapToGrid w:val="0"/>
              </w:rPr>
              <w:t>核算年排放量/</w:t>
            </w:r>
            <w: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40" w:type="dxa"/>
            <w:vMerge w:val="continue"/>
            <w:shd w:val="clear" w:color="auto" w:fill="auto"/>
            <w:vAlign w:val="center"/>
          </w:tcPr>
          <w:p>
            <w:pPr>
              <w:pStyle w:val="97"/>
              <w:rPr>
                <w:snapToGrid w:val="0"/>
              </w:rPr>
            </w:pPr>
          </w:p>
        </w:tc>
        <w:tc>
          <w:tcPr>
            <w:tcW w:w="1197" w:type="dxa"/>
            <w:vMerge w:val="continue"/>
            <w:shd w:val="clear" w:color="auto" w:fill="auto"/>
            <w:vAlign w:val="center"/>
          </w:tcPr>
          <w:p>
            <w:pPr>
              <w:pStyle w:val="97"/>
              <w:rPr>
                <w:snapToGrid w:val="0"/>
              </w:rPr>
            </w:pPr>
          </w:p>
        </w:tc>
        <w:tc>
          <w:tcPr>
            <w:tcW w:w="752" w:type="dxa"/>
            <w:vMerge w:val="continue"/>
            <w:shd w:val="clear" w:color="auto" w:fill="auto"/>
            <w:vAlign w:val="center"/>
          </w:tcPr>
          <w:p>
            <w:pPr>
              <w:pStyle w:val="97"/>
              <w:rPr>
                <w:snapToGrid w:val="0"/>
              </w:rPr>
            </w:pPr>
          </w:p>
        </w:tc>
        <w:tc>
          <w:tcPr>
            <w:tcW w:w="1032" w:type="dxa"/>
            <w:vMerge w:val="continue"/>
            <w:shd w:val="clear" w:color="auto" w:fill="auto"/>
            <w:vAlign w:val="center"/>
          </w:tcPr>
          <w:p>
            <w:pPr>
              <w:pStyle w:val="97"/>
              <w:rPr>
                <w:snapToGrid w:val="0"/>
              </w:rPr>
            </w:pPr>
          </w:p>
        </w:tc>
        <w:tc>
          <w:tcPr>
            <w:tcW w:w="947" w:type="dxa"/>
            <w:vMerge w:val="continue"/>
            <w:shd w:val="clear" w:color="auto" w:fill="auto"/>
            <w:vAlign w:val="center"/>
          </w:tcPr>
          <w:p>
            <w:pPr>
              <w:pStyle w:val="97"/>
              <w:rPr>
                <w:snapToGrid w:val="0"/>
              </w:rPr>
            </w:pPr>
          </w:p>
        </w:tc>
        <w:tc>
          <w:tcPr>
            <w:tcW w:w="2280" w:type="dxa"/>
            <w:shd w:val="clear" w:color="auto" w:fill="auto"/>
            <w:vAlign w:val="center"/>
          </w:tcPr>
          <w:p>
            <w:pPr>
              <w:pStyle w:val="97"/>
              <w:rPr>
                <w:snapToGrid w:val="0"/>
              </w:rPr>
            </w:pPr>
            <w:r>
              <w:rPr>
                <w:snapToGrid w:val="0"/>
              </w:rPr>
              <w:t>标准名称</w:t>
            </w:r>
          </w:p>
        </w:tc>
        <w:tc>
          <w:tcPr>
            <w:tcW w:w="1197" w:type="dxa"/>
            <w:shd w:val="clear" w:color="auto" w:fill="auto"/>
            <w:vAlign w:val="center"/>
          </w:tcPr>
          <w:p>
            <w:pPr>
              <w:pStyle w:val="97"/>
              <w:rPr>
                <w:snapToGrid w:val="0"/>
              </w:rPr>
            </w:pPr>
            <w:r>
              <w:rPr>
                <w:snapToGrid w:val="0"/>
              </w:rPr>
              <w:t>浓度限值</w:t>
            </w:r>
          </w:p>
          <w:p>
            <w:pPr>
              <w:pStyle w:val="97"/>
            </w:pPr>
            <w:r>
              <w:t>（mg/m</w:t>
            </w:r>
            <w:r>
              <w:rPr>
                <w:vertAlign w:val="superscript"/>
              </w:rPr>
              <w:t>3</w:t>
            </w:r>
            <w:r>
              <w:t>）</w:t>
            </w:r>
          </w:p>
        </w:tc>
        <w:tc>
          <w:tcPr>
            <w:tcW w:w="1195" w:type="dxa"/>
            <w:vMerge w:val="continue"/>
            <w:shd w:val="clear" w:color="auto" w:fill="auto"/>
            <w:vAlign w:val="center"/>
          </w:tcPr>
          <w:p>
            <w:pPr>
              <w:pStyle w:val="9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40" w:type="dxa"/>
            <w:vMerge w:val="restart"/>
            <w:shd w:val="clear" w:color="auto" w:fill="auto"/>
            <w:vAlign w:val="center"/>
          </w:tcPr>
          <w:p>
            <w:pPr>
              <w:pStyle w:val="97"/>
              <w:rPr>
                <w:snapToGrid w:val="0"/>
                <w:highlight w:val="yellow"/>
              </w:rPr>
            </w:pPr>
            <w:r>
              <w:rPr>
                <w:snapToGrid w:val="0"/>
              </w:rPr>
              <w:t>1</w:t>
            </w:r>
          </w:p>
        </w:tc>
        <w:tc>
          <w:tcPr>
            <w:tcW w:w="1197" w:type="dxa"/>
            <w:vMerge w:val="restart"/>
            <w:shd w:val="clear" w:color="auto" w:fill="auto"/>
            <w:vAlign w:val="center"/>
          </w:tcPr>
          <w:p>
            <w:pPr>
              <w:pStyle w:val="97"/>
              <w:rPr>
                <w:snapToGrid w:val="0"/>
              </w:rPr>
            </w:pPr>
            <w:r>
              <w:rPr>
                <w:rFonts w:hint="eastAsia"/>
                <w:snapToGrid w:val="0"/>
              </w:rPr>
              <w:t>面源</w:t>
            </w:r>
            <w:r>
              <w:rPr>
                <w:snapToGrid w:val="0"/>
              </w:rPr>
              <w:t>A1</w:t>
            </w:r>
          </w:p>
        </w:tc>
        <w:tc>
          <w:tcPr>
            <w:tcW w:w="752" w:type="dxa"/>
            <w:vMerge w:val="restart"/>
            <w:shd w:val="clear" w:color="auto" w:fill="auto"/>
            <w:vAlign w:val="center"/>
          </w:tcPr>
          <w:p>
            <w:pPr>
              <w:pStyle w:val="97"/>
              <w:jc w:val="both"/>
              <w:rPr>
                <w:snapToGrid w:val="0"/>
              </w:rPr>
            </w:pPr>
            <w:r>
              <w:rPr>
                <w:rFonts w:hint="eastAsia"/>
                <w:snapToGrid w:val="0"/>
              </w:rPr>
              <w:t>储罐大小</w:t>
            </w:r>
            <w:r>
              <w:rPr>
                <w:snapToGrid w:val="0"/>
              </w:rPr>
              <w:t>呼吸</w:t>
            </w:r>
          </w:p>
        </w:tc>
        <w:tc>
          <w:tcPr>
            <w:tcW w:w="1032" w:type="dxa"/>
            <w:shd w:val="clear" w:color="auto" w:fill="auto"/>
            <w:vAlign w:val="center"/>
          </w:tcPr>
          <w:p>
            <w:pPr>
              <w:pStyle w:val="97"/>
            </w:pPr>
            <w:r>
              <w:rPr>
                <w:rFonts w:hint="eastAsia"/>
              </w:rPr>
              <w:t>石油醚</w:t>
            </w:r>
          </w:p>
        </w:tc>
        <w:tc>
          <w:tcPr>
            <w:tcW w:w="947" w:type="dxa"/>
            <w:vMerge w:val="restart"/>
            <w:shd w:val="clear" w:color="auto" w:fill="auto"/>
            <w:vAlign w:val="center"/>
          </w:tcPr>
          <w:p>
            <w:pPr>
              <w:pStyle w:val="97"/>
              <w:rPr>
                <w:snapToGrid w:val="0"/>
              </w:rPr>
            </w:pPr>
            <w:r>
              <w:rPr>
                <w:rFonts w:hint="eastAsia"/>
                <w:snapToGrid w:val="0"/>
              </w:rPr>
              <w:t>地埋式</w:t>
            </w:r>
            <w:r>
              <w:rPr>
                <w:snapToGrid w:val="0"/>
              </w:rPr>
              <w:t>储罐</w:t>
            </w:r>
          </w:p>
        </w:tc>
        <w:tc>
          <w:tcPr>
            <w:tcW w:w="2280" w:type="dxa"/>
            <w:vMerge w:val="restart"/>
            <w:shd w:val="clear" w:color="auto" w:fill="auto"/>
            <w:vAlign w:val="center"/>
          </w:tcPr>
          <w:p>
            <w:pPr>
              <w:pStyle w:val="97"/>
              <w:rPr>
                <w:snapToGrid w:val="0"/>
              </w:rPr>
            </w:pPr>
            <w:r>
              <w:rPr>
                <w:rFonts w:hint="eastAsia"/>
                <w:snapToGrid w:val="0"/>
              </w:rPr>
              <w:t>《大气污染综合排放标准》（</w:t>
            </w:r>
            <w:r>
              <w:rPr>
                <w:snapToGrid w:val="0"/>
              </w:rPr>
              <w:t>GB16297-1996</w:t>
            </w:r>
            <w:r>
              <w:rPr>
                <w:rFonts w:hint="eastAsia"/>
                <w:snapToGrid w:val="0"/>
              </w:rPr>
              <w:t>）中无组织排放监控浓度限值</w:t>
            </w:r>
          </w:p>
        </w:tc>
        <w:tc>
          <w:tcPr>
            <w:tcW w:w="1197" w:type="dxa"/>
            <w:shd w:val="clear" w:color="auto" w:fill="auto"/>
            <w:vAlign w:val="center"/>
          </w:tcPr>
          <w:p>
            <w:pPr>
              <w:pStyle w:val="97"/>
              <w:rPr>
                <w:snapToGrid w:val="0"/>
              </w:rPr>
            </w:pPr>
            <w:r>
              <w:rPr>
                <w:rFonts w:hint="eastAsia"/>
                <w:snapToGrid w:val="0"/>
              </w:rPr>
              <w:t>4</w:t>
            </w:r>
          </w:p>
        </w:tc>
        <w:tc>
          <w:tcPr>
            <w:tcW w:w="1195" w:type="dxa"/>
            <w:shd w:val="clear" w:color="auto" w:fill="auto"/>
            <w:vAlign w:val="center"/>
          </w:tcPr>
          <w:p>
            <w:pPr>
              <w:pStyle w:val="97"/>
              <w:rPr>
                <w:snapToGrid w:val="0"/>
              </w:rPr>
            </w:pPr>
            <w:r>
              <w:rPr>
                <w:rFonts w:hint="eastAsia"/>
                <w:snapToGrid w:val="0"/>
              </w:rPr>
              <w:t>0.00</w:t>
            </w:r>
            <w:r>
              <w:rPr>
                <w:snapToGrid w:val="0"/>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40" w:type="dxa"/>
            <w:vMerge w:val="continue"/>
            <w:shd w:val="clear" w:color="auto" w:fill="auto"/>
            <w:vAlign w:val="center"/>
          </w:tcPr>
          <w:p>
            <w:pPr>
              <w:pStyle w:val="97"/>
              <w:rPr>
                <w:snapToGrid w:val="0"/>
                <w:highlight w:val="yellow"/>
              </w:rPr>
            </w:pPr>
          </w:p>
        </w:tc>
        <w:tc>
          <w:tcPr>
            <w:tcW w:w="1197" w:type="dxa"/>
            <w:vMerge w:val="continue"/>
            <w:shd w:val="clear" w:color="auto" w:fill="auto"/>
            <w:vAlign w:val="center"/>
          </w:tcPr>
          <w:p>
            <w:pPr>
              <w:pStyle w:val="97"/>
              <w:rPr>
                <w:snapToGrid w:val="0"/>
              </w:rPr>
            </w:pPr>
          </w:p>
        </w:tc>
        <w:tc>
          <w:tcPr>
            <w:tcW w:w="752" w:type="dxa"/>
            <w:vMerge w:val="continue"/>
            <w:shd w:val="clear" w:color="auto" w:fill="auto"/>
            <w:vAlign w:val="center"/>
          </w:tcPr>
          <w:p>
            <w:pPr>
              <w:pStyle w:val="97"/>
              <w:rPr>
                <w:snapToGrid w:val="0"/>
              </w:rPr>
            </w:pPr>
          </w:p>
        </w:tc>
        <w:tc>
          <w:tcPr>
            <w:tcW w:w="1032" w:type="dxa"/>
            <w:shd w:val="clear" w:color="auto" w:fill="auto"/>
            <w:vAlign w:val="center"/>
          </w:tcPr>
          <w:p>
            <w:pPr>
              <w:pStyle w:val="97"/>
            </w:pPr>
            <w:r>
              <w:rPr>
                <w:rFonts w:hint="eastAsia"/>
              </w:rPr>
              <w:t>甲醇</w:t>
            </w:r>
          </w:p>
        </w:tc>
        <w:tc>
          <w:tcPr>
            <w:tcW w:w="947" w:type="dxa"/>
            <w:vMerge w:val="continue"/>
            <w:shd w:val="clear" w:color="auto" w:fill="auto"/>
            <w:vAlign w:val="center"/>
          </w:tcPr>
          <w:p>
            <w:pPr>
              <w:pStyle w:val="97"/>
              <w:rPr>
                <w:snapToGrid w:val="0"/>
              </w:rPr>
            </w:pPr>
          </w:p>
        </w:tc>
        <w:tc>
          <w:tcPr>
            <w:tcW w:w="2280" w:type="dxa"/>
            <w:vMerge w:val="continue"/>
            <w:shd w:val="clear" w:color="auto" w:fill="auto"/>
            <w:vAlign w:val="center"/>
          </w:tcPr>
          <w:p>
            <w:pPr>
              <w:pStyle w:val="97"/>
              <w:rPr>
                <w:snapToGrid w:val="0"/>
              </w:rPr>
            </w:pPr>
          </w:p>
        </w:tc>
        <w:tc>
          <w:tcPr>
            <w:tcW w:w="1197" w:type="dxa"/>
            <w:shd w:val="clear" w:color="auto" w:fill="auto"/>
            <w:vAlign w:val="center"/>
          </w:tcPr>
          <w:p>
            <w:pPr>
              <w:pStyle w:val="97"/>
              <w:rPr>
                <w:snapToGrid w:val="0"/>
              </w:rPr>
            </w:pPr>
            <w:r>
              <w:rPr>
                <w:rFonts w:hint="eastAsia"/>
                <w:snapToGrid w:val="0"/>
              </w:rPr>
              <w:t>12</w:t>
            </w:r>
          </w:p>
        </w:tc>
        <w:tc>
          <w:tcPr>
            <w:tcW w:w="1195" w:type="dxa"/>
            <w:shd w:val="clear" w:color="auto" w:fill="auto"/>
            <w:vAlign w:val="center"/>
          </w:tcPr>
          <w:p>
            <w:pPr>
              <w:pStyle w:val="97"/>
              <w:rPr>
                <w:snapToGrid w:val="0"/>
              </w:rPr>
            </w:pPr>
            <w:r>
              <w:rPr>
                <w:rFonts w:hint="eastAsia"/>
                <w:snapToGrid w:val="0"/>
              </w:rPr>
              <w:t>0.00</w:t>
            </w:r>
            <w:r>
              <w:rPr>
                <w:snapToGrid w:val="0"/>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040" w:type="dxa"/>
            <w:gridSpan w:val="8"/>
            <w:shd w:val="clear" w:color="auto" w:fill="auto"/>
            <w:vAlign w:val="center"/>
          </w:tcPr>
          <w:p>
            <w:pPr>
              <w:pStyle w:val="97"/>
              <w:rPr>
                <w:snapToGrid w:val="0"/>
              </w:rPr>
            </w:pPr>
            <w:r>
              <w:rPr>
                <w:snapToGrid w:val="0"/>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21" w:type="dxa"/>
            <w:gridSpan w:val="4"/>
            <w:vMerge w:val="restart"/>
            <w:shd w:val="clear" w:color="auto" w:fill="auto"/>
            <w:vAlign w:val="center"/>
          </w:tcPr>
          <w:p>
            <w:pPr>
              <w:pStyle w:val="97"/>
              <w:rPr>
                <w:snapToGrid w:val="0"/>
              </w:rPr>
            </w:pPr>
            <w:r>
              <w:rPr>
                <w:snapToGrid w:val="0"/>
              </w:rPr>
              <w:t>无组织排放总计</w:t>
            </w:r>
          </w:p>
        </w:tc>
        <w:tc>
          <w:tcPr>
            <w:tcW w:w="4424" w:type="dxa"/>
            <w:gridSpan w:val="3"/>
            <w:shd w:val="clear" w:color="auto" w:fill="auto"/>
            <w:vAlign w:val="center"/>
          </w:tcPr>
          <w:p>
            <w:pPr>
              <w:pStyle w:val="97"/>
              <w:rPr>
                <w:snapToGrid w:val="0"/>
              </w:rPr>
            </w:pPr>
            <w:r>
              <w:rPr>
                <w:rFonts w:hint="eastAsia"/>
                <w:snapToGrid w:val="0"/>
              </w:rPr>
              <w:t>石油醚</w:t>
            </w:r>
          </w:p>
        </w:tc>
        <w:tc>
          <w:tcPr>
            <w:tcW w:w="1195" w:type="dxa"/>
            <w:shd w:val="clear" w:color="auto" w:fill="auto"/>
            <w:vAlign w:val="center"/>
          </w:tcPr>
          <w:p>
            <w:pPr>
              <w:pStyle w:val="97"/>
              <w:rPr>
                <w:snapToGrid w:val="0"/>
              </w:rPr>
            </w:pPr>
            <w:r>
              <w:rPr>
                <w:rFonts w:hint="eastAsia"/>
                <w:snapToGrid w:val="0"/>
              </w:rPr>
              <w:t>0.0</w:t>
            </w:r>
            <w:r>
              <w:rPr>
                <w:snapToGrid w:val="0"/>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21" w:type="dxa"/>
            <w:gridSpan w:val="4"/>
            <w:vMerge w:val="continue"/>
            <w:shd w:val="clear" w:color="auto" w:fill="auto"/>
            <w:vAlign w:val="center"/>
          </w:tcPr>
          <w:p>
            <w:pPr>
              <w:pStyle w:val="97"/>
              <w:rPr>
                <w:snapToGrid w:val="0"/>
              </w:rPr>
            </w:pPr>
          </w:p>
        </w:tc>
        <w:tc>
          <w:tcPr>
            <w:tcW w:w="4424" w:type="dxa"/>
            <w:gridSpan w:val="3"/>
            <w:shd w:val="clear" w:color="auto" w:fill="auto"/>
            <w:vAlign w:val="center"/>
          </w:tcPr>
          <w:p>
            <w:pPr>
              <w:pStyle w:val="97"/>
              <w:rPr>
                <w:snapToGrid w:val="0"/>
              </w:rPr>
            </w:pPr>
            <w:r>
              <w:rPr>
                <w:rFonts w:hint="eastAsia"/>
                <w:snapToGrid w:val="0"/>
              </w:rPr>
              <w:t>甲醇</w:t>
            </w:r>
          </w:p>
        </w:tc>
        <w:tc>
          <w:tcPr>
            <w:tcW w:w="1195" w:type="dxa"/>
            <w:shd w:val="clear" w:color="auto" w:fill="auto"/>
            <w:vAlign w:val="center"/>
          </w:tcPr>
          <w:p>
            <w:pPr>
              <w:pStyle w:val="97"/>
              <w:rPr>
                <w:snapToGrid w:val="0"/>
              </w:rPr>
            </w:pPr>
            <w:r>
              <w:rPr>
                <w:rFonts w:hint="eastAsia"/>
                <w:snapToGrid w:val="0"/>
              </w:rPr>
              <w:t>0.00</w:t>
            </w:r>
            <w:r>
              <w:rPr>
                <w:snapToGrid w:val="0"/>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421" w:type="dxa"/>
            <w:gridSpan w:val="4"/>
            <w:vMerge w:val="continue"/>
            <w:shd w:val="clear" w:color="auto" w:fill="auto"/>
            <w:vAlign w:val="center"/>
          </w:tcPr>
          <w:p>
            <w:pPr>
              <w:pStyle w:val="97"/>
              <w:rPr>
                <w:snapToGrid w:val="0"/>
              </w:rPr>
            </w:pPr>
          </w:p>
        </w:tc>
        <w:tc>
          <w:tcPr>
            <w:tcW w:w="4424" w:type="dxa"/>
            <w:gridSpan w:val="3"/>
            <w:shd w:val="clear" w:color="auto" w:fill="auto"/>
            <w:vAlign w:val="center"/>
          </w:tcPr>
          <w:p>
            <w:pPr>
              <w:pStyle w:val="97"/>
              <w:rPr>
                <w:snapToGrid w:val="0"/>
              </w:rPr>
            </w:pPr>
            <w:r>
              <w:rPr>
                <w:rFonts w:hint="eastAsia"/>
                <w:snapToGrid w:val="0"/>
              </w:rPr>
              <w:t>非甲烷</w:t>
            </w:r>
            <w:r>
              <w:rPr>
                <w:snapToGrid w:val="0"/>
              </w:rPr>
              <w:t>总烃</w:t>
            </w:r>
          </w:p>
        </w:tc>
        <w:tc>
          <w:tcPr>
            <w:tcW w:w="1195" w:type="dxa"/>
            <w:shd w:val="clear" w:color="auto" w:fill="auto"/>
            <w:vAlign w:val="center"/>
          </w:tcPr>
          <w:p>
            <w:pPr>
              <w:pStyle w:val="97"/>
              <w:rPr>
                <w:snapToGrid w:val="0"/>
              </w:rPr>
            </w:pPr>
            <w:r>
              <w:rPr>
                <w:rFonts w:hint="eastAsia"/>
                <w:snapToGrid w:val="0"/>
              </w:rPr>
              <w:t>0.005</w:t>
            </w:r>
          </w:p>
        </w:tc>
      </w:tr>
    </w:tbl>
    <w:p>
      <w:pPr>
        <w:pStyle w:val="93"/>
        <w:rPr>
          <w:rFonts w:hAnsi="Times New Roman"/>
          <w:snapToGrid w:val="0"/>
        </w:rPr>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9</w:t>
      </w:r>
      <w:r>
        <w:fldChar w:fldCharType="end"/>
      </w:r>
      <w:r>
        <w:rPr>
          <w:rFonts w:hAnsi="Times New Roman"/>
          <w:snapToGrid w:val="0"/>
        </w:rPr>
        <w:t xml:space="preserve">  大气污染物年排放量核算表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7"/>
        <w:gridCol w:w="3403"/>
        <w:gridCol w:w="4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snapToGrid w:val="0"/>
              </w:rPr>
              <w:t>序号</w:t>
            </w:r>
          </w:p>
        </w:tc>
        <w:tc>
          <w:tcPr>
            <w:tcW w:w="3403" w:type="dxa"/>
            <w:shd w:val="clear" w:color="auto" w:fill="auto"/>
            <w:vAlign w:val="center"/>
          </w:tcPr>
          <w:p>
            <w:pPr>
              <w:pStyle w:val="92"/>
              <w:rPr>
                <w:snapToGrid w:val="0"/>
              </w:rPr>
            </w:pPr>
            <w:r>
              <w:rPr>
                <w:snapToGrid w:val="0"/>
              </w:rPr>
              <w:t>污染物</w:t>
            </w:r>
          </w:p>
        </w:tc>
        <w:tc>
          <w:tcPr>
            <w:tcW w:w="4260" w:type="dxa"/>
            <w:shd w:val="clear" w:color="auto" w:fill="auto"/>
            <w:vAlign w:val="center"/>
          </w:tcPr>
          <w:p>
            <w:pPr>
              <w:pStyle w:val="92"/>
            </w:pPr>
            <w:r>
              <w:rPr>
                <w:snapToGrid w:val="0"/>
              </w:rPr>
              <w:t>年排放量</w:t>
            </w:r>
            <w: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snapToGrid w:val="0"/>
              </w:rPr>
              <w:t>1</w:t>
            </w:r>
          </w:p>
        </w:tc>
        <w:tc>
          <w:tcPr>
            <w:tcW w:w="3403" w:type="dxa"/>
            <w:shd w:val="clear" w:color="auto" w:fill="auto"/>
            <w:vAlign w:val="center"/>
          </w:tcPr>
          <w:p>
            <w:pPr>
              <w:pStyle w:val="92"/>
              <w:rPr>
                <w:snapToGrid w:val="0"/>
              </w:rPr>
            </w:pPr>
            <w:r>
              <w:rPr>
                <w:rFonts w:hint="eastAsia"/>
                <w:snapToGrid w:val="0"/>
              </w:rPr>
              <w:t>颗粒物</w:t>
            </w:r>
          </w:p>
        </w:tc>
        <w:tc>
          <w:tcPr>
            <w:tcW w:w="4260" w:type="dxa"/>
            <w:shd w:val="clear" w:color="auto" w:fill="auto"/>
            <w:vAlign w:val="center"/>
          </w:tcPr>
          <w:p>
            <w:pPr>
              <w:pStyle w:val="92"/>
              <w:rPr>
                <w:snapToGrid w:val="0"/>
              </w:rPr>
            </w:pPr>
            <w:r>
              <w:rPr>
                <w:rFonts w:hint="eastAsia"/>
                <w:snapToGrid w:val="0"/>
              </w:rPr>
              <w:t>0.170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snapToGrid w:val="0"/>
              </w:rPr>
              <w:t>2</w:t>
            </w:r>
          </w:p>
        </w:tc>
        <w:tc>
          <w:tcPr>
            <w:tcW w:w="3403" w:type="dxa"/>
            <w:shd w:val="clear" w:color="auto" w:fill="auto"/>
            <w:vAlign w:val="center"/>
          </w:tcPr>
          <w:p>
            <w:pPr>
              <w:pStyle w:val="92"/>
            </w:pPr>
            <w:r>
              <w:rPr>
                <w:rFonts w:hint="eastAsia"/>
              </w:rPr>
              <w:t>SO</w:t>
            </w:r>
            <w:r>
              <w:rPr>
                <w:rFonts w:hint="eastAsia"/>
                <w:vertAlign w:val="subscript"/>
              </w:rPr>
              <w:t>2</w:t>
            </w:r>
          </w:p>
        </w:tc>
        <w:tc>
          <w:tcPr>
            <w:tcW w:w="4260" w:type="dxa"/>
            <w:shd w:val="clear" w:color="auto" w:fill="auto"/>
            <w:vAlign w:val="center"/>
          </w:tcPr>
          <w:p>
            <w:pPr>
              <w:pStyle w:val="92"/>
              <w:rPr>
                <w:snapToGrid w:val="0"/>
              </w:rPr>
            </w:pPr>
            <w:r>
              <w:rPr>
                <w:rFonts w:hint="eastAsia"/>
                <w:snapToGrid w:val="0"/>
              </w:rPr>
              <w:t>0.130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snapToGrid w:val="0"/>
              </w:rPr>
              <w:t>3</w:t>
            </w:r>
          </w:p>
        </w:tc>
        <w:tc>
          <w:tcPr>
            <w:tcW w:w="3403" w:type="dxa"/>
            <w:shd w:val="clear" w:color="auto" w:fill="auto"/>
            <w:vAlign w:val="center"/>
          </w:tcPr>
          <w:p>
            <w:pPr>
              <w:pStyle w:val="92"/>
            </w:pPr>
            <w:r>
              <w:rPr>
                <w:rFonts w:hint="eastAsia"/>
              </w:rPr>
              <w:t>N</w:t>
            </w:r>
            <w:r>
              <w:t>O</w:t>
            </w:r>
            <w:r>
              <w:rPr>
                <w:rFonts w:hint="eastAsia"/>
              </w:rPr>
              <w:t>x</w:t>
            </w:r>
          </w:p>
        </w:tc>
        <w:tc>
          <w:tcPr>
            <w:tcW w:w="4260" w:type="dxa"/>
            <w:shd w:val="clear" w:color="auto" w:fill="auto"/>
            <w:vAlign w:val="center"/>
          </w:tcPr>
          <w:p>
            <w:pPr>
              <w:pStyle w:val="92"/>
            </w:pPr>
            <w:r>
              <w:rPr>
                <w:rFonts w:hint="eastAsia"/>
              </w:rPr>
              <w:t>0.121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snapToGrid w:val="0"/>
              </w:rPr>
              <w:t>4</w:t>
            </w:r>
          </w:p>
        </w:tc>
        <w:tc>
          <w:tcPr>
            <w:tcW w:w="3403" w:type="dxa"/>
            <w:shd w:val="clear" w:color="auto" w:fill="auto"/>
            <w:vAlign w:val="center"/>
          </w:tcPr>
          <w:p>
            <w:pPr>
              <w:pStyle w:val="92"/>
            </w:pPr>
            <w:r>
              <w:rPr>
                <w:rFonts w:hint="eastAsia"/>
              </w:rPr>
              <w:t>甲醇</w:t>
            </w:r>
          </w:p>
        </w:tc>
        <w:tc>
          <w:tcPr>
            <w:tcW w:w="4260" w:type="dxa"/>
            <w:shd w:val="clear" w:color="auto" w:fill="auto"/>
            <w:vAlign w:val="center"/>
          </w:tcPr>
          <w:p>
            <w:pPr>
              <w:pStyle w:val="92"/>
            </w:pPr>
            <w:r>
              <w:rPr>
                <w:rFonts w:hint="eastAsia"/>
              </w:rPr>
              <w:t>0.072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rFonts w:hint="eastAsia"/>
                <w:snapToGrid w:val="0"/>
              </w:rPr>
              <w:t>5</w:t>
            </w:r>
          </w:p>
        </w:tc>
        <w:tc>
          <w:tcPr>
            <w:tcW w:w="3403" w:type="dxa"/>
            <w:shd w:val="clear" w:color="auto" w:fill="auto"/>
            <w:vAlign w:val="center"/>
          </w:tcPr>
          <w:p>
            <w:pPr>
              <w:pStyle w:val="92"/>
            </w:pPr>
            <w:r>
              <w:rPr>
                <w:rFonts w:hint="eastAsia"/>
              </w:rPr>
              <w:t>石油醚</w:t>
            </w:r>
          </w:p>
        </w:tc>
        <w:tc>
          <w:tcPr>
            <w:tcW w:w="4260" w:type="dxa"/>
            <w:shd w:val="clear" w:color="auto" w:fill="auto"/>
            <w:vAlign w:val="center"/>
          </w:tcPr>
          <w:p>
            <w:pPr>
              <w:pStyle w:val="92"/>
            </w:pPr>
            <w:r>
              <w:rPr>
                <w:rFonts w:hint="eastAsia"/>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377" w:type="dxa"/>
            <w:shd w:val="clear" w:color="auto" w:fill="auto"/>
            <w:vAlign w:val="center"/>
          </w:tcPr>
          <w:p>
            <w:pPr>
              <w:pStyle w:val="92"/>
              <w:rPr>
                <w:snapToGrid w:val="0"/>
              </w:rPr>
            </w:pPr>
            <w:r>
              <w:rPr>
                <w:rFonts w:hint="eastAsia"/>
                <w:snapToGrid w:val="0"/>
              </w:rPr>
              <w:t>6</w:t>
            </w:r>
          </w:p>
        </w:tc>
        <w:tc>
          <w:tcPr>
            <w:tcW w:w="3403" w:type="dxa"/>
            <w:shd w:val="clear" w:color="auto" w:fill="auto"/>
            <w:vAlign w:val="center"/>
          </w:tcPr>
          <w:p>
            <w:pPr>
              <w:pStyle w:val="92"/>
            </w:pPr>
            <w:r>
              <w:rPr>
                <w:rFonts w:hint="eastAsia"/>
              </w:rPr>
              <w:t>非甲烷</w:t>
            </w:r>
            <w:r>
              <w:t>总烃</w:t>
            </w:r>
          </w:p>
        </w:tc>
        <w:tc>
          <w:tcPr>
            <w:tcW w:w="4260" w:type="dxa"/>
            <w:shd w:val="clear" w:color="auto" w:fill="auto"/>
            <w:vAlign w:val="center"/>
          </w:tcPr>
          <w:p>
            <w:pPr>
              <w:pStyle w:val="92"/>
            </w:pPr>
            <w:r>
              <w:t>0.075</w:t>
            </w:r>
          </w:p>
        </w:tc>
      </w:tr>
    </w:tbl>
    <w:p>
      <w:pPr>
        <w:pStyle w:val="87"/>
        <w:ind w:firstLine="422"/>
        <w:rPr>
          <w:rFonts w:cs="Times New Roman"/>
          <w:b/>
          <w:sz w:val="21"/>
          <w:szCs w:val="21"/>
        </w:rPr>
      </w:pPr>
      <w:r>
        <w:rPr>
          <w:rFonts w:hint="eastAsia" w:cs="Times New Roman"/>
          <w:b/>
          <w:sz w:val="21"/>
          <w:szCs w:val="21"/>
        </w:rPr>
        <w:t>注</w:t>
      </w:r>
      <w:r>
        <w:rPr>
          <w:rFonts w:cs="Times New Roman"/>
          <w:b/>
          <w:sz w:val="21"/>
          <w:szCs w:val="21"/>
        </w:rPr>
        <w:t>：</w:t>
      </w:r>
      <w:r>
        <w:rPr>
          <w:rFonts w:hint="eastAsia" w:cs="Times New Roman"/>
          <w:b/>
          <w:sz w:val="21"/>
          <w:szCs w:val="21"/>
        </w:rPr>
        <w:t>非甲烷</w:t>
      </w:r>
      <w:r>
        <w:rPr>
          <w:rFonts w:cs="Times New Roman"/>
          <w:b/>
          <w:sz w:val="21"/>
          <w:szCs w:val="21"/>
        </w:rPr>
        <w:t>总烃含量包含甲醇含量。</w:t>
      </w:r>
    </w:p>
    <w:p>
      <w:pPr>
        <w:pStyle w:val="87"/>
        <w:ind w:firstLine="480"/>
        <w:rPr>
          <w:rFonts w:cs="Times New Roman"/>
        </w:rPr>
      </w:pPr>
      <w:r>
        <w:rPr>
          <w:rFonts w:hint="eastAsia" w:cs="Times New Roman"/>
        </w:rPr>
        <w:t>（2）</w:t>
      </w:r>
      <w:r>
        <w:rPr>
          <w:rFonts w:cs="Times New Roman"/>
        </w:rPr>
        <w:t>非正常排放量核算</w:t>
      </w:r>
    </w:p>
    <w:p>
      <w:pPr>
        <w:pStyle w:val="87"/>
        <w:ind w:firstLine="480"/>
        <w:rPr>
          <w:rFonts w:cs="Times New Roman"/>
        </w:rPr>
      </w:pPr>
      <w:r>
        <w:rPr>
          <w:rFonts w:cs="Times New Roman"/>
        </w:rPr>
        <w:t>在发生环保设施故障时，假设在最不利状态下，环保设施的处理效率为0，则非正常排放量核算如下：</w:t>
      </w:r>
    </w:p>
    <w:p>
      <w:pPr>
        <w:pStyle w:val="93"/>
        <w:rPr>
          <w:rFonts w:hAnsi="Times New Roman"/>
          <w:snapToGrid w:val="0"/>
        </w:rPr>
      </w:pPr>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10</w:t>
      </w:r>
      <w:r>
        <w:fldChar w:fldCharType="end"/>
      </w:r>
      <w:r>
        <w:rPr>
          <w:rFonts w:hAnsi="Times New Roman"/>
          <w:snapToGrid w:val="0"/>
        </w:rPr>
        <w:t xml:space="preserve">  大气污染物非正常排放量核算表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8"/>
        <w:gridCol w:w="720"/>
        <w:gridCol w:w="908"/>
        <w:gridCol w:w="1020"/>
        <w:gridCol w:w="1289"/>
        <w:gridCol w:w="1164"/>
        <w:gridCol w:w="1164"/>
        <w:gridCol w:w="1164"/>
        <w:gridCol w:w="11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snapToGrid w:val="0"/>
              </w:rPr>
              <w:t>序号</w:t>
            </w:r>
          </w:p>
        </w:tc>
        <w:tc>
          <w:tcPr>
            <w:tcW w:w="720" w:type="dxa"/>
            <w:vAlign w:val="center"/>
          </w:tcPr>
          <w:p>
            <w:pPr>
              <w:pStyle w:val="97"/>
              <w:rPr>
                <w:snapToGrid w:val="0"/>
              </w:rPr>
            </w:pPr>
            <w:r>
              <w:rPr>
                <w:snapToGrid w:val="0"/>
              </w:rPr>
              <w:t>污染源</w:t>
            </w:r>
          </w:p>
        </w:tc>
        <w:tc>
          <w:tcPr>
            <w:tcW w:w="908" w:type="dxa"/>
            <w:vAlign w:val="center"/>
          </w:tcPr>
          <w:p>
            <w:pPr>
              <w:pStyle w:val="97"/>
              <w:rPr>
                <w:snapToGrid w:val="0"/>
              </w:rPr>
            </w:pPr>
            <w:r>
              <w:rPr>
                <w:snapToGrid w:val="0"/>
              </w:rPr>
              <w:t>非正常排放原因</w:t>
            </w:r>
          </w:p>
        </w:tc>
        <w:tc>
          <w:tcPr>
            <w:tcW w:w="1020" w:type="dxa"/>
            <w:shd w:val="clear" w:color="auto" w:fill="auto"/>
            <w:vAlign w:val="center"/>
          </w:tcPr>
          <w:p>
            <w:pPr>
              <w:pStyle w:val="97"/>
              <w:rPr>
                <w:snapToGrid w:val="0"/>
              </w:rPr>
            </w:pPr>
            <w:r>
              <w:rPr>
                <w:snapToGrid w:val="0"/>
              </w:rPr>
              <w:t>污染物</w:t>
            </w:r>
          </w:p>
        </w:tc>
        <w:tc>
          <w:tcPr>
            <w:tcW w:w="1289" w:type="dxa"/>
            <w:shd w:val="clear" w:color="auto" w:fill="auto"/>
            <w:vAlign w:val="center"/>
          </w:tcPr>
          <w:p>
            <w:pPr>
              <w:pStyle w:val="97"/>
            </w:pPr>
            <w:r>
              <w:t>非正常排放浓度</w:t>
            </w:r>
          </w:p>
          <w:p>
            <w:pPr>
              <w:pStyle w:val="97"/>
            </w:pPr>
            <w:r>
              <w:t>（mg/m</w:t>
            </w:r>
            <w:r>
              <w:rPr>
                <w:vertAlign w:val="superscript"/>
              </w:rPr>
              <w:t>3</w:t>
            </w:r>
            <w:r>
              <w:t>）</w:t>
            </w:r>
          </w:p>
        </w:tc>
        <w:tc>
          <w:tcPr>
            <w:tcW w:w="1164" w:type="dxa"/>
            <w:vAlign w:val="center"/>
          </w:tcPr>
          <w:p>
            <w:pPr>
              <w:pStyle w:val="97"/>
              <w:rPr>
                <w:snapToGrid w:val="0"/>
              </w:rPr>
            </w:pPr>
            <w:r>
              <w:rPr>
                <w:snapToGrid w:val="0"/>
              </w:rPr>
              <w:t>非正常排放速率</w:t>
            </w:r>
          </w:p>
          <w:p>
            <w:pPr>
              <w:pStyle w:val="97"/>
            </w:pPr>
            <w:r>
              <w:t>（kg/h）</w:t>
            </w:r>
          </w:p>
        </w:tc>
        <w:tc>
          <w:tcPr>
            <w:tcW w:w="1164" w:type="dxa"/>
            <w:vAlign w:val="center"/>
          </w:tcPr>
          <w:p>
            <w:pPr>
              <w:pStyle w:val="97"/>
            </w:pPr>
            <w:r>
              <w:t>单次持续时间/h</w:t>
            </w:r>
          </w:p>
        </w:tc>
        <w:tc>
          <w:tcPr>
            <w:tcW w:w="1164" w:type="dxa"/>
            <w:vAlign w:val="center"/>
          </w:tcPr>
          <w:p>
            <w:pPr>
              <w:pStyle w:val="97"/>
              <w:rPr>
                <w:snapToGrid w:val="0"/>
              </w:rPr>
            </w:pPr>
            <w:r>
              <w:rPr>
                <w:snapToGrid w:val="0"/>
              </w:rPr>
              <w:t>发生频次/次</w:t>
            </w:r>
          </w:p>
        </w:tc>
        <w:tc>
          <w:tcPr>
            <w:tcW w:w="1163" w:type="dxa"/>
            <w:vAlign w:val="center"/>
          </w:tcPr>
          <w:p>
            <w:pPr>
              <w:pStyle w:val="97"/>
              <w:rPr>
                <w:snapToGrid w:val="0"/>
              </w:rPr>
            </w:pPr>
            <w:r>
              <w:rPr>
                <w:snapToGrid w:val="0"/>
              </w:rPr>
              <w:t>应对措施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snapToGrid w:val="0"/>
              </w:rPr>
              <w:t>1</w:t>
            </w:r>
          </w:p>
        </w:tc>
        <w:tc>
          <w:tcPr>
            <w:tcW w:w="720" w:type="dxa"/>
            <w:vAlign w:val="center"/>
          </w:tcPr>
          <w:p>
            <w:pPr>
              <w:pStyle w:val="97"/>
              <w:rPr>
                <w:snapToGrid w:val="0"/>
              </w:rPr>
            </w:pPr>
            <w:r>
              <w:rPr>
                <w:snapToGrid w:val="0"/>
              </w:rPr>
              <w:t>P1/P2</w:t>
            </w:r>
          </w:p>
        </w:tc>
        <w:tc>
          <w:tcPr>
            <w:tcW w:w="908" w:type="dxa"/>
            <w:vMerge w:val="restart"/>
            <w:vAlign w:val="center"/>
          </w:tcPr>
          <w:p>
            <w:pPr>
              <w:pStyle w:val="97"/>
              <w:rPr>
                <w:snapToGrid w:val="0"/>
              </w:rPr>
            </w:pPr>
            <w:r>
              <w:rPr>
                <w:snapToGrid w:val="0"/>
              </w:rPr>
              <w:t>环保设施故障</w:t>
            </w:r>
          </w:p>
        </w:tc>
        <w:tc>
          <w:tcPr>
            <w:tcW w:w="1020" w:type="dxa"/>
            <w:shd w:val="clear" w:color="auto" w:fill="auto"/>
            <w:vAlign w:val="center"/>
          </w:tcPr>
          <w:p>
            <w:pPr>
              <w:pStyle w:val="92"/>
              <w:rPr>
                <w:snapToGrid w:val="0"/>
              </w:rPr>
            </w:pPr>
            <w:r>
              <w:rPr>
                <w:rFonts w:hint="eastAsia"/>
                <w:snapToGrid w:val="0"/>
              </w:rPr>
              <w:t>颗粒物</w:t>
            </w:r>
          </w:p>
        </w:tc>
        <w:tc>
          <w:tcPr>
            <w:tcW w:w="1289" w:type="dxa"/>
            <w:shd w:val="clear" w:color="auto" w:fill="auto"/>
            <w:vAlign w:val="center"/>
          </w:tcPr>
          <w:p>
            <w:pPr>
              <w:pStyle w:val="97"/>
              <w:rPr>
                <w:snapToGrid w:val="0"/>
              </w:rPr>
            </w:pPr>
            <w:r>
              <w:rPr>
                <w:snapToGrid w:val="0"/>
              </w:rPr>
              <w:t>60.62</w:t>
            </w:r>
          </w:p>
        </w:tc>
        <w:tc>
          <w:tcPr>
            <w:tcW w:w="1164" w:type="dxa"/>
            <w:vAlign w:val="center"/>
          </w:tcPr>
          <w:p>
            <w:pPr>
              <w:pStyle w:val="97"/>
              <w:rPr>
                <w:snapToGrid w:val="0"/>
              </w:rPr>
            </w:pPr>
            <w:r>
              <w:rPr>
                <w:rFonts w:hint="eastAsia"/>
                <w:snapToGrid w:val="0"/>
              </w:rPr>
              <w:t>0.125</w:t>
            </w:r>
          </w:p>
        </w:tc>
        <w:tc>
          <w:tcPr>
            <w:tcW w:w="1164" w:type="dxa"/>
            <w:vAlign w:val="center"/>
          </w:tcPr>
          <w:p>
            <w:pPr>
              <w:pStyle w:val="97"/>
              <w:rPr>
                <w:snapToGrid w:val="0"/>
              </w:rPr>
            </w:pPr>
            <w:r>
              <w:rPr>
                <w:snapToGrid w:val="0"/>
              </w:rPr>
              <w:t>0.5</w:t>
            </w:r>
          </w:p>
        </w:tc>
        <w:tc>
          <w:tcPr>
            <w:tcW w:w="1164" w:type="dxa"/>
            <w:vAlign w:val="center"/>
          </w:tcPr>
          <w:p>
            <w:pPr>
              <w:pStyle w:val="97"/>
              <w:rPr>
                <w:snapToGrid w:val="0"/>
              </w:rPr>
            </w:pPr>
            <w:r>
              <w:rPr>
                <w:snapToGrid w:val="0"/>
              </w:rPr>
              <w:t>1</w:t>
            </w:r>
          </w:p>
        </w:tc>
        <w:tc>
          <w:tcPr>
            <w:tcW w:w="1163" w:type="dxa"/>
            <w:vMerge w:val="restart"/>
            <w:vAlign w:val="center"/>
          </w:tcPr>
          <w:p>
            <w:pPr>
              <w:pStyle w:val="97"/>
              <w:rPr>
                <w:snapToGrid w:val="0"/>
              </w:rPr>
            </w:pPr>
            <w:r>
              <w:rPr>
                <w:snapToGrid w:val="0"/>
              </w:rPr>
              <w:t>加强设备维护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snapToGrid w:val="0"/>
              </w:rPr>
              <w:t>2</w:t>
            </w:r>
          </w:p>
        </w:tc>
        <w:tc>
          <w:tcPr>
            <w:tcW w:w="720" w:type="dxa"/>
            <w:vAlign w:val="center"/>
          </w:tcPr>
          <w:p>
            <w:pPr>
              <w:pStyle w:val="97"/>
            </w:pPr>
            <w:r>
              <w:rPr>
                <w:rFonts w:hint="eastAsia"/>
              </w:rPr>
              <w:t>P3/</w:t>
            </w:r>
            <w:r>
              <w:t>P4</w:t>
            </w:r>
          </w:p>
        </w:tc>
        <w:tc>
          <w:tcPr>
            <w:tcW w:w="908" w:type="dxa"/>
            <w:vMerge w:val="continue"/>
            <w:vAlign w:val="center"/>
          </w:tcPr>
          <w:p>
            <w:pPr>
              <w:pStyle w:val="97"/>
            </w:pPr>
          </w:p>
        </w:tc>
        <w:tc>
          <w:tcPr>
            <w:tcW w:w="1020" w:type="dxa"/>
            <w:shd w:val="clear" w:color="auto" w:fill="auto"/>
            <w:vAlign w:val="center"/>
          </w:tcPr>
          <w:p>
            <w:pPr>
              <w:pStyle w:val="92"/>
              <w:rPr>
                <w:snapToGrid w:val="0"/>
              </w:rPr>
            </w:pPr>
            <w:r>
              <w:rPr>
                <w:rFonts w:hint="eastAsia"/>
                <w:snapToGrid w:val="0"/>
              </w:rPr>
              <w:t>颗粒物</w:t>
            </w:r>
          </w:p>
        </w:tc>
        <w:tc>
          <w:tcPr>
            <w:tcW w:w="1289" w:type="dxa"/>
            <w:shd w:val="clear" w:color="auto" w:fill="auto"/>
            <w:vAlign w:val="center"/>
          </w:tcPr>
          <w:p>
            <w:pPr>
              <w:pStyle w:val="97"/>
              <w:rPr>
                <w:snapToGrid w:val="0"/>
              </w:rPr>
            </w:pPr>
            <w:r>
              <w:rPr>
                <w:snapToGrid w:val="0"/>
              </w:rPr>
              <w:t>29.58</w:t>
            </w:r>
          </w:p>
        </w:tc>
        <w:tc>
          <w:tcPr>
            <w:tcW w:w="1164" w:type="dxa"/>
            <w:vAlign w:val="center"/>
          </w:tcPr>
          <w:p>
            <w:pPr>
              <w:pStyle w:val="97"/>
              <w:rPr>
                <w:snapToGrid w:val="0"/>
              </w:rPr>
            </w:pPr>
            <w:r>
              <w:rPr>
                <w:rFonts w:hint="eastAsia"/>
                <w:snapToGrid w:val="0"/>
              </w:rPr>
              <w:t>0.061</w:t>
            </w:r>
          </w:p>
        </w:tc>
        <w:tc>
          <w:tcPr>
            <w:tcW w:w="1164" w:type="dxa"/>
            <w:vAlign w:val="center"/>
          </w:tcPr>
          <w:p>
            <w:pPr>
              <w:pStyle w:val="97"/>
              <w:rPr>
                <w:snapToGrid w:val="0"/>
              </w:rPr>
            </w:pPr>
            <w:r>
              <w:rPr>
                <w:snapToGrid w:val="0"/>
              </w:rPr>
              <w:t>0.5</w:t>
            </w:r>
          </w:p>
        </w:tc>
        <w:tc>
          <w:tcPr>
            <w:tcW w:w="1164" w:type="dxa"/>
            <w:vAlign w:val="center"/>
          </w:tcPr>
          <w:p>
            <w:pPr>
              <w:pStyle w:val="97"/>
              <w:rPr>
                <w:snapToGrid w:val="0"/>
              </w:rPr>
            </w:pPr>
            <w:r>
              <w:rPr>
                <w:snapToGrid w:val="0"/>
              </w:rPr>
              <w:t>1</w:t>
            </w:r>
          </w:p>
        </w:tc>
        <w:tc>
          <w:tcPr>
            <w:tcW w:w="1163" w:type="dxa"/>
            <w:vMerge w:val="continue"/>
            <w:vAlign w:val="center"/>
          </w:tcPr>
          <w:p>
            <w:pPr>
              <w:pStyle w:val="97"/>
              <w:rPr>
                <w:snapToGrid w:val="0"/>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rFonts w:hint="eastAsia"/>
                <w:snapToGrid w:val="0"/>
              </w:rPr>
              <w:t>3</w:t>
            </w:r>
          </w:p>
        </w:tc>
        <w:tc>
          <w:tcPr>
            <w:tcW w:w="720" w:type="dxa"/>
            <w:vAlign w:val="center"/>
          </w:tcPr>
          <w:p>
            <w:pPr>
              <w:pStyle w:val="97"/>
            </w:pPr>
            <w:r>
              <w:rPr>
                <w:rFonts w:hint="eastAsia"/>
              </w:rPr>
              <w:t>P5</w:t>
            </w:r>
          </w:p>
        </w:tc>
        <w:tc>
          <w:tcPr>
            <w:tcW w:w="908" w:type="dxa"/>
            <w:vMerge w:val="continue"/>
            <w:vAlign w:val="center"/>
          </w:tcPr>
          <w:p>
            <w:pPr>
              <w:pStyle w:val="97"/>
              <w:rPr>
                <w:highlight w:val="yellow"/>
              </w:rPr>
            </w:pPr>
          </w:p>
        </w:tc>
        <w:tc>
          <w:tcPr>
            <w:tcW w:w="1020" w:type="dxa"/>
            <w:shd w:val="clear" w:color="auto" w:fill="auto"/>
            <w:vAlign w:val="center"/>
          </w:tcPr>
          <w:p>
            <w:pPr>
              <w:pStyle w:val="92"/>
              <w:rPr>
                <w:snapToGrid w:val="0"/>
              </w:rPr>
            </w:pPr>
            <w:r>
              <w:rPr>
                <w:rFonts w:hint="eastAsia"/>
                <w:snapToGrid w:val="0"/>
              </w:rPr>
              <w:t>甲醇</w:t>
            </w:r>
          </w:p>
        </w:tc>
        <w:tc>
          <w:tcPr>
            <w:tcW w:w="1289" w:type="dxa"/>
            <w:shd w:val="clear" w:color="auto" w:fill="auto"/>
            <w:vAlign w:val="center"/>
          </w:tcPr>
          <w:p>
            <w:pPr>
              <w:pStyle w:val="97"/>
              <w:rPr>
                <w:snapToGrid w:val="0"/>
              </w:rPr>
            </w:pPr>
            <w:r>
              <w:rPr>
                <w:rFonts w:hint="eastAsia"/>
                <w:snapToGrid w:val="0"/>
              </w:rPr>
              <w:t>30.55</w:t>
            </w:r>
          </w:p>
        </w:tc>
        <w:tc>
          <w:tcPr>
            <w:tcW w:w="1164" w:type="dxa"/>
            <w:vAlign w:val="center"/>
          </w:tcPr>
          <w:p>
            <w:pPr>
              <w:pStyle w:val="97"/>
              <w:rPr>
                <w:snapToGrid w:val="0"/>
              </w:rPr>
            </w:pPr>
            <w:r>
              <w:rPr>
                <w:rFonts w:hint="eastAsia"/>
                <w:snapToGrid w:val="0"/>
              </w:rPr>
              <w:t>0.063</w:t>
            </w:r>
          </w:p>
        </w:tc>
        <w:tc>
          <w:tcPr>
            <w:tcW w:w="1164" w:type="dxa"/>
            <w:vAlign w:val="center"/>
          </w:tcPr>
          <w:p>
            <w:pPr>
              <w:pStyle w:val="97"/>
              <w:rPr>
                <w:snapToGrid w:val="0"/>
              </w:rPr>
            </w:pPr>
            <w:r>
              <w:rPr>
                <w:snapToGrid w:val="0"/>
              </w:rPr>
              <w:t>0.5</w:t>
            </w:r>
          </w:p>
        </w:tc>
        <w:tc>
          <w:tcPr>
            <w:tcW w:w="1164" w:type="dxa"/>
            <w:vAlign w:val="center"/>
          </w:tcPr>
          <w:p>
            <w:pPr>
              <w:pStyle w:val="97"/>
              <w:rPr>
                <w:snapToGrid w:val="0"/>
              </w:rPr>
            </w:pPr>
            <w:r>
              <w:rPr>
                <w:snapToGrid w:val="0"/>
              </w:rPr>
              <w:t>1</w:t>
            </w:r>
          </w:p>
        </w:tc>
        <w:tc>
          <w:tcPr>
            <w:tcW w:w="1163" w:type="dxa"/>
            <w:vMerge w:val="continue"/>
            <w:vAlign w:val="center"/>
          </w:tcPr>
          <w:p>
            <w:pPr>
              <w:pStyle w:val="97"/>
              <w:rPr>
                <w:snapToGrid w:val="0"/>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rFonts w:hint="eastAsia"/>
                <w:snapToGrid w:val="0"/>
              </w:rPr>
              <w:t>4</w:t>
            </w:r>
          </w:p>
        </w:tc>
        <w:tc>
          <w:tcPr>
            <w:tcW w:w="720" w:type="dxa"/>
            <w:vMerge w:val="restart"/>
            <w:vAlign w:val="center"/>
          </w:tcPr>
          <w:p>
            <w:pPr>
              <w:pStyle w:val="97"/>
            </w:pPr>
            <w:r>
              <w:rPr>
                <w:rFonts w:hint="eastAsia"/>
              </w:rPr>
              <w:t>P6</w:t>
            </w:r>
          </w:p>
        </w:tc>
        <w:tc>
          <w:tcPr>
            <w:tcW w:w="908" w:type="dxa"/>
            <w:vMerge w:val="continue"/>
            <w:vAlign w:val="center"/>
          </w:tcPr>
          <w:p>
            <w:pPr>
              <w:pStyle w:val="97"/>
              <w:rPr>
                <w:highlight w:val="yellow"/>
              </w:rPr>
            </w:pPr>
          </w:p>
        </w:tc>
        <w:tc>
          <w:tcPr>
            <w:tcW w:w="1020" w:type="dxa"/>
            <w:shd w:val="clear" w:color="auto" w:fill="auto"/>
            <w:vAlign w:val="center"/>
          </w:tcPr>
          <w:p>
            <w:pPr>
              <w:pStyle w:val="97"/>
            </w:pPr>
            <w:r>
              <w:rPr>
                <w:rFonts w:hint="eastAsia"/>
              </w:rPr>
              <w:t>颗粒物</w:t>
            </w:r>
          </w:p>
        </w:tc>
        <w:tc>
          <w:tcPr>
            <w:tcW w:w="1289" w:type="dxa"/>
            <w:shd w:val="clear" w:color="auto" w:fill="auto"/>
            <w:vAlign w:val="center"/>
          </w:tcPr>
          <w:p>
            <w:pPr>
              <w:pStyle w:val="97"/>
            </w:pPr>
            <w:r>
              <w:rPr>
                <w:rFonts w:hint="eastAsia"/>
              </w:rPr>
              <w:t>8.81</w:t>
            </w:r>
          </w:p>
        </w:tc>
        <w:tc>
          <w:tcPr>
            <w:tcW w:w="1164" w:type="dxa"/>
            <w:vAlign w:val="center"/>
          </w:tcPr>
          <w:p>
            <w:pPr>
              <w:pStyle w:val="97"/>
            </w:pPr>
            <w:r>
              <w:rPr>
                <w:rFonts w:hint="eastAsia"/>
              </w:rPr>
              <w:t>0.036</w:t>
            </w:r>
          </w:p>
        </w:tc>
        <w:tc>
          <w:tcPr>
            <w:tcW w:w="1164" w:type="dxa"/>
            <w:vAlign w:val="center"/>
          </w:tcPr>
          <w:p>
            <w:pPr>
              <w:pStyle w:val="97"/>
              <w:rPr>
                <w:snapToGrid w:val="0"/>
              </w:rPr>
            </w:pPr>
            <w:r>
              <w:rPr>
                <w:snapToGrid w:val="0"/>
              </w:rPr>
              <w:t>0.5</w:t>
            </w:r>
          </w:p>
        </w:tc>
        <w:tc>
          <w:tcPr>
            <w:tcW w:w="1164" w:type="dxa"/>
            <w:vAlign w:val="center"/>
          </w:tcPr>
          <w:p>
            <w:pPr>
              <w:pStyle w:val="97"/>
              <w:rPr>
                <w:snapToGrid w:val="0"/>
              </w:rPr>
            </w:pPr>
            <w:r>
              <w:rPr>
                <w:snapToGrid w:val="0"/>
              </w:rPr>
              <w:t>1</w:t>
            </w:r>
          </w:p>
        </w:tc>
        <w:tc>
          <w:tcPr>
            <w:tcW w:w="1163" w:type="dxa"/>
            <w:vMerge w:val="continue"/>
            <w:vAlign w:val="center"/>
          </w:tcPr>
          <w:p>
            <w:pPr>
              <w:pStyle w:val="97"/>
              <w:rPr>
                <w:snapToGrid w:val="0"/>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rFonts w:hint="eastAsia"/>
                <w:snapToGrid w:val="0"/>
              </w:rPr>
              <w:t>5</w:t>
            </w:r>
          </w:p>
        </w:tc>
        <w:tc>
          <w:tcPr>
            <w:tcW w:w="720" w:type="dxa"/>
            <w:vMerge w:val="continue"/>
            <w:vAlign w:val="center"/>
          </w:tcPr>
          <w:p>
            <w:pPr>
              <w:pStyle w:val="97"/>
              <w:rPr>
                <w:highlight w:val="yellow"/>
              </w:rPr>
            </w:pPr>
          </w:p>
        </w:tc>
        <w:tc>
          <w:tcPr>
            <w:tcW w:w="908" w:type="dxa"/>
            <w:vMerge w:val="continue"/>
            <w:vAlign w:val="center"/>
          </w:tcPr>
          <w:p>
            <w:pPr>
              <w:pStyle w:val="97"/>
              <w:rPr>
                <w:highlight w:val="yellow"/>
              </w:rPr>
            </w:pPr>
          </w:p>
        </w:tc>
        <w:tc>
          <w:tcPr>
            <w:tcW w:w="1020" w:type="dxa"/>
            <w:shd w:val="clear" w:color="auto" w:fill="auto"/>
            <w:vAlign w:val="center"/>
          </w:tcPr>
          <w:p>
            <w:pPr>
              <w:pStyle w:val="97"/>
            </w:pPr>
            <w:r>
              <w:rPr>
                <w:rFonts w:hint="eastAsia"/>
              </w:rPr>
              <w:t>SO</w:t>
            </w:r>
            <w:r>
              <w:rPr>
                <w:rFonts w:hint="eastAsia"/>
                <w:vertAlign w:val="subscript"/>
              </w:rPr>
              <w:t>2</w:t>
            </w:r>
          </w:p>
        </w:tc>
        <w:tc>
          <w:tcPr>
            <w:tcW w:w="1289" w:type="dxa"/>
            <w:shd w:val="clear" w:color="auto" w:fill="auto"/>
            <w:vAlign w:val="center"/>
          </w:tcPr>
          <w:p>
            <w:pPr>
              <w:pStyle w:val="97"/>
            </w:pPr>
            <w:r>
              <w:rPr>
                <w:rFonts w:hint="eastAsia"/>
              </w:rPr>
              <w:t>7.34</w:t>
            </w:r>
          </w:p>
        </w:tc>
        <w:tc>
          <w:tcPr>
            <w:tcW w:w="1164" w:type="dxa"/>
            <w:vAlign w:val="center"/>
          </w:tcPr>
          <w:p>
            <w:pPr>
              <w:pStyle w:val="97"/>
            </w:pPr>
            <w:r>
              <w:rPr>
                <w:rFonts w:hint="eastAsia"/>
              </w:rPr>
              <w:t>0.03</w:t>
            </w:r>
          </w:p>
        </w:tc>
        <w:tc>
          <w:tcPr>
            <w:tcW w:w="1164" w:type="dxa"/>
            <w:vAlign w:val="center"/>
          </w:tcPr>
          <w:p>
            <w:pPr>
              <w:pStyle w:val="97"/>
              <w:rPr>
                <w:snapToGrid w:val="0"/>
              </w:rPr>
            </w:pPr>
            <w:r>
              <w:rPr>
                <w:snapToGrid w:val="0"/>
              </w:rPr>
              <w:t>0.5</w:t>
            </w:r>
          </w:p>
        </w:tc>
        <w:tc>
          <w:tcPr>
            <w:tcW w:w="1164" w:type="dxa"/>
            <w:vAlign w:val="center"/>
          </w:tcPr>
          <w:p>
            <w:pPr>
              <w:pStyle w:val="97"/>
              <w:rPr>
                <w:snapToGrid w:val="0"/>
              </w:rPr>
            </w:pPr>
            <w:r>
              <w:rPr>
                <w:snapToGrid w:val="0"/>
              </w:rPr>
              <w:t>1</w:t>
            </w:r>
          </w:p>
        </w:tc>
        <w:tc>
          <w:tcPr>
            <w:tcW w:w="1163" w:type="dxa"/>
            <w:vMerge w:val="continue"/>
            <w:vAlign w:val="center"/>
          </w:tcPr>
          <w:p>
            <w:pPr>
              <w:pStyle w:val="97"/>
              <w:rPr>
                <w:snapToGrid w:val="0"/>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48" w:type="dxa"/>
            <w:shd w:val="clear" w:color="auto" w:fill="auto"/>
            <w:vAlign w:val="center"/>
          </w:tcPr>
          <w:p>
            <w:pPr>
              <w:pStyle w:val="97"/>
              <w:rPr>
                <w:snapToGrid w:val="0"/>
              </w:rPr>
            </w:pPr>
            <w:r>
              <w:rPr>
                <w:rFonts w:hint="eastAsia"/>
                <w:snapToGrid w:val="0"/>
              </w:rPr>
              <w:t>6</w:t>
            </w:r>
          </w:p>
        </w:tc>
        <w:tc>
          <w:tcPr>
            <w:tcW w:w="720" w:type="dxa"/>
            <w:vMerge w:val="continue"/>
            <w:vAlign w:val="center"/>
          </w:tcPr>
          <w:p>
            <w:pPr>
              <w:pStyle w:val="97"/>
              <w:rPr>
                <w:highlight w:val="yellow"/>
              </w:rPr>
            </w:pPr>
          </w:p>
        </w:tc>
        <w:tc>
          <w:tcPr>
            <w:tcW w:w="908" w:type="dxa"/>
            <w:vMerge w:val="continue"/>
            <w:vAlign w:val="center"/>
          </w:tcPr>
          <w:p>
            <w:pPr>
              <w:pStyle w:val="97"/>
              <w:rPr>
                <w:highlight w:val="yellow"/>
              </w:rPr>
            </w:pPr>
          </w:p>
        </w:tc>
        <w:tc>
          <w:tcPr>
            <w:tcW w:w="1020" w:type="dxa"/>
            <w:shd w:val="clear" w:color="auto" w:fill="auto"/>
            <w:vAlign w:val="center"/>
          </w:tcPr>
          <w:p>
            <w:pPr>
              <w:pStyle w:val="97"/>
            </w:pPr>
            <w:r>
              <w:rPr>
                <w:rFonts w:hint="eastAsia"/>
              </w:rPr>
              <w:t>NO</w:t>
            </w:r>
            <w:r>
              <w:rPr>
                <w:rFonts w:hint="eastAsia"/>
                <w:vertAlign w:val="subscript"/>
              </w:rPr>
              <w:t>X</w:t>
            </w:r>
          </w:p>
        </w:tc>
        <w:tc>
          <w:tcPr>
            <w:tcW w:w="1289" w:type="dxa"/>
            <w:shd w:val="clear" w:color="auto" w:fill="auto"/>
            <w:vAlign w:val="center"/>
          </w:tcPr>
          <w:p>
            <w:pPr>
              <w:pStyle w:val="97"/>
            </w:pPr>
            <w:r>
              <w:rPr>
                <w:rFonts w:hint="eastAsia"/>
              </w:rPr>
              <w:t>137.31</w:t>
            </w:r>
          </w:p>
        </w:tc>
        <w:tc>
          <w:tcPr>
            <w:tcW w:w="1164" w:type="dxa"/>
            <w:vAlign w:val="center"/>
          </w:tcPr>
          <w:p>
            <w:pPr>
              <w:pStyle w:val="97"/>
            </w:pPr>
            <w:r>
              <w:rPr>
                <w:rFonts w:hint="eastAsia"/>
              </w:rPr>
              <w:t>0.561</w:t>
            </w:r>
          </w:p>
        </w:tc>
        <w:tc>
          <w:tcPr>
            <w:tcW w:w="1164" w:type="dxa"/>
            <w:vAlign w:val="center"/>
          </w:tcPr>
          <w:p>
            <w:pPr>
              <w:pStyle w:val="97"/>
              <w:rPr>
                <w:snapToGrid w:val="0"/>
              </w:rPr>
            </w:pPr>
            <w:r>
              <w:rPr>
                <w:snapToGrid w:val="0"/>
              </w:rPr>
              <w:t>0.5</w:t>
            </w:r>
          </w:p>
        </w:tc>
        <w:tc>
          <w:tcPr>
            <w:tcW w:w="1164" w:type="dxa"/>
            <w:vAlign w:val="center"/>
          </w:tcPr>
          <w:p>
            <w:pPr>
              <w:pStyle w:val="97"/>
              <w:rPr>
                <w:snapToGrid w:val="0"/>
              </w:rPr>
            </w:pPr>
            <w:r>
              <w:rPr>
                <w:snapToGrid w:val="0"/>
              </w:rPr>
              <w:t>1</w:t>
            </w:r>
          </w:p>
        </w:tc>
        <w:tc>
          <w:tcPr>
            <w:tcW w:w="1163" w:type="dxa"/>
            <w:vMerge w:val="continue"/>
            <w:vAlign w:val="center"/>
          </w:tcPr>
          <w:p>
            <w:pPr>
              <w:pStyle w:val="97"/>
              <w:rPr>
                <w:snapToGrid w:val="0"/>
                <w:highlight w:val="yellow"/>
              </w:rPr>
            </w:pPr>
          </w:p>
        </w:tc>
      </w:tr>
    </w:tbl>
    <w:p>
      <w:pPr>
        <w:pStyle w:val="4"/>
      </w:pPr>
      <w:bookmarkStart w:id="125" w:name="_Toc488102174"/>
      <w:r>
        <w:rPr>
          <w:rFonts w:hint="eastAsia"/>
        </w:rPr>
        <w:t>地表水环境影响分析与评价</w:t>
      </w:r>
      <w:bookmarkEnd w:id="125"/>
    </w:p>
    <w:p>
      <w:pPr>
        <w:pStyle w:val="5"/>
      </w:pPr>
      <w:r>
        <w:rPr>
          <w:rFonts w:hint="eastAsia"/>
        </w:rPr>
        <w:t>废水</w:t>
      </w:r>
      <w:r>
        <w:t>排放去向</w:t>
      </w:r>
    </w:p>
    <w:p>
      <w:pPr>
        <w:ind w:firstLine="496"/>
        <w:rPr>
          <w:spacing w:val="4"/>
        </w:rPr>
      </w:pPr>
      <w:r>
        <w:rPr>
          <w:rFonts w:hint="eastAsia"/>
          <w:spacing w:val="4"/>
        </w:rPr>
        <w:t>营运期的废水主要为员工生活污水、</w:t>
      </w:r>
      <w:r>
        <w:t>锅炉排污水和软水制备系统</w:t>
      </w:r>
      <w:r>
        <w:rPr>
          <w:rFonts w:hint="eastAsia"/>
        </w:rPr>
        <w:t>的</w:t>
      </w:r>
      <w:r>
        <w:t>浓水</w:t>
      </w:r>
      <w:r>
        <w:rPr>
          <w:rFonts w:hint="eastAsia"/>
          <w:spacing w:val="4"/>
        </w:rPr>
        <w:t>。项目排水总量为6.97m</w:t>
      </w:r>
      <w:r>
        <w:rPr>
          <w:rFonts w:hint="eastAsia"/>
          <w:spacing w:val="4"/>
          <w:vertAlign w:val="superscript"/>
        </w:rPr>
        <w:t>3</w:t>
      </w:r>
      <w:r>
        <w:rPr>
          <w:rFonts w:hint="eastAsia"/>
          <w:spacing w:val="4"/>
        </w:rPr>
        <w:t>/d，</w:t>
      </w:r>
      <w:r>
        <w:rPr>
          <w:spacing w:val="4"/>
        </w:rPr>
        <w:t>1254.6</w:t>
      </w:r>
      <w:r>
        <w:rPr>
          <w:rFonts w:hint="eastAsia"/>
          <w:spacing w:val="4"/>
        </w:rPr>
        <w:t>m</w:t>
      </w:r>
      <w:r>
        <w:rPr>
          <w:rFonts w:hint="eastAsia"/>
          <w:spacing w:val="4"/>
          <w:vertAlign w:val="superscript"/>
        </w:rPr>
        <w:t>3</w:t>
      </w:r>
      <w:r>
        <w:rPr>
          <w:rFonts w:hint="eastAsia"/>
          <w:spacing w:val="4"/>
        </w:rPr>
        <w:t>/a，其中生活污水0.89m</w:t>
      </w:r>
      <w:r>
        <w:rPr>
          <w:rFonts w:hint="eastAsia"/>
          <w:spacing w:val="4"/>
          <w:vertAlign w:val="superscript"/>
        </w:rPr>
        <w:t>3</w:t>
      </w:r>
      <w:r>
        <w:rPr>
          <w:rFonts w:hint="eastAsia"/>
          <w:spacing w:val="4"/>
        </w:rPr>
        <w:t>/d，</w:t>
      </w:r>
      <w:r>
        <w:rPr>
          <w:spacing w:val="4"/>
        </w:rPr>
        <w:t>160.2</w:t>
      </w:r>
      <w:r>
        <w:rPr>
          <w:rFonts w:hint="eastAsia"/>
          <w:spacing w:val="4"/>
        </w:rPr>
        <w:t>m</w:t>
      </w:r>
      <w:r>
        <w:rPr>
          <w:rFonts w:hint="eastAsia"/>
          <w:spacing w:val="4"/>
          <w:vertAlign w:val="superscript"/>
        </w:rPr>
        <w:t>3</w:t>
      </w:r>
      <w:r>
        <w:rPr>
          <w:rFonts w:hint="eastAsia"/>
          <w:spacing w:val="4"/>
        </w:rPr>
        <w:t>/a，经化粪池处理后排入吕河镇污水处理厂处理。锅炉排污水和软水制备系统浓水排放为6.08m</w:t>
      </w:r>
      <w:r>
        <w:rPr>
          <w:rFonts w:hint="eastAsia"/>
          <w:spacing w:val="4"/>
          <w:vertAlign w:val="superscript"/>
        </w:rPr>
        <w:t>3</w:t>
      </w:r>
      <w:r>
        <w:rPr>
          <w:rFonts w:hint="eastAsia"/>
          <w:spacing w:val="4"/>
        </w:rPr>
        <w:t>/d，1</w:t>
      </w:r>
      <w:r>
        <w:rPr>
          <w:spacing w:val="4"/>
        </w:rPr>
        <w:t>094.4</w:t>
      </w:r>
      <w:r>
        <w:rPr>
          <w:rFonts w:hint="eastAsia"/>
          <w:spacing w:val="4"/>
        </w:rPr>
        <w:t>m</w:t>
      </w:r>
      <w:r>
        <w:rPr>
          <w:rFonts w:hint="eastAsia"/>
          <w:spacing w:val="4"/>
          <w:vertAlign w:val="superscript"/>
        </w:rPr>
        <w:t>3</w:t>
      </w:r>
      <w:r>
        <w:rPr>
          <w:rFonts w:hint="eastAsia"/>
          <w:spacing w:val="4"/>
        </w:rPr>
        <w:t>/a，排入雨水管网。</w:t>
      </w:r>
    </w:p>
    <w:p>
      <w:pPr>
        <w:ind w:firstLine="496"/>
        <w:rPr>
          <w:spacing w:val="4"/>
        </w:rPr>
      </w:pPr>
      <w:r>
        <w:rPr>
          <w:rFonts w:hint="eastAsia"/>
          <w:spacing w:val="4"/>
        </w:rPr>
        <w:t>项目排放的废水满足《污水综合排放标准》（GB8978-1996）表4中三级标准及《污水排入城镇下水道水质标准》（GB/T 31962-2015）表1中B级标准。</w:t>
      </w:r>
    </w:p>
    <w:p>
      <w:pPr>
        <w:pStyle w:val="5"/>
      </w:pPr>
      <w:r>
        <w:rPr>
          <w:rFonts w:hint="eastAsia"/>
        </w:rPr>
        <w:t>项目</w:t>
      </w:r>
      <w:r>
        <w:t>废水污染物排放</w:t>
      </w:r>
      <w:r>
        <w:rPr>
          <w:rFonts w:hint="eastAsia"/>
        </w:rPr>
        <w:t>情况</w:t>
      </w:r>
    </w:p>
    <w:p>
      <w:pPr>
        <w:ind w:firstLine="496"/>
        <w:rPr>
          <w:spacing w:val="4"/>
        </w:rPr>
      </w:pPr>
      <w:r>
        <w:rPr>
          <w:rFonts w:hint="eastAsia"/>
          <w:spacing w:val="4"/>
        </w:rPr>
        <w:t>项目废水污染物排放情况见表</w:t>
      </w:r>
      <w:r>
        <w:rPr>
          <w:spacing w:val="4"/>
        </w:rPr>
        <w:t>5</w:t>
      </w:r>
      <w:r>
        <w:rPr>
          <w:rFonts w:hint="eastAsia"/>
          <w:spacing w:val="4"/>
        </w:rPr>
        <w:t>.2-11~表</w:t>
      </w:r>
      <w:r>
        <w:rPr>
          <w:spacing w:val="4"/>
        </w:rPr>
        <w:t>5</w:t>
      </w:r>
      <w:r>
        <w:rPr>
          <w:rFonts w:hint="eastAsia"/>
          <w:spacing w:val="4"/>
        </w:rPr>
        <w:t>.2-14。</w:t>
      </w:r>
    </w:p>
    <w:p>
      <w:pPr>
        <w:ind w:firstLine="496"/>
        <w:rPr>
          <w:spacing w:val="4"/>
          <w:highlight w:val="yellow"/>
        </w:rPr>
      </w:pPr>
    </w:p>
    <w:p>
      <w:pPr>
        <w:spacing w:line="240" w:lineRule="auto"/>
        <w:ind w:firstLine="0" w:firstLineChars="0"/>
        <w:jc w:val="center"/>
        <w:rPr>
          <w:rFonts w:hAnsi="宋体"/>
          <w:b/>
          <w:sz w:val="21"/>
          <w:szCs w:val="24"/>
        </w:rPr>
      </w:pPr>
      <w:r>
        <w:rPr>
          <w:b/>
          <w:sz w:val="21"/>
          <w:szCs w:val="24"/>
          <w:highlight w:val="yellow"/>
        </w:rPr>
        <w:br w:type="column"/>
      </w: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5.2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11</w:t>
      </w:r>
      <w:r>
        <w:rPr>
          <w:b/>
          <w:sz w:val="21"/>
          <w:szCs w:val="24"/>
        </w:rPr>
        <w:fldChar w:fldCharType="end"/>
      </w:r>
      <w:r>
        <w:rPr>
          <w:b/>
          <w:sz w:val="21"/>
          <w:szCs w:val="24"/>
        </w:rPr>
        <w:t xml:space="preserve">  </w:t>
      </w:r>
      <w:r>
        <w:rPr>
          <w:rFonts w:hAnsi="宋体"/>
          <w:b/>
          <w:sz w:val="21"/>
          <w:szCs w:val="24"/>
        </w:rPr>
        <w:t>废水类别、污染物及污染治理设施信息表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26"/>
        <w:gridCol w:w="520"/>
        <w:gridCol w:w="806"/>
        <w:gridCol w:w="724"/>
        <w:gridCol w:w="892"/>
        <w:gridCol w:w="812"/>
        <w:gridCol w:w="909"/>
        <w:gridCol w:w="1083"/>
        <w:gridCol w:w="826"/>
        <w:gridCol w:w="833"/>
        <w:gridCol w:w="13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序号</w:t>
            </w:r>
          </w:p>
        </w:tc>
        <w:tc>
          <w:tcPr>
            <w:tcW w:w="520"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废水类别</w:t>
            </w:r>
          </w:p>
        </w:tc>
        <w:tc>
          <w:tcPr>
            <w:tcW w:w="80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污染物种类</w:t>
            </w:r>
          </w:p>
        </w:tc>
        <w:tc>
          <w:tcPr>
            <w:tcW w:w="72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排放去向</w:t>
            </w:r>
          </w:p>
        </w:tc>
        <w:tc>
          <w:tcPr>
            <w:tcW w:w="892"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排放规律</w:t>
            </w:r>
          </w:p>
        </w:tc>
        <w:tc>
          <w:tcPr>
            <w:tcW w:w="2804" w:type="dxa"/>
            <w:gridSpan w:val="3"/>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污染防治设施</w:t>
            </w:r>
          </w:p>
        </w:tc>
        <w:tc>
          <w:tcPr>
            <w:tcW w:w="82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排放口</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编号</w:t>
            </w:r>
          </w:p>
        </w:tc>
        <w:tc>
          <w:tcPr>
            <w:tcW w:w="833"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排放口设置是否符合要求</w:t>
            </w:r>
          </w:p>
        </w:tc>
        <w:tc>
          <w:tcPr>
            <w:tcW w:w="1309"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520"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0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2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92"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12"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污染设施施编号</w:t>
            </w:r>
          </w:p>
        </w:tc>
        <w:tc>
          <w:tcPr>
            <w:tcW w:w="909"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污染治理设施名称</w:t>
            </w:r>
          </w:p>
        </w:tc>
        <w:tc>
          <w:tcPr>
            <w:tcW w:w="1083"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污染治理设施工艺</w:t>
            </w:r>
          </w:p>
        </w:tc>
        <w:tc>
          <w:tcPr>
            <w:tcW w:w="82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3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309" w:type="dxa"/>
            <w:vMerge w:val="continue"/>
            <w:vAlign w:val="center"/>
          </w:tcPr>
          <w:p>
            <w:pPr>
              <w:tabs>
                <w:tab w:val="left" w:pos="2340"/>
              </w:tabs>
              <w:adjustRightInd/>
              <w:spacing w:line="240" w:lineRule="auto"/>
              <w:ind w:firstLine="0" w:firstLineChars="0"/>
              <w:jc w:val="center"/>
              <w:rPr>
                <w:rFonts w:hAnsi="宋体"/>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w:t>
            </w:r>
          </w:p>
        </w:tc>
        <w:tc>
          <w:tcPr>
            <w:tcW w:w="520"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生活</w:t>
            </w:r>
            <w:r>
              <w:rPr>
                <w:rFonts w:hAnsi="宋体"/>
                <w:kern w:val="0"/>
                <w:sz w:val="21"/>
                <w:szCs w:val="20"/>
              </w:rPr>
              <w:t>废水</w:t>
            </w:r>
          </w:p>
        </w:tc>
        <w:tc>
          <w:tcPr>
            <w:tcW w:w="80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COD、</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BOD、</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氨氮、</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 xml:space="preserve">SS </w:t>
            </w:r>
          </w:p>
        </w:tc>
        <w:tc>
          <w:tcPr>
            <w:tcW w:w="724"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进入</w:t>
            </w:r>
            <w:r>
              <w:rPr>
                <w:rFonts w:hint="eastAsia" w:hAnsi="宋体"/>
                <w:kern w:val="0"/>
                <w:sz w:val="21"/>
                <w:szCs w:val="20"/>
              </w:rPr>
              <w:t>吕河镇污水处理厂</w:t>
            </w:r>
          </w:p>
        </w:tc>
        <w:tc>
          <w:tcPr>
            <w:tcW w:w="892"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间断排放</w:t>
            </w:r>
            <w:r>
              <w:rPr>
                <w:rFonts w:hint="eastAsia" w:hAnsi="宋体"/>
                <w:kern w:val="0"/>
                <w:sz w:val="21"/>
                <w:szCs w:val="20"/>
              </w:rPr>
              <w:t>，</w:t>
            </w:r>
            <w:r>
              <w:rPr>
                <w:rFonts w:hAnsi="宋体"/>
                <w:kern w:val="0"/>
                <w:sz w:val="21"/>
                <w:szCs w:val="20"/>
              </w:rPr>
              <w:t>排放期间流量不稳定且无规律，但不属于冲击型排放</w:t>
            </w:r>
          </w:p>
        </w:tc>
        <w:tc>
          <w:tcPr>
            <w:tcW w:w="812"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TW001</w:t>
            </w:r>
          </w:p>
        </w:tc>
        <w:tc>
          <w:tcPr>
            <w:tcW w:w="909"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化</w:t>
            </w:r>
          </w:p>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粪池</w:t>
            </w:r>
          </w:p>
        </w:tc>
        <w:tc>
          <w:tcPr>
            <w:tcW w:w="1083"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沉淀</w:t>
            </w:r>
          </w:p>
        </w:tc>
        <w:tc>
          <w:tcPr>
            <w:tcW w:w="82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DW001</w:t>
            </w:r>
          </w:p>
        </w:tc>
        <w:tc>
          <w:tcPr>
            <w:tcW w:w="833" w:type="dxa"/>
            <w:vAlign w:val="center"/>
          </w:tcPr>
          <w:p>
            <w:pPr>
              <w:tabs>
                <w:tab w:val="left" w:pos="2340"/>
              </w:tabs>
              <w:adjustRightInd/>
              <w:spacing w:line="240" w:lineRule="auto"/>
              <w:ind w:firstLine="0" w:firstLineChars="0"/>
              <w:jc w:val="center"/>
              <w:rPr>
                <w:rFonts w:hAnsi="宋体"/>
                <w:kern w:val="0"/>
                <w:sz w:val="21"/>
                <w:szCs w:val="20"/>
              </w:rPr>
            </w:pPr>
            <w:r>
              <w:rPr>
                <w:rFonts w:ascii="Segoe UI Symbol" w:hAnsi="Segoe UI Symbol" w:cs="Segoe UI Symbol"/>
                <w:kern w:val="0"/>
                <w:sz w:val="21"/>
                <w:szCs w:val="20"/>
              </w:rPr>
              <w:t>☑</w:t>
            </w:r>
            <w:r>
              <w:rPr>
                <w:rFonts w:hAnsi="宋体"/>
                <w:kern w:val="0"/>
                <w:sz w:val="21"/>
                <w:szCs w:val="20"/>
              </w:rPr>
              <w:t>是</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□否</w:t>
            </w:r>
          </w:p>
        </w:tc>
        <w:tc>
          <w:tcPr>
            <w:tcW w:w="1309" w:type="dxa"/>
            <w:vAlign w:val="center"/>
          </w:tcPr>
          <w:p>
            <w:pPr>
              <w:tabs>
                <w:tab w:val="left" w:pos="2340"/>
              </w:tabs>
              <w:adjustRightInd/>
              <w:spacing w:line="240" w:lineRule="auto"/>
              <w:ind w:firstLine="0" w:firstLineChars="0"/>
              <w:jc w:val="center"/>
              <w:rPr>
                <w:rFonts w:hAnsi="宋体"/>
                <w:kern w:val="0"/>
                <w:sz w:val="21"/>
                <w:szCs w:val="20"/>
              </w:rPr>
            </w:pPr>
            <w:r>
              <w:rPr>
                <w:rFonts w:ascii="Segoe UI Symbol" w:hAnsi="Segoe UI Symbol" w:cs="Segoe UI Symbol"/>
                <w:kern w:val="0"/>
                <w:sz w:val="21"/>
                <w:szCs w:val="20"/>
              </w:rPr>
              <w:t>☑</w:t>
            </w:r>
            <w:r>
              <w:rPr>
                <w:rFonts w:hAnsi="宋体"/>
                <w:kern w:val="0"/>
                <w:sz w:val="21"/>
                <w:szCs w:val="20"/>
              </w:rPr>
              <w:t>企业总排</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□雨水排放</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□清净下水排放</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□温排水排放</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□车间或车间处理设施排放口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2</w:t>
            </w:r>
          </w:p>
        </w:tc>
        <w:tc>
          <w:tcPr>
            <w:tcW w:w="520"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锅炉</w:t>
            </w:r>
            <w:r>
              <w:rPr>
                <w:rFonts w:hAnsi="宋体"/>
                <w:kern w:val="0"/>
                <w:sz w:val="21"/>
                <w:szCs w:val="20"/>
              </w:rPr>
              <w:t>排污、浓水</w:t>
            </w:r>
          </w:p>
        </w:tc>
        <w:tc>
          <w:tcPr>
            <w:tcW w:w="80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SS</w:t>
            </w:r>
            <w:r>
              <w:rPr>
                <w:rFonts w:hAnsi="宋体"/>
                <w:kern w:val="0"/>
                <w:sz w:val="21"/>
                <w:szCs w:val="20"/>
              </w:rPr>
              <w:t>、</w:t>
            </w:r>
            <w:r>
              <w:rPr>
                <w:rFonts w:hint="eastAsia" w:hAnsi="宋体"/>
                <w:kern w:val="0"/>
                <w:sz w:val="21"/>
                <w:szCs w:val="20"/>
              </w:rPr>
              <w:t>总</w:t>
            </w:r>
            <w:r>
              <w:rPr>
                <w:rFonts w:hAnsi="宋体"/>
                <w:kern w:val="0"/>
                <w:sz w:val="21"/>
                <w:szCs w:val="20"/>
              </w:rPr>
              <w:t>盐量</w:t>
            </w:r>
          </w:p>
        </w:tc>
        <w:tc>
          <w:tcPr>
            <w:tcW w:w="724"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雨水</w:t>
            </w:r>
            <w:r>
              <w:rPr>
                <w:rFonts w:hAnsi="宋体"/>
                <w:kern w:val="0"/>
                <w:sz w:val="21"/>
                <w:szCs w:val="20"/>
              </w:rPr>
              <w:t>管网</w:t>
            </w:r>
          </w:p>
        </w:tc>
        <w:tc>
          <w:tcPr>
            <w:tcW w:w="892"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间断</w:t>
            </w:r>
            <w:r>
              <w:rPr>
                <w:rFonts w:hAnsi="宋体"/>
                <w:kern w:val="0"/>
                <w:sz w:val="21"/>
                <w:szCs w:val="20"/>
              </w:rPr>
              <w:t>排放</w:t>
            </w:r>
          </w:p>
        </w:tc>
        <w:tc>
          <w:tcPr>
            <w:tcW w:w="812"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w:t>
            </w:r>
          </w:p>
        </w:tc>
        <w:tc>
          <w:tcPr>
            <w:tcW w:w="909"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w:t>
            </w:r>
          </w:p>
        </w:tc>
        <w:tc>
          <w:tcPr>
            <w:tcW w:w="1083"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w:t>
            </w:r>
          </w:p>
        </w:tc>
        <w:tc>
          <w:tcPr>
            <w:tcW w:w="82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DW0002</w:t>
            </w:r>
          </w:p>
        </w:tc>
        <w:tc>
          <w:tcPr>
            <w:tcW w:w="833" w:type="dxa"/>
            <w:vAlign w:val="center"/>
          </w:tcPr>
          <w:p>
            <w:pPr>
              <w:tabs>
                <w:tab w:val="left" w:pos="2340"/>
              </w:tabs>
              <w:adjustRightInd/>
              <w:spacing w:line="240" w:lineRule="auto"/>
              <w:ind w:firstLine="0" w:firstLineChars="0"/>
              <w:jc w:val="center"/>
              <w:rPr>
                <w:rFonts w:hAnsi="宋体"/>
                <w:kern w:val="0"/>
                <w:sz w:val="21"/>
                <w:szCs w:val="20"/>
              </w:rPr>
            </w:pPr>
            <w:r>
              <w:rPr>
                <w:rFonts w:ascii="Segoe UI Symbol" w:hAnsi="Segoe UI Symbol" w:cs="Segoe UI Symbol"/>
                <w:kern w:val="0"/>
                <w:sz w:val="21"/>
                <w:szCs w:val="20"/>
              </w:rPr>
              <w:t>☑</w:t>
            </w:r>
            <w:r>
              <w:rPr>
                <w:rFonts w:hAnsi="宋体"/>
                <w:kern w:val="0"/>
                <w:sz w:val="21"/>
                <w:szCs w:val="20"/>
              </w:rPr>
              <w:t>是</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□否</w:t>
            </w:r>
          </w:p>
        </w:tc>
        <w:tc>
          <w:tcPr>
            <w:tcW w:w="1309"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□企业总排</w:t>
            </w:r>
          </w:p>
          <w:p>
            <w:pPr>
              <w:tabs>
                <w:tab w:val="left" w:pos="2340"/>
              </w:tabs>
              <w:adjustRightInd/>
              <w:spacing w:line="240" w:lineRule="auto"/>
              <w:ind w:firstLine="0" w:firstLineChars="0"/>
              <w:jc w:val="center"/>
              <w:rPr>
                <w:rFonts w:hAnsi="宋体"/>
                <w:kern w:val="0"/>
                <w:sz w:val="21"/>
                <w:szCs w:val="20"/>
              </w:rPr>
            </w:pPr>
            <w:r>
              <w:rPr>
                <w:rFonts w:ascii="Segoe UI Symbol" w:hAnsi="Segoe UI Symbol" w:cs="Segoe UI Symbol"/>
                <w:kern w:val="0"/>
                <w:sz w:val="21"/>
                <w:szCs w:val="20"/>
              </w:rPr>
              <w:t>☑</w:t>
            </w:r>
            <w:r>
              <w:rPr>
                <w:rFonts w:hAnsi="宋体"/>
                <w:kern w:val="0"/>
                <w:sz w:val="21"/>
                <w:szCs w:val="20"/>
              </w:rPr>
              <w:t>雨水排放</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□清净下水排放</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□温排水排放</w:t>
            </w:r>
          </w:p>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□车间或车间处理设施排放口</w:t>
            </w:r>
          </w:p>
        </w:tc>
      </w:tr>
    </w:tbl>
    <w:p>
      <w:pPr>
        <w:spacing w:line="240" w:lineRule="auto"/>
        <w:ind w:firstLine="0" w:firstLineChars="0"/>
        <w:jc w:val="center"/>
        <w:rPr>
          <w:rFonts w:hAnsi="宋体"/>
          <w:b/>
          <w:sz w:val="21"/>
          <w:szCs w:val="24"/>
        </w:rPr>
      </w:pPr>
    </w:p>
    <w:p>
      <w:pPr>
        <w:spacing w:line="240" w:lineRule="auto"/>
        <w:ind w:firstLine="0" w:firstLineChars="0"/>
        <w:jc w:val="center"/>
        <w:rPr>
          <w:rFonts w:hAnsi="宋体"/>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5.2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12</w:t>
      </w:r>
      <w:r>
        <w:rPr>
          <w:b/>
          <w:sz w:val="21"/>
          <w:szCs w:val="24"/>
        </w:rPr>
        <w:fldChar w:fldCharType="end"/>
      </w:r>
      <w:r>
        <w:rPr>
          <w:rFonts w:hAnsi="宋体"/>
          <w:b/>
          <w:sz w:val="21"/>
          <w:szCs w:val="24"/>
        </w:rPr>
        <w:t xml:space="preserve">  废水间接排放口基本情况表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24"/>
        <w:gridCol w:w="633"/>
        <w:gridCol w:w="884"/>
        <w:gridCol w:w="776"/>
        <w:gridCol w:w="929"/>
        <w:gridCol w:w="1083"/>
        <w:gridCol w:w="620"/>
        <w:gridCol w:w="774"/>
        <w:gridCol w:w="826"/>
        <w:gridCol w:w="790"/>
        <w:gridCol w:w="1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序号</w:t>
            </w:r>
          </w:p>
        </w:tc>
        <w:tc>
          <w:tcPr>
            <w:tcW w:w="633"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排放口编号</w:t>
            </w:r>
          </w:p>
        </w:tc>
        <w:tc>
          <w:tcPr>
            <w:tcW w:w="1660" w:type="dxa"/>
            <w:gridSpan w:val="2"/>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排放口地理坐标</w:t>
            </w:r>
          </w:p>
        </w:tc>
        <w:tc>
          <w:tcPr>
            <w:tcW w:w="929"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废水排放量（</w:t>
            </w:r>
            <w:r>
              <w:rPr>
                <w:rFonts w:hint="eastAsia" w:hAnsi="宋体"/>
                <w:kern w:val="0"/>
                <w:sz w:val="21"/>
                <w:szCs w:val="20"/>
              </w:rPr>
              <w:t>万</w:t>
            </w:r>
            <w:r>
              <w:rPr>
                <w:rFonts w:hAnsi="宋体"/>
                <w:kern w:val="0"/>
                <w:sz w:val="21"/>
                <w:szCs w:val="20"/>
              </w:rPr>
              <w:t>t/a）</w:t>
            </w:r>
          </w:p>
        </w:tc>
        <w:tc>
          <w:tcPr>
            <w:tcW w:w="1083"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排放去向</w:t>
            </w:r>
          </w:p>
        </w:tc>
        <w:tc>
          <w:tcPr>
            <w:tcW w:w="620"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排放规律</w:t>
            </w:r>
          </w:p>
        </w:tc>
        <w:tc>
          <w:tcPr>
            <w:tcW w:w="77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间歇排放时段</w:t>
            </w:r>
          </w:p>
        </w:tc>
        <w:tc>
          <w:tcPr>
            <w:tcW w:w="3017" w:type="dxa"/>
            <w:gridSpan w:val="3"/>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3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84"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经度</w:t>
            </w:r>
          </w:p>
        </w:tc>
        <w:tc>
          <w:tcPr>
            <w:tcW w:w="77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纬度</w:t>
            </w:r>
          </w:p>
        </w:tc>
        <w:tc>
          <w:tcPr>
            <w:tcW w:w="92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08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20"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2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名称</w:t>
            </w:r>
          </w:p>
        </w:tc>
        <w:tc>
          <w:tcPr>
            <w:tcW w:w="790"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污染物种类</w:t>
            </w:r>
          </w:p>
        </w:tc>
        <w:tc>
          <w:tcPr>
            <w:tcW w:w="140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国家或地方污染物排放标准浓度限值（mg/L）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w:t>
            </w:r>
          </w:p>
        </w:tc>
        <w:tc>
          <w:tcPr>
            <w:tcW w:w="633"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DW001</w:t>
            </w:r>
          </w:p>
        </w:tc>
        <w:tc>
          <w:tcPr>
            <w:tcW w:w="88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109°21′59.434″</w:t>
            </w:r>
            <w:r>
              <w:rPr>
                <w:rFonts w:hAnsi="宋体"/>
                <w:kern w:val="0"/>
                <w:sz w:val="21"/>
                <w:szCs w:val="20"/>
              </w:rPr>
              <w:t xml:space="preserve"> </w:t>
            </w:r>
          </w:p>
        </w:tc>
        <w:tc>
          <w:tcPr>
            <w:tcW w:w="77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32°46′16.543″</w:t>
            </w:r>
          </w:p>
        </w:tc>
        <w:tc>
          <w:tcPr>
            <w:tcW w:w="929"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0.0160</w:t>
            </w:r>
          </w:p>
        </w:tc>
        <w:tc>
          <w:tcPr>
            <w:tcW w:w="1083"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进入</w:t>
            </w:r>
            <w:r>
              <w:rPr>
                <w:rFonts w:hint="eastAsia" w:hAnsi="宋体"/>
                <w:kern w:val="0"/>
                <w:sz w:val="21"/>
                <w:szCs w:val="20"/>
              </w:rPr>
              <w:t>吕河镇污水处理厂</w:t>
            </w:r>
          </w:p>
        </w:tc>
        <w:tc>
          <w:tcPr>
            <w:tcW w:w="620"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间断排放</w:t>
            </w:r>
          </w:p>
        </w:tc>
        <w:tc>
          <w:tcPr>
            <w:tcW w:w="77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8:00~18:00</w:t>
            </w:r>
          </w:p>
        </w:tc>
        <w:tc>
          <w:tcPr>
            <w:tcW w:w="82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吕河镇污水处理厂</w:t>
            </w:r>
          </w:p>
        </w:tc>
        <w:tc>
          <w:tcPr>
            <w:tcW w:w="790"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pH</w:t>
            </w:r>
          </w:p>
        </w:tc>
        <w:tc>
          <w:tcPr>
            <w:tcW w:w="140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6.0~9.0（无量纲）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3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8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92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08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20"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2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90"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COD</w:t>
            </w:r>
            <w:r>
              <w:rPr>
                <w:rFonts w:hAnsi="宋体"/>
                <w:kern w:val="0"/>
                <w:sz w:val="21"/>
                <w:szCs w:val="20"/>
                <w:vertAlign w:val="subscript"/>
              </w:rPr>
              <w:t>Cr</w:t>
            </w:r>
          </w:p>
        </w:tc>
        <w:tc>
          <w:tcPr>
            <w:tcW w:w="140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3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8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92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08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20"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2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90"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BOD</w:t>
            </w:r>
            <w:r>
              <w:rPr>
                <w:rFonts w:hAnsi="宋体"/>
                <w:kern w:val="0"/>
                <w:sz w:val="21"/>
                <w:szCs w:val="20"/>
                <w:vertAlign w:val="subscript"/>
              </w:rPr>
              <w:t>5</w:t>
            </w:r>
          </w:p>
        </w:tc>
        <w:tc>
          <w:tcPr>
            <w:tcW w:w="140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3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8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92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08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20"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2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90"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NH</w:t>
            </w:r>
            <w:r>
              <w:rPr>
                <w:rFonts w:hAnsi="宋体"/>
                <w:kern w:val="0"/>
                <w:sz w:val="21"/>
                <w:szCs w:val="20"/>
                <w:vertAlign w:val="subscript"/>
              </w:rPr>
              <w:t>3</w:t>
            </w:r>
            <w:r>
              <w:rPr>
                <w:rFonts w:hAnsi="宋体"/>
                <w:kern w:val="0"/>
                <w:sz w:val="21"/>
                <w:szCs w:val="20"/>
              </w:rPr>
              <w:t>-N</w:t>
            </w:r>
          </w:p>
        </w:tc>
        <w:tc>
          <w:tcPr>
            <w:tcW w:w="140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32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3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8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92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083"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620"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7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82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790"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SS</w:t>
            </w:r>
          </w:p>
        </w:tc>
        <w:tc>
          <w:tcPr>
            <w:tcW w:w="140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10</w:t>
            </w:r>
          </w:p>
        </w:tc>
      </w:tr>
    </w:tbl>
    <w:p>
      <w:pPr>
        <w:spacing w:line="240" w:lineRule="auto"/>
        <w:ind w:firstLine="0" w:firstLineChars="0"/>
        <w:jc w:val="center"/>
        <w:rPr>
          <w:rFonts w:hAnsi="宋体"/>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5.2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13</w:t>
      </w:r>
      <w:r>
        <w:rPr>
          <w:b/>
          <w:sz w:val="21"/>
          <w:szCs w:val="24"/>
        </w:rPr>
        <w:fldChar w:fldCharType="end"/>
      </w:r>
      <w:r>
        <w:rPr>
          <w:b/>
          <w:sz w:val="21"/>
          <w:szCs w:val="24"/>
        </w:rPr>
        <w:t xml:space="preserve"> </w:t>
      </w:r>
      <w:r>
        <w:rPr>
          <w:rFonts w:hAnsi="宋体"/>
          <w:b/>
          <w:sz w:val="21"/>
          <w:szCs w:val="24"/>
        </w:rPr>
        <w:t xml:space="preserve"> 废水污染物排放执行标准表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57"/>
        <w:gridCol w:w="1361"/>
        <w:gridCol w:w="1376"/>
        <w:gridCol w:w="2974"/>
        <w:gridCol w:w="2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1" w:hRule="atLeast"/>
          <w:jc w:val="center"/>
        </w:trPr>
        <w:tc>
          <w:tcPr>
            <w:tcW w:w="557" w:type="dxa"/>
            <w:vMerge w:val="restart"/>
            <w:vAlign w:val="center"/>
          </w:tcPr>
          <w:p>
            <w:pPr>
              <w:spacing w:line="240" w:lineRule="auto"/>
              <w:ind w:firstLine="0" w:firstLineChars="0"/>
              <w:jc w:val="center"/>
              <w:rPr>
                <w:sz w:val="21"/>
                <w:szCs w:val="21"/>
              </w:rPr>
            </w:pPr>
            <w:r>
              <w:rPr>
                <w:sz w:val="21"/>
                <w:szCs w:val="21"/>
              </w:rPr>
              <w:t>序号</w:t>
            </w:r>
          </w:p>
        </w:tc>
        <w:tc>
          <w:tcPr>
            <w:tcW w:w="1361" w:type="dxa"/>
            <w:vMerge w:val="restart"/>
            <w:vAlign w:val="center"/>
          </w:tcPr>
          <w:p>
            <w:pPr>
              <w:spacing w:line="240" w:lineRule="auto"/>
              <w:ind w:firstLine="0" w:firstLineChars="0"/>
              <w:jc w:val="center"/>
              <w:rPr>
                <w:sz w:val="21"/>
                <w:szCs w:val="21"/>
              </w:rPr>
            </w:pPr>
            <w:r>
              <w:rPr>
                <w:sz w:val="21"/>
                <w:szCs w:val="21"/>
              </w:rPr>
              <w:t>排放口编号</w:t>
            </w:r>
          </w:p>
        </w:tc>
        <w:tc>
          <w:tcPr>
            <w:tcW w:w="1376" w:type="dxa"/>
            <w:vMerge w:val="restart"/>
            <w:vAlign w:val="center"/>
          </w:tcPr>
          <w:p>
            <w:pPr>
              <w:spacing w:line="240" w:lineRule="auto"/>
              <w:ind w:firstLine="0" w:firstLineChars="0"/>
              <w:jc w:val="center"/>
              <w:rPr>
                <w:sz w:val="21"/>
                <w:szCs w:val="21"/>
              </w:rPr>
            </w:pPr>
            <w:r>
              <w:rPr>
                <w:sz w:val="21"/>
                <w:szCs w:val="21"/>
              </w:rPr>
              <w:t>污染物种类</w:t>
            </w:r>
          </w:p>
        </w:tc>
        <w:tc>
          <w:tcPr>
            <w:tcW w:w="5746" w:type="dxa"/>
            <w:gridSpan w:val="2"/>
            <w:vMerge w:val="restart"/>
            <w:vAlign w:val="center"/>
          </w:tcPr>
          <w:p>
            <w:pPr>
              <w:spacing w:line="240" w:lineRule="auto"/>
              <w:ind w:firstLine="0" w:firstLineChars="0"/>
              <w:jc w:val="center"/>
              <w:rPr>
                <w:sz w:val="21"/>
                <w:szCs w:val="21"/>
              </w:rPr>
            </w:pPr>
            <w:r>
              <w:rPr>
                <w:sz w:val="21"/>
                <w:szCs w:val="21"/>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41" w:hRule="atLeast"/>
          <w:jc w:val="center"/>
        </w:trPr>
        <w:tc>
          <w:tcPr>
            <w:tcW w:w="557" w:type="dxa"/>
            <w:vMerge w:val="continue"/>
            <w:vAlign w:val="center"/>
          </w:tcPr>
          <w:p>
            <w:pPr>
              <w:spacing w:line="240" w:lineRule="auto"/>
              <w:ind w:firstLine="0" w:firstLineChars="0"/>
              <w:jc w:val="center"/>
              <w:rPr>
                <w:sz w:val="21"/>
                <w:szCs w:val="21"/>
              </w:rPr>
            </w:pPr>
          </w:p>
        </w:tc>
        <w:tc>
          <w:tcPr>
            <w:tcW w:w="1361" w:type="dxa"/>
            <w:vMerge w:val="continue"/>
            <w:vAlign w:val="center"/>
          </w:tcPr>
          <w:p>
            <w:pPr>
              <w:spacing w:line="240" w:lineRule="auto"/>
              <w:ind w:firstLine="0" w:firstLineChars="0"/>
              <w:jc w:val="center"/>
              <w:rPr>
                <w:sz w:val="21"/>
                <w:szCs w:val="21"/>
              </w:rPr>
            </w:pPr>
          </w:p>
        </w:tc>
        <w:tc>
          <w:tcPr>
            <w:tcW w:w="1376" w:type="dxa"/>
            <w:vMerge w:val="continue"/>
            <w:vAlign w:val="center"/>
          </w:tcPr>
          <w:p>
            <w:pPr>
              <w:spacing w:line="240" w:lineRule="auto"/>
              <w:ind w:firstLine="0" w:firstLineChars="0"/>
              <w:jc w:val="center"/>
              <w:rPr>
                <w:sz w:val="21"/>
                <w:szCs w:val="21"/>
              </w:rPr>
            </w:pPr>
          </w:p>
        </w:tc>
        <w:tc>
          <w:tcPr>
            <w:tcW w:w="5746" w:type="dxa"/>
            <w:gridSpan w:val="2"/>
            <w:vMerge w:val="continue"/>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Merge w:val="continue"/>
            <w:vAlign w:val="center"/>
          </w:tcPr>
          <w:p>
            <w:pPr>
              <w:spacing w:line="240" w:lineRule="auto"/>
              <w:ind w:firstLine="0" w:firstLineChars="0"/>
              <w:jc w:val="center"/>
              <w:rPr>
                <w:sz w:val="21"/>
                <w:szCs w:val="21"/>
              </w:rPr>
            </w:pPr>
          </w:p>
        </w:tc>
        <w:tc>
          <w:tcPr>
            <w:tcW w:w="1361" w:type="dxa"/>
            <w:vMerge w:val="continue"/>
            <w:vAlign w:val="center"/>
          </w:tcPr>
          <w:p>
            <w:pPr>
              <w:spacing w:line="240" w:lineRule="auto"/>
              <w:ind w:firstLine="0" w:firstLineChars="0"/>
              <w:jc w:val="center"/>
              <w:rPr>
                <w:sz w:val="21"/>
                <w:szCs w:val="21"/>
              </w:rPr>
            </w:pPr>
          </w:p>
        </w:tc>
        <w:tc>
          <w:tcPr>
            <w:tcW w:w="1376" w:type="dxa"/>
            <w:vMerge w:val="continue"/>
            <w:vAlign w:val="center"/>
          </w:tcPr>
          <w:p>
            <w:pPr>
              <w:spacing w:line="240" w:lineRule="auto"/>
              <w:ind w:firstLine="0" w:firstLineChars="0"/>
              <w:jc w:val="center"/>
              <w:rPr>
                <w:sz w:val="21"/>
                <w:szCs w:val="21"/>
              </w:rPr>
            </w:pPr>
          </w:p>
        </w:tc>
        <w:tc>
          <w:tcPr>
            <w:tcW w:w="2974" w:type="dxa"/>
            <w:vAlign w:val="center"/>
          </w:tcPr>
          <w:p>
            <w:pPr>
              <w:spacing w:line="240" w:lineRule="auto"/>
              <w:ind w:firstLine="0" w:firstLineChars="0"/>
              <w:jc w:val="center"/>
              <w:rPr>
                <w:sz w:val="21"/>
                <w:szCs w:val="21"/>
              </w:rPr>
            </w:pPr>
            <w:r>
              <w:rPr>
                <w:sz w:val="21"/>
                <w:szCs w:val="21"/>
              </w:rPr>
              <w:t>名称</w:t>
            </w:r>
          </w:p>
        </w:tc>
        <w:tc>
          <w:tcPr>
            <w:tcW w:w="2772" w:type="dxa"/>
            <w:vAlign w:val="center"/>
          </w:tcPr>
          <w:p>
            <w:pPr>
              <w:spacing w:line="240" w:lineRule="auto"/>
              <w:ind w:firstLine="0" w:firstLineChars="0"/>
              <w:jc w:val="center"/>
              <w:rPr>
                <w:sz w:val="21"/>
                <w:szCs w:val="21"/>
              </w:rPr>
            </w:pPr>
            <w:r>
              <w:rPr>
                <w:sz w:val="21"/>
                <w:szCs w:val="21"/>
              </w:rPr>
              <w:t>准浓度限值（mg/L）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Merge w:val="restart"/>
            <w:vAlign w:val="center"/>
          </w:tcPr>
          <w:p>
            <w:pPr>
              <w:spacing w:line="240" w:lineRule="auto"/>
              <w:ind w:firstLine="0" w:firstLineChars="0"/>
              <w:jc w:val="center"/>
              <w:rPr>
                <w:sz w:val="21"/>
                <w:szCs w:val="21"/>
              </w:rPr>
            </w:pPr>
            <w:r>
              <w:rPr>
                <w:sz w:val="21"/>
                <w:szCs w:val="21"/>
              </w:rPr>
              <w:t>1</w:t>
            </w:r>
          </w:p>
        </w:tc>
        <w:tc>
          <w:tcPr>
            <w:tcW w:w="1361" w:type="dxa"/>
            <w:vMerge w:val="restart"/>
            <w:vAlign w:val="center"/>
          </w:tcPr>
          <w:p>
            <w:pPr>
              <w:spacing w:line="240" w:lineRule="auto"/>
              <w:ind w:firstLine="0" w:firstLineChars="0"/>
              <w:jc w:val="center"/>
              <w:rPr>
                <w:sz w:val="21"/>
                <w:szCs w:val="21"/>
              </w:rPr>
            </w:pPr>
            <w:r>
              <w:rPr>
                <w:sz w:val="21"/>
                <w:szCs w:val="21"/>
              </w:rPr>
              <w:t>DW001</w:t>
            </w:r>
          </w:p>
        </w:tc>
        <w:tc>
          <w:tcPr>
            <w:tcW w:w="1376" w:type="dxa"/>
            <w:vAlign w:val="center"/>
          </w:tcPr>
          <w:p>
            <w:pPr>
              <w:spacing w:line="240" w:lineRule="auto"/>
              <w:ind w:firstLine="0" w:firstLineChars="0"/>
              <w:jc w:val="center"/>
              <w:rPr>
                <w:sz w:val="21"/>
                <w:szCs w:val="21"/>
              </w:rPr>
            </w:pPr>
            <w:r>
              <w:rPr>
                <w:sz w:val="21"/>
                <w:szCs w:val="21"/>
              </w:rPr>
              <w:t>pH</w:t>
            </w:r>
          </w:p>
        </w:tc>
        <w:tc>
          <w:tcPr>
            <w:tcW w:w="2974" w:type="dxa"/>
            <w:vMerge w:val="restart"/>
            <w:vAlign w:val="center"/>
          </w:tcPr>
          <w:p>
            <w:pPr>
              <w:spacing w:line="240" w:lineRule="auto"/>
              <w:ind w:firstLine="0" w:firstLineChars="0"/>
              <w:jc w:val="center"/>
              <w:rPr>
                <w:sz w:val="21"/>
                <w:szCs w:val="21"/>
              </w:rPr>
            </w:pPr>
            <w:r>
              <w:rPr>
                <w:rFonts w:hint="eastAsia"/>
                <w:sz w:val="21"/>
                <w:szCs w:val="21"/>
              </w:rPr>
              <w:t>《污水综合排放标准》（GB8978-1996）中三级标准和《污水排入城镇下水道水质标准》（GB/T31962-2015）</w:t>
            </w:r>
            <w:r>
              <w:rPr>
                <w:sz w:val="21"/>
                <w:szCs w:val="21"/>
              </w:rPr>
              <w:t>B</w:t>
            </w:r>
            <w:r>
              <w:rPr>
                <w:rFonts w:hint="eastAsia"/>
                <w:sz w:val="21"/>
                <w:szCs w:val="21"/>
              </w:rPr>
              <w:t>级标准</w:t>
            </w:r>
          </w:p>
        </w:tc>
        <w:tc>
          <w:tcPr>
            <w:tcW w:w="2772" w:type="dxa"/>
            <w:vAlign w:val="center"/>
          </w:tcPr>
          <w:p>
            <w:pPr>
              <w:spacing w:line="240" w:lineRule="auto"/>
              <w:ind w:firstLine="0" w:firstLineChars="0"/>
              <w:jc w:val="center"/>
              <w:rPr>
                <w:sz w:val="21"/>
                <w:szCs w:val="21"/>
              </w:rPr>
            </w:pPr>
            <w:r>
              <w:rPr>
                <w:sz w:val="21"/>
                <w:szCs w:val="21"/>
              </w:rPr>
              <w:t>6.0~9.0（无量纲）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Merge w:val="continue"/>
            <w:vAlign w:val="center"/>
          </w:tcPr>
          <w:p>
            <w:pPr>
              <w:spacing w:line="240" w:lineRule="auto"/>
              <w:ind w:firstLine="0" w:firstLineChars="0"/>
              <w:jc w:val="center"/>
              <w:rPr>
                <w:sz w:val="21"/>
                <w:szCs w:val="21"/>
              </w:rPr>
            </w:pPr>
          </w:p>
        </w:tc>
        <w:tc>
          <w:tcPr>
            <w:tcW w:w="1361" w:type="dxa"/>
            <w:vMerge w:val="continue"/>
            <w:vAlign w:val="center"/>
          </w:tcPr>
          <w:p>
            <w:pPr>
              <w:spacing w:line="240" w:lineRule="auto"/>
              <w:ind w:firstLine="0" w:firstLineChars="0"/>
              <w:jc w:val="center"/>
              <w:rPr>
                <w:sz w:val="21"/>
                <w:szCs w:val="21"/>
              </w:rPr>
            </w:pPr>
          </w:p>
        </w:tc>
        <w:tc>
          <w:tcPr>
            <w:tcW w:w="1376" w:type="dxa"/>
            <w:vAlign w:val="center"/>
          </w:tcPr>
          <w:p>
            <w:pPr>
              <w:spacing w:line="240" w:lineRule="auto"/>
              <w:ind w:firstLine="0" w:firstLineChars="0"/>
              <w:jc w:val="center"/>
              <w:rPr>
                <w:sz w:val="21"/>
                <w:szCs w:val="21"/>
              </w:rPr>
            </w:pPr>
            <w:r>
              <w:rPr>
                <w:sz w:val="21"/>
                <w:szCs w:val="21"/>
              </w:rPr>
              <w:t>CODCr</w:t>
            </w:r>
          </w:p>
        </w:tc>
        <w:tc>
          <w:tcPr>
            <w:tcW w:w="2974" w:type="dxa"/>
            <w:vMerge w:val="continue"/>
            <w:vAlign w:val="center"/>
          </w:tcPr>
          <w:p>
            <w:pPr>
              <w:spacing w:line="240" w:lineRule="auto"/>
              <w:ind w:firstLine="0" w:firstLineChars="0"/>
              <w:jc w:val="center"/>
              <w:rPr>
                <w:sz w:val="21"/>
                <w:szCs w:val="21"/>
              </w:rPr>
            </w:pPr>
          </w:p>
        </w:tc>
        <w:tc>
          <w:tcPr>
            <w:tcW w:w="2772" w:type="dxa"/>
            <w:vAlign w:val="center"/>
          </w:tcPr>
          <w:p>
            <w:pPr>
              <w:spacing w:line="240" w:lineRule="auto"/>
              <w:ind w:firstLine="0" w:firstLineChars="0"/>
              <w:jc w:val="center"/>
              <w:rPr>
                <w:sz w:val="21"/>
                <w:szCs w:val="21"/>
              </w:rPr>
            </w:pPr>
            <w:r>
              <w:rPr>
                <w:rFonts w:hint="eastAsia"/>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Merge w:val="continue"/>
            <w:vAlign w:val="center"/>
          </w:tcPr>
          <w:p>
            <w:pPr>
              <w:spacing w:line="240" w:lineRule="auto"/>
              <w:ind w:firstLine="0" w:firstLineChars="0"/>
              <w:jc w:val="center"/>
              <w:rPr>
                <w:sz w:val="21"/>
                <w:szCs w:val="21"/>
              </w:rPr>
            </w:pPr>
          </w:p>
        </w:tc>
        <w:tc>
          <w:tcPr>
            <w:tcW w:w="1361" w:type="dxa"/>
            <w:vMerge w:val="continue"/>
            <w:vAlign w:val="center"/>
          </w:tcPr>
          <w:p>
            <w:pPr>
              <w:spacing w:line="240" w:lineRule="auto"/>
              <w:ind w:firstLine="0" w:firstLineChars="0"/>
              <w:jc w:val="center"/>
              <w:rPr>
                <w:sz w:val="21"/>
                <w:szCs w:val="21"/>
              </w:rPr>
            </w:pPr>
          </w:p>
        </w:tc>
        <w:tc>
          <w:tcPr>
            <w:tcW w:w="1376" w:type="dxa"/>
            <w:vAlign w:val="center"/>
          </w:tcPr>
          <w:p>
            <w:pPr>
              <w:spacing w:line="240" w:lineRule="auto"/>
              <w:ind w:firstLine="0" w:firstLineChars="0"/>
              <w:jc w:val="center"/>
              <w:rPr>
                <w:sz w:val="21"/>
                <w:szCs w:val="21"/>
              </w:rPr>
            </w:pPr>
            <w:r>
              <w:rPr>
                <w:sz w:val="21"/>
                <w:szCs w:val="21"/>
              </w:rPr>
              <w:t>BOD</w:t>
            </w:r>
            <w:r>
              <w:rPr>
                <w:sz w:val="21"/>
                <w:szCs w:val="21"/>
                <w:vertAlign w:val="subscript"/>
              </w:rPr>
              <w:t>5</w:t>
            </w:r>
          </w:p>
        </w:tc>
        <w:tc>
          <w:tcPr>
            <w:tcW w:w="2974" w:type="dxa"/>
            <w:vMerge w:val="continue"/>
            <w:vAlign w:val="center"/>
          </w:tcPr>
          <w:p>
            <w:pPr>
              <w:spacing w:line="240" w:lineRule="auto"/>
              <w:ind w:firstLine="0" w:firstLineChars="0"/>
              <w:jc w:val="center"/>
              <w:rPr>
                <w:sz w:val="21"/>
                <w:szCs w:val="21"/>
              </w:rPr>
            </w:pPr>
          </w:p>
        </w:tc>
        <w:tc>
          <w:tcPr>
            <w:tcW w:w="2772" w:type="dxa"/>
            <w:vAlign w:val="center"/>
          </w:tcPr>
          <w:p>
            <w:pPr>
              <w:spacing w:line="240" w:lineRule="auto"/>
              <w:ind w:firstLine="0" w:firstLineChars="0"/>
              <w:jc w:val="center"/>
              <w:rPr>
                <w:sz w:val="21"/>
                <w:szCs w:val="21"/>
              </w:rPr>
            </w:pPr>
            <w:r>
              <w:rPr>
                <w:rFonts w:hint="eastAsia"/>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Merge w:val="continue"/>
            <w:vAlign w:val="center"/>
          </w:tcPr>
          <w:p>
            <w:pPr>
              <w:spacing w:line="240" w:lineRule="auto"/>
              <w:ind w:firstLine="0" w:firstLineChars="0"/>
              <w:jc w:val="center"/>
              <w:rPr>
                <w:sz w:val="21"/>
                <w:szCs w:val="21"/>
              </w:rPr>
            </w:pPr>
          </w:p>
        </w:tc>
        <w:tc>
          <w:tcPr>
            <w:tcW w:w="1361" w:type="dxa"/>
            <w:vMerge w:val="continue"/>
            <w:vAlign w:val="center"/>
          </w:tcPr>
          <w:p>
            <w:pPr>
              <w:spacing w:line="240" w:lineRule="auto"/>
              <w:ind w:firstLine="0" w:firstLineChars="0"/>
              <w:jc w:val="center"/>
              <w:rPr>
                <w:sz w:val="21"/>
                <w:szCs w:val="21"/>
              </w:rPr>
            </w:pPr>
          </w:p>
        </w:tc>
        <w:tc>
          <w:tcPr>
            <w:tcW w:w="1376" w:type="dxa"/>
            <w:vAlign w:val="center"/>
          </w:tcPr>
          <w:p>
            <w:pPr>
              <w:spacing w:line="240" w:lineRule="auto"/>
              <w:ind w:firstLine="0" w:firstLineChars="0"/>
              <w:jc w:val="center"/>
              <w:rPr>
                <w:sz w:val="21"/>
                <w:szCs w:val="21"/>
              </w:rPr>
            </w:pPr>
            <w:r>
              <w:rPr>
                <w:sz w:val="21"/>
                <w:szCs w:val="21"/>
              </w:rPr>
              <w:t>NH</w:t>
            </w:r>
            <w:r>
              <w:rPr>
                <w:sz w:val="21"/>
                <w:szCs w:val="21"/>
                <w:vertAlign w:val="subscript"/>
              </w:rPr>
              <w:t>3</w:t>
            </w:r>
            <w:r>
              <w:rPr>
                <w:sz w:val="21"/>
                <w:szCs w:val="21"/>
              </w:rPr>
              <w:t>-N</w:t>
            </w:r>
          </w:p>
        </w:tc>
        <w:tc>
          <w:tcPr>
            <w:tcW w:w="2974" w:type="dxa"/>
            <w:vMerge w:val="continue"/>
            <w:vAlign w:val="center"/>
          </w:tcPr>
          <w:p>
            <w:pPr>
              <w:spacing w:line="240" w:lineRule="auto"/>
              <w:ind w:firstLine="0" w:firstLineChars="0"/>
              <w:jc w:val="center"/>
              <w:rPr>
                <w:sz w:val="21"/>
                <w:szCs w:val="21"/>
              </w:rPr>
            </w:pPr>
          </w:p>
        </w:tc>
        <w:tc>
          <w:tcPr>
            <w:tcW w:w="2772" w:type="dxa"/>
            <w:vAlign w:val="center"/>
          </w:tcPr>
          <w:p>
            <w:pPr>
              <w:spacing w:line="240" w:lineRule="auto"/>
              <w:ind w:firstLine="0" w:firstLineChars="0"/>
              <w:jc w:val="center"/>
              <w:rPr>
                <w:sz w:val="21"/>
                <w:szCs w:val="21"/>
              </w:rPr>
            </w:pPr>
            <w:r>
              <w:rPr>
                <w:rFonts w:hint="eastAsia"/>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557" w:type="dxa"/>
            <w:vMerge w:val="continue"/>
            <w:vAlign w:val="center"/>
          </w:tcPr>
          <w:p>
            <w:pPr>
              <w:spacing w:line="240" w:lineRule="auto"/>
              <w:ind w:firstLine="0" w:firstLineChars="0"/>
              <w:jc w:val="center"/>
              <w:rPr>
                <w:sz w:val="21"/>
                <w:szCs w:val="21"/>
              </w:rPr>
            </w:pPr>
          </w:p>
        </w:tc>
        <w:tc>
          <w:tcPr>
            <w:tcW w:w="1361" w:type="dxa"/>
            <w:vMerge w:val="continue"/>
            <w:vAlign w:val="center"/>
          </w:tcPr>
          <w:p>
            <w:pPr>
              <w:spacing w:line="240" w:lineRule="auto"/>
              <w:ind w:firstLine="0" w:firstLineChars="0"/>
              <w:jc w:val="center"/>
              <w:rPr>
                <w:sz w:val="21"/>
                <w:szCs w:val="21"/>
              </w:rPr>
            </w:pPr>
          </w:p>
        </w:tc>
        <w:tc>
          <w:tcPr>
            <w:tcW w:w="1376" w:type="dxa"/>
            <w:vAlign w:val="center"/>
          </w:tcPr>
          <w:p>
            <w:pPr>
              <w:spacing w:line="240" w:lineRule="auto"/>
              <w:ind w:firstLine="0" w:firstLineChars="0"/>
              <w:jc w:val="center"/>
              <w:rPr>
                <w:sz w:val="21"/>
                <w:szCs w:val="21"/>
              </w:rPr>
            </w:pPr>
            <w:r>
              <w:rPr>
                <w:sz w:val="21"/>
                <w:szCs w:val="21"/>
              </w:rPr>
              <w:t>SS</w:t>
            </w:r>
          </w:p>
        </w:tc>
        <w:tc>
          <w:tcPr>
            <w:tcW w:w="2974" w:type="dxa"/>
            <w:vMerge w:val="continue"/>
            <w:vAlign w:val="center"/>
          </w:tcPr>
          <w:p>
            <w:pPr>
              <w:spacing w:line="240" w:lineRule="auto"/>
              <w:ind w:firstLine="0" w:firstLineChars="0"/>
              <w:jc w:val="center"/>
              <w:rPr>
                <w:sz w:val="21"/>
                <w:szCs w:val="21"/>
              </w:rPr>
            </w:pPr>
          </w:p>
        </w:tc>
        <w:tc>
          <w:tcPr>
            <w:tcW w:w="2772" w:type="dxa"/>
            <w:vAlign w:val="center"/>
          </w:tcPr>
          <w:p>
            <w:pPr>
              <w:spacing w:line="240" w:lineRule="auto"/>
              <w:ind w:firstLine="0" w:firstLineChars="0"/>
              <w:jc w:val="center"/>
              <w:rPr>
                <w:sz w:val="21"/>
                <w:szCs w:val="21"/>
              </w:rPr>
            </w:pPr>
            <w:r>
              <w:rPr>
                <w:rFonts w:hint="eastAsia"/>
                <w:sz w:val="21"/>
                <w:szCs w:val="21"/>
              </w:rPr>
              <w:t>400</w:t>
            </w:r>
          </w:p>
        </w:tc>
      </w:tr>
    </w:tbl>
    <w:p>
      <w:pPr>
        <w:spacing w:line="240" w:lineRule="auto"/>
        <w:ind w:firstLine="0" w:firstLineChars="0"/>
        <w:jc w:val="center"/>
        <w:rPr>
          <w:rFonts w:hAnsi="宋体"/>
          <w:b/>
          <w:sz w:val="21"/>
          <w:szCs w:val="24"/>
        </w:rPr>
      </w:pPr>
    </w:p>
    <w:p>
      <w:pPr>
        <w:spacing w:line="240" w:lineRule="auto"/>
        <w:ind w:firstLine="0" w:firstLineChars="0"/>
        <w:jc w:val="center"/>
        <w:rPr>
          <w:rFonts w:hAnsi="宋体"/>
          <w:b/>
          <w:sz w:val="21"/>
          <w:szCs w:val="24"/>
        </w:rPr>
      </w:pPr>
    </w:p>
    <w:p>
      <w:pPr>
        <w:spacing w:line="240" w:lineRule="auto"/>
        <w:ind w:firstLine="0" w:firstLineChars="0"/>
        <w:jc w:val="center"/>
        <w:rPr>
          <w:rFonts w:hAnsi="宋体"/>
          <w:b/>
          <w:sz w:val="21"/>
          <w:szCs w:val="24"/>
        </w:rPr>
      </w:pPr>
    </w:p>
    <w:p>
      <w:pPr>
        <w:spacing w:line="240" w:lineRule="auto"/>
        <w:ind w:firstLine="0" w:firstLineChars="0"/>
        <w:jc w:val="center"/>
        <w:rPr>
          <w:rFonts w:hAnsi="宋体"/>
          <w:b/>
          <w:sz w:val="21"/>
          <w:szCs w:val="24"/>
        </w:rPr>
      </w:pPr>
    </w:p>
    <w:p>
      <w:pPr>
        <w:spacing w:line="240" w:lineRule="auto"/>
        <w:ind w:firstLine="0" w:firstLineChars="0"/>
        <w:jc w:val="center"/>
        <w:rPr>
          <w:rFonts w:hAnsi="宋体"/>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5.2</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14</w:t>
      </w:r>
      <w:r>
        <w:rPr>
          <w:b/>
          <w:sz w:val="21"/>
          <w:szCs w:val="24"/>
        </w:rPr>
        <w:fldChar w:fldCharType="end"/>
      </w:r>
      <w:r>
        <w:rPr>
          <w:b/>
          <w:sz w:val="21"/>
          <w:szCs w:val="24"/>
        </w:rPr>
        <w:t xml:space="preserve"> </w:t>
      </w:r>
      <w:r>
        <w:rPr>
          <w:rFonts w:hint="eastAsia" w:hAnsi="宋体"/>
          <w:b/>
          <w:sz w:val="21"/>
          <w:szCs w:val="24"/>
        </w:rPr>
        <w:t xml:space="preserve"> </w:t>
      </w:r>
      <w:r>
        <w:rPr>
          <w:rFonts w:hAnsi="宋体"/>
          <w:b/>
          <w:sz w:val="21"/>
          <w:szCs w:val="24"/>
        </w:rPr>
        <w:t xml:space="preserve"> </w:t>
      </w:r>
      <w:r>
        <w:rPr>
          <w:rFonts w:hAnsi="宋体"/>
          <w:b/>
          <w:sz w:val="21"/>
          <w:szCs w:val="24"/>
          <w:lang w:val="en-GB"/>
        </w:rPr>
        <w:t>废水污染物排放信息表（</w:t>
      </w:r>
      <w:r>
        <w:rPr>
          <w:rFonts w:hint="eastAsia" w:hAnsi="宋体"/>
          <w:b/>
          <w:sz w:val="21"/>
          <w:szCs w:val="24"/>
          <w:lang w:val="en-GB"/>
        </w:rPr>
        <w:t>新建</w:t>
      </w:r>
      <w:r>
        <w:rPr>
          <w:rFonts w:hAnsi="宋体"/>
          <w:b/>
          <w:sz w:val="21"/>
          <w:szCs w:val="24"/>
          <w:lang w:val="en-GB"/>
        </w:rPr>
        <w:t>项目）</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709"/>
        <w:gridCol w:w="1636"/>
        <w:gridCol w:w="1643"/>
        <w:gridCol w:w="1745"/>
        <w:gridCol w:w="1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序号</w:t>
            </w:r>
          </w:p>
        </w:tc>
        <w:tc>
          <w:tcPr>
            <w:tcW w:w="1709"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排放口编号</w:t>
            </w:r>
          </w:p>
        </w:tc>
        <w:tc>
          <w:tcPr>
            <w:tcW w:w="163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污染物种类</w:t>
            </w:r>
          </w:p>
        </w:tc>
        <w:tc>
          <w:tcPr>
            <w:tcW w:w="1643"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排放浓度（mg/L）</w:t>
            </w:r>
          </w:p>
        </w:tc>
        <w:tc>
          <w:tcPr>
            <w:tcW w:w="174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日</w:t>
            </w:r>
            <w:r>
              <w:rPr>
                <w:rFonts w:hAnsi="宋体"/>
                <w:kern w:val="0"/>
                <w:sz w:val="21"/>
                <w:szCs w:val="20"/>
              </w:rPr>
              <w:t>排放量（kg/d）</w:t>
            </w:r>
          </w:p>
        </w:tc>
        <w:tc>
          <w:tcPr>
            <w:tcW w:w="165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1</w:t>
            </w:r>
          </w:p>
        </w:tc>
        <w:tc>
          <w:tcPr>
            <w:tcW w:w="1709"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DW001</w:t>
            </w:r>
          </w:p>
        </w:tc>
        <w:tc>
          <w:tcPr>
            <w:tcW w:w="163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CODc</w:t>
            </w:r>
            <w:r>
              <w:rPr>
                <w:rFonts w:hAnsi="宋体"/>
                <w:kern w:val="0"/>
                <w:sz w:val="21"/>
                <w:szCs w:val="20"/>
                <w:vertAlign w:val="subscript"/>
              </w:rPr>
              <w:t>r</w:t>
            </w:r>
          </w:p>
        </w:tc>
        <w:tc>
          <w:tcPr>
            <w:tcW w:w="1643" w:type="dxa"/>
            <w:vAlign w:val="center"/>
          </w:tcPr>
          <w:p>
            <w:pPr>
              <w:tabs>
                <w:tab w:val="left" w:pos="2340"/>
              </w:tabs>
              <w:adjustRightInd/>
              <w:spacing w:line="240" w:lineRule="auto"/>
              <w:ind w:firstLine="0" w:firstLineChars="0"/>
              <w:jc w:val="center"/>
              <w:rPr>
                <w:rFonts w:hAnsi="宋体"/>
                <w:kern w:val="0"/>
                <w:sz w:val="21"/>
                <w:szCs w:val="21"/>
              </w:rPr>
            </w:pPr>
            <w:r>
              <w:rPr>
                <w:rFonts w:hint="eastAsia" w:hAnsi="宋体"/>
                <w:kern w:val="0"/>
                <w:sz w:val="21"/>
                <w:szCs w:val="21"/>
              </w:rPr>
              <w:t>297.5</w:t>
            </w:r>
          </w:p>
        </w:tc>
        <w:tc>
          <w:tcPr>
            <w:tcW w:w="1745" w:type="dxa"/>
            <w:vAlign w:val="bottom"/>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w:t>
            </w:r>
            <w:r>
              <w:rPr>
                <w:rFonts w:hAnsi="宋体"/>
                <w:kern w:val="0"/>
                <w:sz w:val="21"/>
                <w:szCs w:val="20"/>
              </w:rPr>
              <w:t>267</w:t>
            </w:r>
          </w:p>
        </w:tc>
        <w:tc>
          <w:tcPr>
            <w:tcW w:w="165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70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63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BOD</w:t>
            </w:r>
            <w:r>
              <w:rPr>
                <w:rFonts w:hAnsi="宋体"/>
                <w:kern w:val="0"/>
                <w:sz w:val="21"/>
                <w:szCs w:val="20"/>
                <w:vertAlign w:val="subscript"/>
              </w:rPr>
              <w:t>5</w:t>
            </w:r>
          </w:p>
        </w:tc>
        <w:tc>
          <w:tcPr>
            <w:tcW w:w="1643" w:type="dxa"/>
            <w:vAlign w:val="center"/>
          </w:tcPr>
          <w:p>
            <w:pPr>
              <w:tabs>
                <w:tab w:val="left" w:pos="2340"/>
              </w:tabs>
              <w:adjustRightInd/>
              <w:spacing w:line="240" w:lineRule="auto"/>
              <w:ind w:firstLine="0" w:firstLineChars="0"/>
              <w:jc w:val="center"/>
              <w:rPr>
                <w:rFonts w:hAnsi="宋体"/>
                <w:kern w:val="0"/>
                <w:sz w:val="21"/>
                <w:szCs w:val="21"/>
              </w:rPr>
            </w:pPr>
            <w:r>
              <w:rPr>
                <w:rFonts w:hint="eastAsia" w:hAnsi="宋体"/>
                <w:kern w:val="0"/>
                <w:sz w:val="21"/>
                <w:szCs w:val="21"/>
              </w:rPr>
              <w:t>136.5</w:t>
            </w:r>
          </w:p>
        </w:tc>
        <w:tc>
          <w:tcPr>
            <w:tcW w:w="1745" w:type="dxa"/>
            <w:vAlign w:val="bottom"/>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0.1</w:t>
            </w:r>
            <w:r>
              <w:rPr>
                <w:rFonts w:hAnsi="宋体"/>
                <w:kern w:val="0"/>
                <w:sz w:val="21"/>
                <w:szCs w:val="20"/>
              </w:rPr>
              <w:t>22</w:t>
            </w:r>
          </w:p>
        </w:tc>
        <w:tc>
          <w:tcPr>
            <w:tcW w:w="165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70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63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氨氮</w:t>
            </w:r>
          </w:p>
        </w:tc>
        <w:tc>
          <w:tcPr>
            <w:tcW w:w="1643" w:type="dxa"/>
            <w:vAlign w:val="center"/>
          </w:tcPr>
          <w:p>
            <w:pPr>
              <w:tabs>
                <w:tab w:val="left" w:pos="2340"/>
              </w:tabs>
              <w:adjustRightInd/>
              <w:spacing w:line="240" w:lineRule="auto"/>
              <w:ind w:firstLine="0" w:firstLineChars="0"/>
              <w:jc w:val="center"/>
              <w:rPr>
                <w:rFonts w:hAnsi="宋体"/>
                <w:kern w:val="0"/>
                <w:sz w:val="21"/>
                <w:szCs w:val="21"/>
              </w:rPr>
            </w:pPr>
            <w:r>
              <w:rPr>
                <w:rFonts w:hint="eastAsia" w:hAnsi="宋体"/>
                <w:kern w:val="0"/>
                <w:sz w:val="21"/>
                <w:szCs w:val="21"/>
              </w:rPr>
              <w:t>25</w:t>
            </w:r>
          </w:p>
        </w:tc>
        <w:tc>
          <w:tcPr>
            <w:tcW w:w="1745" w:type="dxa"/>
            <w:vAlign w:val="bottom"/>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0.02</w:t>
            </w:r>
            <w:r>
              <w:rPr>
                <w:rFonts w:hAnsi="宋体"/>
                <w:kern w:val="0"/>
                <w:sz w:val="21"/>
                <w:szCs w:val="20"/>
              </w:rPr>
              <w:t>2</w:t>
            </w:r>
          </w:p>
        </w:tc>
        <w:tc>
          <w:tcPr>
            <w:tcW w:w="165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1"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709"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636"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SS</w:t>
            </w:r>
          </w:p>
        </w:tc>
        <w:tc>
          <w:tcPr>
            <w:tcW w:w="1643" w:type="dxa"/>
            <w:vAlign w:val="center"/>
          </w:tcPr>
          <w:p>
            <w:pPr>
              <w:tabs>
                <w:tab w:val="left" w:pos="2340"/>
              </w:tabs>
              <w:adjustRightInd/>
              <w:spacing w:line="240" w:lineRule="auto"/>
              <w:ind w:firstLine="0" w:firstLineChars="0"/>
              <w:jc w:val="center"/>
              <w:rPr>
                <w:rFonts w:hAnsi="宋体"/>
                <w:kern w:val="0"/>
                <w:sz w:val="21"/>
                <w:szCs w:val="21"/>
              </w:rPr>
            </w:pPr>
            <w:r>
              <w:rPr>
                <w:rFonts w:hint="eastAsia" w:hAnsi="宋体"/>
                <w:kern w:val="0"/>
                <w:sz w:val="21"/>
                <w:szCs w:val="21"/>
              </w:rPr>
              <w:t>210</w:t>
            </w:r>
          </w:p>
        </w:tc>
        <w:tc>
          <w:tcPr>
            <w:tcW w:w="1745" w:type="dxa"/>
            <w:vAlign w:val="bottom"/>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w:t>
            </w:r>
            <w:r>
              <w:rPr>
                <w:rFonts w:hAnsi="宋体"/>
                <w:kern w:val="0"/>
                <w:sz w:val="21"/>
                <w:szCs w:val="20"/>
              </w:rPr>
              <w:t>189</w:t>
            </w:r>
          </w:p>
        </w:tc>
        <w:tc>
          <w:tcPr>
            <w:tcW w:w="165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0.034</w:t>
            </w:r>
          </w:p>
        </w:tc>
      </w:tr>
    </w:tbl>
    <w:p>
      <w:pPr>
        <w:ind w:firstLine="480"/>
        <w:rPr>
          <w:spacing w:val="4"/>
        </w:rPr>
      </w:pPr>
      <w:r>
        <w:rPr>
          <w:rFonts w:hint="eastAsia"/>
        </w:rPr>
        <w:t>地表水</w:t>
      </w:r>
      <w:r>
        <w:t>环境影响评价自查表见附表</w:t>
      </w:r>
      <w:r>
        <w:rPr>
          <w:rFonts w:hint="eastAsia"/>
        </w:rPr>
        <w:t>2。</w:t>
      </w:r>
    </w:p>
    <w:p>
      <w:pPr>
        <w:pStyle w:val="4"/>
        <w:spacing w:before="163" w:beforeLines="50"/>
      </w:pPr>
      <w:bookmarkStart w:id="126" w:name="_Toc488102175"/>
      <w:r>
        <w:rPr>
          <w:rFonts w:hint="eastAsia"/>
        </w:rPr>
        <w:t>地下水环境影响评价</w:t>
      </w:r>
      <w:bookmarkEnd w:id="126"/>
    </w:p>
    <w:p>
      <w:pPr>
        <w:pStyle w:val="5"/>
      </w:pPr>
      <w:r>
        <w:rPr>
          <w:rFonts w:hint="eastAsia"/>
        </w:rPr>
        <w:t>地下水</w:t>
      </w:r>
      <w:r>
        <w:t>污染途径</w:t>
      </w:r>
    </w:p>
    <w:p>
      <w:pPr>
        <w:pStyle w:val="87"/>
        <w:ind w:firstLine="480"/>
      </w:pPr>
      <w:r>
        <w:rPr>
          <w:rFonts w:hint="eastAsia"/>
        </w:rPr>
        <w:t>根据地下水地质条件、地下水补给、径流条件等特点，分析本工程废水排放情况，可能造成的地下水污染途径有以下几种途径：</w:t>
      </w:r>
    </w:p>
    <w:p>
      <w:pPr>
        <w:pStyle w:val="87"/>
        <w:ind w:firstLine="480"/>
      </w:pPr>
      <w:r>
        <w:rPr>
          <w:rFonts w:hint="eastAsia"/>
        </w:rPr>
        <w:t>①项目厂区内生产装置、储罐区</w:t>
      </w:r>
      <w:r>
        <w:t>、</w:t>
      </w:r>
      <w:r>
        <w:rPr>
          <w:rFonts w:hint="eastAsia"/>
        </w:rPr>
        <w:t>化粪池</w:t>
      </w:r>
      <w:r>
        <w:t>、</w:t>
      </w:r>
      <w:r>
        <w:rPr>
          <w:rFonts w:hint="eastAsia"/>
        </w:rPr>
        <w:t>污水管道跑、冒、滴、漏对地下水水质的影响。</w:t>
      </w:r>
    </w:p>
    <w:p>
      <w:pPr>
        <w:pStyle w:val="87"/>
        <w:ind w:firstLine="480"/>
      </w:pPr>
      <w:r>
        <w:rPr>
          <w:rFonts w:hint="eastAsia"/>
        </w:rPr>
        <w:t>②</w:t>
      </w:r>
      <w:r>
        <w:rPr>
          <w:rFonts w:cs="Times New Roman"/>
          <w:szCs w:val="24"/>
        </w:rPr>
        <w:t>项目固体废弃物等临时贮存场地如处理不当，将会发生由雨水而使污染物入渗到地下水中的情况，对地下水水质造成影响。</w:t>
      </w:r>
    </w:p>
    <w:p>
      <w:pPr>
        <w:pStyle w:val="5"/>
      </w:pPr>
      <w:r>
        <w:rPr>
          <w:rFonts w:hint="eastAsia"/>
        </w:rPr>
        <w:t>地下水</w:t>
      </w:r>
      <w:r>
        <w:t>环境影响预测</w:t>
      </w:r>
    </w:p>
    <w:p>
      <w:pPr>
        <w:pStyle w:val="87"/>
        <w:ind w:firstLine="482"/>
        <w:rPr>
          <w:b/>
        </w:rPr>
      </w:pPr>
      <w:r>
        <w:rPr>
          <w:rFonts w:ascii="TimesNewRomanPSMT" w:eastAsia="TimesNewRomanPSMT" w:cs="TimesNewRomanPSMT"/>
          <w:b/>
        </w:rPr>
        <w:t>1</w:t>
      </w:r>
      <w:r>
        <w:rPr>
          <w:rFonts w:hint="eastAsia"/>
          <w:b/>
        </w:rPr>
        <w:t>、正常工况下对地下水水质的影响</w:t>
      </w:r>
    </w:p>
    <w:p>
      <w:pPr>
        <w:pStyle w:val="87"/>
        <w:ind w:firstLine="480"/>
      </w:pPr>
      <w:r>
        <w:rPr>
          <w:rFonts w:hint="eastAsia"/>
        </w:rPr>
        <w:t>①包气带防护性能</w:t>
      </w:r>
    </w:p>
    <w:p>
      <w:pPr>
        <w:pStyle w:val="87"/>
        <w:ind w:firstLine="480"/>
      </w:pPr>
      <w:r>
        <w:rPr>
          <w:rFonts w:hint="eastAsia"/>
        </w:rPr>
        <w:t>污染物通过降水等垂直渗透进入包气带，在通过包气带物理、化学、生物作用，经吸附、转化、迁移和分解转至地下水。由此可知，包气带是联接地面污染源与地下含水层的主要通道和过滤带，既是污染的媒体，又是污染的防护层，地下水能否被污染以及污染程度取决于包气带的岩性、组成及污染物的种类。包气带防护能力与包气带厚度、岩性结构、弱渗透性地层的渗透性能及厚度有关。若包气带粘性厚度小，且分布不连续、不稳定，即地下水自然防护条件就差，那么污染物渗漏就易对地下水产生污染；若包气带粘性土厚度虽小，但分布连续、稳定，则地下水自然防护条件相对就好些，污染物对地下水影响就相对较小。该项目场地位于丘陵山区，包气带厚度</w:t>
      </w:r>
      <w:r>
        <w:rPr>
          <w:rFonts w:ascii="TimesNewRomanPSMT" w:eastAsia="TimesNewRomanPSMT" w:cs="TimesNewRomanPSMT"/>
        </w:rPr>
        <w:t>20m</w:t>
      </w:r>
      <w:r>
        <w:rPr>
          <w:rFonts w:hint="eastAsia"/>
        </w:rPr>
        <w:t>～</w:t>
      </w:r>
      <w:r>
        <w:rPr>
          <w:rFonts w:ascii="TimesNewRomanPSMT" w:eastAsia="TimesNewRomanPSMT" w:cs="TimesNewRomanPSMT"/>
        </w:rPr>
        <w:t>80m</w:t>
      </w:r>
      <w:r>
        <w:rPr>
          <w:rFonts w:hint="eastAsia"/>
        </w:rPr>
        <w:t>，岩性以粉质粘土为主，渗透性能较弱，以粘土为主的隔水层分布连续、稳定，因此，本区域包气带对污染物有很好的防护作用。</w:t>
      </w:r>
    </w:p>
    <w:p>
      <w:pPr>
        <w:pStyle w:val="87"/>
        <w:ind w:firstLine="480"/>
      </w:pPr>
      <w:r>
        <w:rPr>
          <w:rFonts w:hint="eastAsia"/>
        </w:rPr>
        <w:t>②厂区</w:t>
      </w:r>
      <w:r>
        <w:t>废水渗漏对地下水的影响</w:t>
      </w:r>
    </w:p>
    <w:p>
      <w:pPr>
        <w:pStyle w:val="87"/>
        <w:ind w:firstLine="480"/>
      </w:pPr>
      <w:r>
        <w:rPr>
          <w:rFonts w:hint="eastAsia"/>
        </w:rPr>
        <w:t>本项目地下水污染环节主要包括化粪池、污水</w:t>
      </w:r>
      <w:r>
        <w:t>管线</w:t>
      </w:r>
      <w:r>
        <w:rPr>
          <w:rFonts w:hint="eastAsia"/>
        </w:rPr>
        <w:t>发生渗漏，使生活污水渗入地下而对地下水造成污染。对于此类情况的预防措施，主要是做好池体防渗处理，在生产运行过程中，必须强化监控手段，定期检查，保护评价区地下水水质，因此</w:t>
      </w:r>
      <w:r>
        <w:t>，</w:t>
      </w:r>
      <w:r>
        <w:rPr>
          <w:rFonts w:hint="eastAsia"/>
        </w:rPr>
        <w:t>厂区</w:t>
      </w:r>
      <w:r>
        <w:t>废水渗漏对地下水产生影响的</w:t>
      </w:r>
      <w:r>
        <w:rPr>
          <w:rFonts w:hint="eastAsia"/>
        </w:rPr>
        <w:t>措施</w:t>
      </w:r>
      <w:r>
        <w:t>可控。</w:t>
      </w:r>
    </w:p>
    <w:p>
      <w:pPr>
        <w:pStyle w:val="87"/>
        <w:ind w:firstLine="480"/>
      </w:pPr>
      <w:r>
        <w:rPr>
          <w:rFonts w:hint="eastAsia" w:ascii="宋体" w:hAnsi="宋体" w:cs="宋体"/>
          <w:lang w:eastAsia="ja-JP"/>
        </w:rPr>
        <w:t>③</w:t>
      </w:r>
      <w:r>
        <w:rPr>
          <w:rFonts w:hint="eastAsia"/>
        </w:rPr>
        <w:t>固废堆放对浅层地下水的影响</w:t>
      </w:r>
    </w:p>
    <w:p>
      <w:pPr>
        <w:pStyle w:val="87"/>
        <w:ind w:firstLine="480"/>
        <w:rPr>
          <w:rFonts w:ascii="宋体" w:hAnsi="宋体" w:cs="Times New Roman"/>
          <w:szCs w:val="24"/>
        </w:rPr>
      </w:pPr>
      <w:r>
        <w:rPr>
          <w:rFonts w:hint="eastAsia"/>
        </w:rPr>
        <w:t>项目产生的固废主要</w:t>
      </w:r>
      <w:r>
        <w:t>为废渣、</w:t>
      </w:r>
      <w:r>
        <w:rPr>
          <w:rFonts w:hint="eastAsia"/>
        </w:rPr>
        <w:t>设备维修和保养过程中产生的废含油抹布以及员工生活垃圾等。其中</w:t>
      </w:r>
      <w:r>
        <w:t>废含油抹布属于危险废物，</w:t>
      </w:r>
      <w:r>
        <w:rPr>
          <w:rFonts w:hint="eastAsia"/>
        </w:rPr>
        <w:t>本次</w:t>
      </w:r>
      <w:r>
        <w:t>环评要求</w:t>
      </w:r>
      <w:r>
        <w:rPr>
          <w:rFonts w:hint="eastAsia"/>
        </w:rPr>
        <w:t>危险</w:t>
      </w:r>
      <w:r>
        <w:t>废物暂存间</w:t>
      </w:r>
      <w:r>
        <w:rPr>
          <w:rFonts w:hint="eastAsia"/>
        </w:rPr>
        <w:t>按照</w:t>
      </w:r>
      <w:r>
        <w:rPr>
          <w:rFonts w:hint="eastAsia" w:cs="Times New Roman"/>
          <w:szCs w:val="24"/>
        </w:rPr>
        <w:t>《危险废物贮存污染控制标准》（GB18597-2001)及</w:t>
      </w:r>
      <w:r>
        <w:rPr>
          <w:rFonts w:cs="Times New Roman"/>
          <w:szCs w:val="24"/>
        </w:rPr>
        <w:t>修改单中要求</w:t>
      </w:r>
      <w:r>
        <w:rPr>
          <w:rFonts w:hint="eastAsia" w:cs="Times New Roman"/>
          <w:szCs w:val="24"/>
        </w:rPr>
        <w:t>，危险废物根据其危险特性进行分类贮存，铺设水泥地面，并铺环氧树脂防渗，同时，配置堵截泄漏的裙脚，防止渗滤液流出</w:t>
      </w:r>
      <w:r>
        <w:rPr>
          <w:rFonts w:hint="eastAsia" w:ascii="宋体" w:hAnsi="宋体" w:cs="Times New Roman"/>
          <w:szCs w:val="24"/>
        </w:rPr>
        <w:t>。</w:t>
      </w:r>
    </w:p>
    <w:p>
      <w:pPr>
        <w:tabs>
          <w:tab w:val="left" w:pos="360"/>
          <w:tab w:val="left" w:pos="540"/>
        </w:tabs>
        <w:ind w:firstLine="480"/>
        <w:rPr>
          <w:rFonts w:ascii="宋体" w:hAnsi="宋体"/>
          <w:szCs w:val="24"/>
        </w:rPr>
      </w:pPr>
      <w:r>
        <w:rPr>
          <w:rFonts w:hint="eastAsia" w:ascii="宋体" w:hAnsi="宋体"/>
          <w:szCs w:val="24"/>
        </w:rPr>
        <w:t>对收集的生活垃圾设置</w:t>
      </w:r>
      <w:r>
        <w:rPr>
          <w:rFonts w:ascii="宋体" w:hAnsi="宋体"/>
          <w:szCs w:val="24"/>
        </w:rPr>
        <w:t>垃圾收集点，垃圾收集点</w:t>
      </w:r>
      <w:r>
        <w:rPr>
          <w:rFonts w:hint="eastAsia" w:ascii="宋体" w:hAnsi="宋体"/>
          <w:szCs w:val="24"/>
        </w:rPr>
        <w:t>地面</w:t>
      </w:r>
      <w:r>
        <w:rPr>
          <w:rFonts w:ascii="宋体" w:hAnsi="宋体"/>
          <w:szCs w:val="24"/>
        </w:rPr>
        <w:t>进行了水泥硬化，</w:t>
      </w:r>
      <w:r>
        <w:rPr>
          <w:rFonts w:hint="eastAsia" w:ascii="宋体" w:hAnsi="宋体"/>
          <w:szCs w:val="24"/>
        </w:rPr>
        <w:t>并</w:t>
      </w:r>
      <w:r>
        <w:rPr>
          <w:rFonts w:ascii="宋体" w:hAnsi="宋体"/>
          <w:szCs w:val="24"/>
        </w:rPr>
        <w:t>定期按</w:t>
      </w:r>
      <w:r>
        <w:rPr>
          <w:rFonts w:hint="eastAsia" w:ascii="宋体" w:hAnsi="宋体"/>
          <w:szCs w:val="24"/>
        </w:rPr>
        <w:t>环卫部门规定外运处置，从而避免因其堆放不当对浅层地下水造成的不利影响。</w:t>
      </w:r>
    </w:p>
    <w:p>
      <w:pPr>
        <w:pStyle w:val="87"/>
        <w:ind w:firstLine="480"/>
        <w:rPr>
          <w:lang w:bidi="zh-CN"/>
        </w:rPr>
      </w:pPr>
      <w:r>
        <w:t>正常状况下，项目产生的废水与固废经收集后均进行了妥善处理，</w:t>
      </w:r>
      <w:r>
        <w:rPr>
          <w:lang w:bidi="zh-CN"/>
        </w:rPr>
        <w:t>不外排。厂区各功能区均设计有良好的排水系统，不会出现积水及内涝，</w:t>
      </w:r>
      <w:r>
        <w:rPr>
          <w:rFonts w:hint="eastAsia"/>
          <w:lang w:bidi="zh-CN"/>
        </w:rPr>
        <w:t>危险废物</w:t>
      </w:r>
      <w:r>
        <w:rPr>
          <w:lang w:bidi="zh-CN"/>
        </w:rPr>
        <w:t>暂存间按《危险废物贮存污染控制标准（</w:t>
      </w:r>
      <w:r>
        <w:t>GB 18597-2001</w:t>
      </w:r>
      <w:r>
        <w:rPr>
          <w:lang w:bidi="zh-CN"/>
        </w:rPr>
        <w:t>）》要求进行防渗处理。</w:t>
      </w:r>
    </w:p>
    <w:p>
      <w:pPr>
        <w:pStyle w:val="87"/>
        <w:ind w:firstLine="480"/>
        <w:rPr>
          <w:lang w:bidi="zh-CN"/>
        </w:rPr>
      </w:pPr>
      <w:r>
        <w:rPr>
          <w:lang w:bidi="zh-CN"/>
        </w:rPr>
        <w:t>总体来看，正常状况下，项目产生的废水经收集后均进行了妥善处理，不直接排入外环境，同时，厂区将进行有效的分区防渗，各污染物存贮建筑物基本不会有污水的泄漏情况发生，从而在源头上减少了污染物进入含水层的渗漏量。另外，本项目将建立完善的风险应急预案、设置合理有效的监测井，加强地下水环境监测。因此，正常状况下，项目对地下水的影响较小。</w:t>
      </w:r>
    </w:p>
    <w:p>
      <w:pPr>
        <w:pStyle w:val="87"/>
        <w:ind w:firstLine="480"/>
        <w:rPr>
          <w:lang w:bidi="zh-CN"/>
        </w:rPr>
      </w:pPr>
      <w:r>
        <w:rPr>
          <w:lang w:bidi="zh-CN"/>
        </w:rPr>
        <w:t>根据《环境影响评价技术导则</w:t>
      </w:r>
      <w:r>
        <w:t xml:space="preserve"> </w:t>
      </w:r>
      <w:r>
        <w:rPr>
          <w:lang w:bidi="zh-CN"/>
        </w:rPr>
        <w:t>地下水环境》（HJ610-2016），按照设计地下水污染防渗措施的建设项目，本项目可不进行正常状况情景下的预测。</w:t>
      </w:r>
    </w:p>
    <w:p>
      <w:pPr>
        <w:pStyle w:val="4"/>
      </w:pPr>
      <w:bookmarkStart w:id="127" w:name="_Toc488102177"/>
      <w:r>
        <w:rPr>
          <w:rFonts w:hint="eastAsia"/>
        </w:rPr>
        <w:t>声环境影响</w:t>
      </w:r>
      <w:bookmarkEnd w:id="127"/>
      <w:r>
        <w:rPr>
          <w:rFonts w:hint="eastAsia"/>
        </w:rPr>
        <w:t>分析</w:t>
      </w:r>
    </w:p>
    <w:p>
      <w:pPr>
        <w:pStyle w:val="5"/>
      </w:pPr>
      <w:r>
        <w:rPr>
          <w:rFonts w:hint="eastAsia"/>
        </w:rPr>
        <w:t>预测</w:t>
      </w:r>
      <w:r>
        <w:t>范围</w:t>
      </w:r>
      <w:r>
        <w:rPr>
          <w:rFonts w:hint="eastAsia"/>
        </w:rPr>
        <w:t>及</w:t>
      </w:r>
      <w:r>
        <w:t>噪声预测</w:t>
      </w:r>
      <w:r>
        <w:rPr>
          <w:rFonts w:hint="eastAsia"/>
        </w:rPr>
        <w:t>点</w:t>
      </w:r>
    </w:p>
    <w:p>
      <w:pPr>
        <w:pStyle w:val="87"/>
        <w:ind w:firstLine="480"/>
      </w:pPr>
      <w:r>
        <w:rPr>
          <w:rFonts w:hint="eastAsia"/>
        </w:rPr>
        <w:t>根据现场调查，项目周围</w:t>
      </w:r>
      <w:r>
        <w:rPr>
          <w:rFonts w:ascii="TimesNewRomanPSMT" w:eastAsia="TimesNewRomanPSMT" w:cs="TimesNewRomanPSMT"/>
        </w:rPr>
        <w:t xml:space="preserve">200m </w:t>
      </w:r>
      <w:r>
        <w:rPr>
          <w:rFonts w:hint="eastAsia"/>
        </w:rPr>
        <w:t>范围内的居民</w:t>
      </w:r>
      <w:r>
        <w:t>主要</w:t>
      </w:r>
      <w:r>
        <w:rPr>
          <w:rFonts w:hint="eastAsia"/>
        </w:rPr>
        <w:t>为</w:t>
      </w:r>
      <w:r>
        <w:t>东侧</w:t>
      </w:r>
      <w:r>
        <w:rPr>
          <w:rFonts w:hint="eastAsia"/>
        </w:rPr>
        <w:t>50</w:t>
      </w:r>
      <w:r>
        <w:t>m的江家店村</w:t>
      </w:r>
      <w:r>
        <w:rPr>
          <w:rFonts w:hint="eastAsia"/>
        </w:rPr>
        <w:t>，因此本次评价主要预测项目建成投产后厂界和200</w:t>
      </w:r>
      <w:r>
        <w:t>m范围内的敏感点</w:t>
      </w:r>
      <w:r>
        <w:rPr>
          <w:rFonts w:hint="eastAsia"/>
        </w:rPr>
        <w:t>的声环境变化情况，评价建设项目在运营期噪声的影响程度、影响范围，给出厂界噪声贡献值达标分析。</w:t>
      </w:r>
    </w:p>
    <w:p>
      <w:pPr>
        <w:pStyle w:val="5"/>
      </w:pPr>
      <w:r>
        <w:rPr>
          <w:rFonts w:hint="eastAsia"/>
        </w:rPr>
        <w:t>源强确定</w:t>
      </w:r>
    </w:p>
    <w:p>
      <w:pPr>
        <w:ind w:firstLine="480"/>
      </w:pPr>
      <w:r>
        <w:rPr>
          <w:rFonts w:hint="eastAsia"/>
        </w:rPr>
        <w:t>项目</w:t>
      </w:r>
      <w:r>
        <w:t>噪声主要来源于</w:t>
      </w:r>
      <w:r>
        <w:rPr>
          <w:rFonts w:hint="eastAsia"/>
        </w:rPr>
        <w:t>粉碎机</w:t>
      </w:r>
      <w:r>
        <w:t>、</w:t>
      </w:r>
      <w:r>
        <w:rPr>
          <w:rFonts w:hint="eastAsia"/>
        </w:rPr>
        <w:t>引风机</w:t>
      </w:r>
      <w:r>
        <w:t>、</w:t>
      </w:r>
      <w:r>
        <w:rPr>
          <w:rFonts w:hint="eastAsia"/>
        </w:rPr>
        <w:t>循环泵</w:t>
      </w:r>
      <w:r>
        <w:t>、</w:t>
      </w:r>
      <w:r>
        <w:rPr>
          <w:rFonts w:hint="eastAsia"/>
        </w:rPr>
        <w:t>出料</w:t>
      </w:r>
      <w:r>
        <w:t>泵、</w:t>
      </w:r>
      <w:r>
        <w:rPr>
          <w:rFonts w:hint="eastAsia"/>
        </w:rPr>
        <w:t>真空泵</w:t>
      </w:r>
      <w:r>
        <w:t>、</w:t>
      </w:r>
      <w:r>
        <w:rPr>
          <w:rFonts w:hint="eastAsia"/>
        </w:rPr>
        <w:t>冷却塔、</w:t>
      </w:r>
      <w:r>
        <w:t>空压机等机械设备，</w:t>
      </w:r>
      <w:r>
        <w:rPr>
          <w:rFonts w:hint="eastAsia"/>
        </w:rPr>
        <w:t>项目</w:t>
      </w:r>
      <w:r>
        <w:t>源强见表</w:t>
      </w:r>
      <w:r>
        <w:rPr>
          <w:rFonts w:hint="eastAsia"/>
        </w:rPr>
        <w:t>3.3-8。</w:t>
      </w:r>
    </w:p>
    <w:p>
      <w:pPr>
        <w:pStyle w:val="87"/>
        <w:ind w:firstLine="480"/>
      </w:pPr>
      <w:bookmarkStart w:id="128" w:name="_Toc17870"/>
      <w:bookmarkStart w:id="129" w:name="_Toc21270"/>
      <w:bookmarkStart w:id="130" w:name="_Toc24493"/>
      <w:r>
        <w:rPr>
          <w:rFonts w:hint="eastAsia"/>
        </w:rPr>
        <w:t>项目</w:t>
      </w:r>
      <w:r>
        <w:t>各噪声源距离每个场</w:t>
      </w:r>
      <w:r>
        <w:rPr>
          <w:rFonts w:hint="eastAsia"/>
        </w:rPr>
        <w:t>地</w:t>
      </w:r>
      <w:r>
        <w:t>厂界的最近距离见</w:t>
      </w:r>
      <w:r>
        <w:rPr>
          <w:rFonts w:hint="eastAsia"/>
        </w:rPr>
        <w:t>表5.2-1</w:t>
      </w:r>
      <w:r>
        <w:t>5</w:t>
      </w:r>
      <w:r>
        <w:rPr>
          <w:rFonts w:hint="eastAsia"/>
        </w:rPr>
        <w:t>。</w:t>
      </w:r>
    </w:p>
    <w:p>
      <w:pPr>
        <w:pStyle w:val="49"/>
        <w:rPr>
          <w:rFonts w:eastAsiaTheme="minorEastAsia"/>
        </w:rPr>
      </w:pPr>
    </w:p>
    <w:p>
      <w:pPr>
        <w:pStyle w:val="49"/>
        <w:rPr>
          <w:rFonts w:eastAsia="宋体"/>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15</w:t>
      </w:r>
      <w:r>
        <w:fldChar w:fldCharType="end"/>
      </w:r>
      <w:r>
        <w:t xml:space="preserve">  </w:t>
      </w:r>
      <w:r>
        <w:rPr>
          <w:rFonts w:hint="eastAsia"/>
        </w:rPr>
        <w:t xml:space="preserve"> </w:t>
      </w:r>
      <w:r>
        <w:rPr>
          <w:rFonts w:hint="eastAsia" w:eastAsia="宋体"/>
        </w:rPr>
        <w:t>主要产噪设备及距离</w:t>
      </w:r>
      <w:r>
        <w:rPr>
          <w:rFonts w:eastAsia="宋体"/>
        </w:rPr>
        <w:t>厂界的最近距离</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8"/>
        <w:gridCol w:w="833"/>
        <w:gridCol w:w="1700"/>
        <w:gridCol w:w="993"/>
        <w:gridCol w:w="1276"/>
        <w:gridCol w:w="852"/>
        <w:gridCol w:w="850"/>
        <w:gridCol w:w="991"/>
        <w:gridCol w:w="1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428" w:type="dxa"/>
            <w:vMerge w:val="restart"/>
            <w:vAlign w:val="center"/>
          </w:tcPr>
          <w:p>
            <w:pPr>
              <w:pStyle w:val="48"/>
            </w:pPr>
            <w:r>
              <w:t>序号</w:t>
            </w:r>
          </w:p>
        </w:tc>
        <w:tc>
          <w:tcPr>
            <w:tcW w:w="833" w:type="dxa"/>
            <w:vMerge w:val="restart"/>
            <w:vAlign w:val="center"/>
          </w:tcPr>
          <w:p>
            <w:pPr>
              <w:pStyle w:val="48"/>
            </w:pPr>
            <w:r>
              <w:rPr>
                <w:rFonts w:hint="eastAsia"/>
              </w:rPr>
              <w:t>声源</w:t>
            </w:r>
            <w:r>
              <w:t>位置</w:t>
            </w:r>
          </w:p>
        </w:tc>
        <w:tc>
          <w:tcPr>
            <w:tcW w:w="1700" w:type="dxa"/>
            <w:vMerge w:val="restart"/>
            <w:vAlign w:val="center"/>
          </w:tcPr>
          <w:p>
            <w:pPr>
              <w:pStyle w:val="48"/>
            </w:pPr>
            <w:r>
              <w:rPr>
                <w:rFonts w:hint="eastAsia"/>
              </w:rPr>
              <w:t>噪声</w:t>
            </w:r>
            <w:r>
              <w:t>源名称</w:t>
            </w:r>
          </w:p>
        </w:tc>
        <w:tc>
          <w:tcPr>
            <w:tcW w:w="993"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数量</w:t>
            </w:r>
          </w:p>
          <w:p>
            <w:pPr>
              <w:pStyle w:val="48"/>
              <w:rPr>
                <w:szCs w:val="21"/>
              </w:rPr>
            </w:pPr>
            <w:r>
              <w:rPr>
                <w:kern w:val="0"/>
              </w:rPr>
              <w:t>（台/套）</w:t>
            </w:r>
          </w:p>
        </w:tc>
        <w:tc>
          <w:tcPr>
            <w:tcW w:w="1276" w:type="dxa"/>
            <w:vMerge w:val="restart"/>
            <w:vAlign w:val="center"/>
          </w:tcPr>
          <w:p>
            <w:pPr>
              <w:pStyle w:val="48"/>
              <w:rPr>
                <w:szCs w:val="21"/>
              </w:rPr>
            </w:pPr>
            <w:r>
              <w:rPr>
                <w:rFonts w:hint="eastAsia"/>
                <w:szCs w:val="21"/>
              </w:rPr>
              <w:t>噪声</w:t>
            </w:r>
            <w:r>
              <w:rPr>
                <w:szCs w:val="21"/>
              </w:rPr>
              <w:t>排放量</w:t>
            </w:r>
          </w:p>
          <w:p>
            <w:pPr>
              <w:ind w:firstLine="0" w:firstLineChars="0"/>
              <w:jc w:val="center"/>
            </w:pPr>
            <w:r>
              <w:rPr>
                <w:kern w:val="0"/>
                <w:sz w:val="21"/>
                <w:szCs w:val="20"/>
              </w:rPr>
              <w:t>dB（A）</w:t>
            </w:r>
          </w:p>
        </w:tc>
        <w:tc>
          <w:tcPr>
            <w:tcW w:w="3810" w:type="dxa"/>
            <w:gridSpan w:val="4"/>
            <w:vAlign w:val="center"/>
          </w:tcPr>
          <w:p>
            <w:pPr>
              <w:pStyle w:val="48"/>
            </w:pPr>
            <w:r>
              <w:rPr>
                <w:szCs w:val="21"/>
              </w:rPr>
              <w:t>距最近厂界监测点位的最近距离（m）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428" w:type="dxa"/>
            <w:vMerge w:val="continue"/>
            <w:vAlign w:val="center"/>
          </w:tcPr>
          <w:p>
            <w:pPr>
              <w:pStyle w:val="48"/>
            </w:pPr>
          </w:p>
        </w:tc>
        <w:tc>
          <w:tcPr>
            <w:tcW w:w="833" w:type="dxa"/>
            <w:vMerge w:val="continue"/>
            <w:vAlign w:val="center"/>
          </w:tcPr>
          <w:p>
            <w:pPr>
              <w:pStyle w:val="48"/>
            </w:pPr>
          </w:p>
        </w:tc>
        <w:tc>
          <w:tcPr>
            <w:tcW w:w="1700" w:type="dxa"/>
            <w:vMerge w:val="continue"/>
            <w:vAlign w:val="center"/>
          </w:tcPr>
          <w:p>
            <w:pPr>
              <w:pStyle w:val="48"/>
            </w:pPr>
          </w:p>
        </w:tc>
        <w:tc>
          <w:tcPr>
            <w:tcW w:w="993" w:type="dxa"/>
            <w:vMerge w:val="continue"/>
          </w:tcPr>
          <w:p>
            <w:pPr>
              <w:pStyle w:val="92"/>
            </w:pPr>
          </w:p>
        </w:tc>
        <w:tc>
          <w:tcPr>
            <w:tcW w:w="1276" w:type="dxa"/>
            <w:vMerge w:val="continue"/>
            <w:vAlign w:val="center"/>
          </w:tcPr>
          <w:p>
            <w:pPr>
              <w:pStyle w:val="92"/>
            </w:pPr>
          </w:p>
        </w:tc>
        <w:tc>
          <w:tcPr>
            <w:tcW w:w="852" w:type="dxa"/>
            <w:vAlign w:val="center"/>
          </w:tcPr>
          <w:p>
            <w:pPr>
              <w:pStyle w:val="92"/>
            </w:pPr>
            <w:r>
              <w:t>东厂界</w:t>
            </w:r>
          </w:p>
        </w:tc>
        <w:tc>
          <w:tcPr>
            <w:tcW w:w="850" w:type="dxa"/>
            <w:vAlign w:val="center"/>
          </w:tcPr>
          <w:p>
            <w:pPr>
              <w:pStyle w:val="92"/>
            </w:pPr>
            <w:r>
              <w:t>南厂界</w:t>
            </w:r>
          </w:p>
        </w:tc>
        <w:tc>
          <w:tcPr>
            <w:tcW w:w="991" w:type="dxa"/>
            <w:vAlign w:val="center"/>
          </w:tcPr>
          <w:p>
            <w:pPr>
              <w:pStyle w:val="92"/>
            </w:pPr>
            <w:r>
              <w:t>西厂界</w:t>
            </w:r>
          </w:p>
        </w:tc>
        <w:tc>
          <w:tcPr>
            <w:tcW w:w="1117" w:type="dxa"/>
            <w:vAlign w:val="center"/>
          </w:tcPr>
          <w:p>
            <w:pPr>
              <w:pStyle w:val="92"/>
            </w:pPr>
            <w: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车间</w:t>
            </w:r>
            <w:r>
              <w:rPr>
                <w:rFonts w:hint="eastAsia"/>
                <w:kern w:val="0"/>
                <w:sz w:val="21"/>
                <w:szCs w:val="20"/>
              </w:rPr>
              <w:t>二</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圆锥初清筛</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r>
              <w:rPr>
                <w:kern w:val="0"/>
                <w:sz w:val="21"/>
                <w:szCs w:val="20"/>
              </w:rPr>
              <w:t>0</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48</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26</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锤片粉碎机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75</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46</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超微粉粉碎机组</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脉冲除尘器</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18</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51</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18</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引风机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19</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17</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restart"/>
            <w:vAlign w:val="center"/>
          </w:tcPr>
          <w:p>
            <w:pPr>
              <w:pStyle w:val="48"/>
            </w:pPr>
            <w:r>
              <w:t>车间</w:t>
            </w:r>
            <w:r>
              <w:rPr>
                <w:rFonts w:hint="eastAsia"/>
              </w:rPr>
              <w:t>一</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捏合循环泵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124</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卸料除尘器</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w:t>
            </w:r>
            <w:r>
              <w:rPr>
                <w:rFonts w:hint="eastAsia"/>
                <w:kern w:val="0"/>
                <w:sz w:val="21"/>
                <w:szCs w:val="20"/>
              </w:rPr>
              <w:t>1</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pStyle w:val="93"/>
              <w:rPr>
                <w:b w:val="0"/>
              </w:rPr>
            </w:pPr>
            <w:r>
              <w:rPr>
                <w:rFonts w:hint="eastAsia"/>
                <w:b w:val="0"/>
              </w:rPr>
              <w:t>脉冲除尘器</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121</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6" w:hRule="atLeast"/>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pStyle w:val="93"/>
              <w:rPr>
                <w:b w:val="0"/>
              </w:rPr>
            </w:pPr>
            <w:r>
              <w:rPr>
                <w:rFonts w:hint="eastAsia"/>
                <w:b w:val="0"/>
              </w:rPr>
              <w:t>1#出料泵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700" w:type="dxa"/>
            <w:vAlign w:val="center"/>
          </w:tcPr>
          <w:p>
            <w:pPr>
              <w:pStyle w:val="93"/>
              <w:rPr>
                <w:b w:val="0"/>
              </w:rPr>
            </w:pPr>
            <w:r>
              <w:rPr>
                <w:rFonts w:hint="eastAsia"/>
                <w:b w:val="0"/>
              </w:rPr>
              <w:t>叶片过滤机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24</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124</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pStyle w:val="93"/>
              <w:rPr>
                <w:b w:val="0"/>
              </w:rPr>
            </w:pPr>
            <w:r>
              <w:rPr>
                <w:rFonts w:hint="eastAsia"/>
                <w:b w:val="0"/>
              </w:rPr>
              <w:t>2#出料泵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121</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叶片过滤机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24</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123</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1#水环真空泵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125</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3#出料泵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119</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叶片过滤机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24</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125</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4#出料泵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118</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叶片过滤机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55</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18</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125</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18</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1#水环真空泵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11</w:t>
            </w:r>
            <w:r>
              <w:rPr>
                <w:kern w:val="0"/>
                <w:sz w:val="21"/>
                <w:szCs w:val="20"/>
              </w:rPr>
              <w:t>8</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1级抽出泵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19</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17</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脉冲除尘器</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124</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脱色抽出泵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123</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引风机</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21</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123</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restart"/>
            <w:vAlign w:val="center"/>
          </w:tcPr>
          <w:p>
            <w:pPr>
              <w:pStyle w:val="48"/>
            </w:pPr>
            <w:r>
              <w:t>车间</w:t>
            </w:r>
            <w:r>
              <w:rPr>
                <w:rFonts w:hint="eastAsia"/>
              </w:rPr>
              <w:t>一</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脉冲除尘器</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r>
              <w:rPr>
                <w:kern w:val="0"/>
                <w:sz w:val="21"/>
                <w:szCs w:val="20"/>
              </w:rPr>
              <w:t>5</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11</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抽出泵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26</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121</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10</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酸化抽出泵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w:t>
            </w:r>
            <w:r>
              <w:rPr>
                <w:kern w:val="0"/>
                <w:sz w:val="21"/>
                <w:szCs w:val="20"/>
              </w:rPr>
              <w:t>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25</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122</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11</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restart"/>
            <w:vAlign w:val="center"/>
          </w:tcPr>
          <w:p>
            <w:pPr>
              <w:pStyle w:val="48"/>
            </w:pPr>
            <w:r>
              <w:rPr>
                <w:kern w:val="0"/>
              </w:rPr>
              <w:t>车间</w:t>
            </w:r>
            <w:r>
              <w:rPr>
                <w:rFonts w:hint="eastAsia"/>
                <w:kern w:val="0"/>
              </w:rPr>
              <w:t>二</w:t>
            </w:r>
          </w:p>
        </w:tc>
        <w:tc>
          <w:tcPr>
            <w:tcW w:w="1700" w:type="dxa"/>
            <w:vAlign w:val="center"/>
          </w:tcPr>
          <w:p>
            <w:pPr>
              <w:pStyle w:val="93"/>
              <w:rPr>
                <w:b w:val="0"/>
              </w:rPr>
            </w:pPr>
            <w:r>
              <w:rPr>
                <w:rFonts w:hint="eastAsia"/>
                <w:b w:val="0"/>
              </w:rPr>
              <w:t>物料抽出泵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w:t>
            </w:r>
            <w:r>
              <w:rPr>
                <w:kern w:val="0"/>
                <w:sz w:val="21"/>
                <w:szCs w:val="20"/>
              </w:rPr>
              <w:t>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20</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16</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pStyle w:val="93"/>
              <w:rPr>
                <w:b w:val="0"/>
              </w:rPr>
            </w:pPr>
            <w:r>
              <w:rPr>
                <w:rFonts w:hint="eastAsia"/>
                <w:b w:val="0"/>
              </w:rPr>
              <w:t>循环水泵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88</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真空泵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w:t>
            </w:r>
            <w:r>
              <w:rPr>
                <w:kern w:val="0"/>
                <w:sz w:val="21"/>
                <w:szCs w:val="20"/>
              </w:rPr>
              <w:t>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21</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86</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15</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冷却塔</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r>
              <w:rPr>
                <w:kern w:val="0"/>
                <w:sz w:val="21"/>
                <w:szCs w:val="20"/>
              </w:rPr>
              <w:t>3</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13</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循环水泵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24</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12</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空压机组</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25</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85</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11</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冷却水泵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22</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14</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28" w:type="dxa"/>
            <w:vAlign w:val="center"/>
          </w:tcPr>
          <w:p>
            <w:pPr>
              <w:pStyle w:val="48"/>
              <w:numPr>
                <w:ilvl w:val="0"/>
                <w:numId w:val="13"/>
              </w:numPr>
            </w:pPr>
          </w:p>
        </w:tc>
        <w:tc>
          <w:tcPr>
            <w:tcW w:w="833" w:type="dxa"/>
            <w:vMerge w:val="continue"/>
            <w:vAlign w:val="center"/>
          </w:tcPr>
          <w:p>
            <w:pPr>
              <w:pStyle w:val="48"/>
            </w:pP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冷冻循环水泵</w:t>
            </w:r>
          </w:p>
        </w:tc>
        <w:tc>
          <w:tcPr>
            <w:tcW w:w="993" w:type="dxa"/>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w:t>
            </w:r>
          </w:p>
        </w:tc>
        <w:tc>
          <w:tcPr>
            <w:tcW w:w="127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70</w:t>
            </w:r>
          </w:p>
        </w:tc>
        <w:tc>
          <w:tcPr>
            <w:tcW w:w="85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23</w:t>
            </w:r>
          </w:p>
        </w:tc>
        <w:tc>
          <w:tcPr>
            <w:tcW w:w="85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82</w:t>
            </w:r>
          </w:p>
        </w:tc>
        <w:tc>
          <w:tcPr>
            <w:tcW w:w="991"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13</w:t>
            </w:r>
          </w:p>
        </w:tc>
        <w:tc>
          <w:tcPr>
            <w:tcW w:w="111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92</w:t>
            </w:r>
          </w:p>
        </w:tc>
      </w:tr>
    </w:tbl>
    <w:p>
      <w:pPr>
        <w:pStyle w:val="5"/>
      </w:pPr>
      <w:r>
        <w:t>噪声影响预测</w:t>
      </w:r>
      <w:bookmarkEnd w:id="128"/>
      <w:bookmarkEnd w:id="129"/>
      <w:bookmarkEnd w:id="130"/>
    </w:p>
    <w:p>
      <w:pPr>
        <w:ind w:firstLine="480"/>
      </w:pPr>
      <w:bookmarkStart w:id="131" w:name="_Toc382810897"/>
      <w:bookmarkStart w:id="132" w:name="_Toc364090163"/>
      <w:bookmarkStart w:id="133" w:name="_Toc349767217"/>
      <w:bookmarkStart w:id="134" w:name="_Toc346223453"/>
      <w:bookmarkStart w:id="135" w:name="_Toc346224114"/>
      <w:bookmarkStart w:id="136" w:name="_Toc346223670"/>
      <w:r>
        <w:t>本次评价采用《环境影响评价技术导则声环境》(HJ 2.4－2009)中推荐模式进行预测，具体模式如下：</w:t>
      </w:r>
    </w:p>
    <w:p>
      <w:pPr>
        <w:ind w:firstLine="480"/>
      </w:pPr>
      <w:r>
        <w:t>（1）室外声源在预测点的A声级</w:t>
      </w:r>
    </w:p>
    <w:p>
      <w:pPr>
        <w:ind w:firstLine="480"/>
        <w:jc w:val="center"/>
      </w:pPr>
      <w:r>
        <w:object>
          <v:shape id="_x0000_i1034" o:spt="75" type="#_x0000_t75" style="height:22.45pt;width:258.7pt;" o:ole="t" fillcolor="#FFFFFF" filled="t" coordsize="21600,21600">
            <v:path/>
            <v:fill on="t" focussize="0,0"/>
            <v:stroke/>
            <v:imagedata r:id="rId94" o:title=""/>
            <o:lock v:ext="edit" aspectratio="t"/>
            <w10:wrap type="none"/>
            <w10:anchorlock/>
          </v:shape>
          <o:OLEObject Type="Embed" ProgID="Equation.3" ShapeID="_x0000_i1034" DrawAspect="Content" ObjectID="_1468075734" r:id="rId93">
            <o:LockedField>false</o:LockedField>
          </o:OLEObject>
        </w:object>
      </w:r>
    </w:p>
    <w:p>
      <w:pPr>
        <w:ind w:firstLine="480"/>
      </w:pPr>
      <w:r>
        <w:t>式中：</w:t>
      </w:r>
    </w:p>
    <w:p>
      <w:pPr>
        <w:ind w:firstLine="480"/>
      </w:pPr>
      <w:r>
        <w:t>Lp(r)——距声源r处的A声级，dB(A)；</w:t>
      </w:r>
    </w:p>
    <w:p>
      <w:pPr>
        <w:ind w:firstLine="480"/>
      </w:pPr>
      <w:r>
        <w:t>Lp(r</w:t>
      </w:r>
      <w:r>
        <w:rPr>
          <w:vertAlign w:val="subscript"/>
        </w:rPr>
        <w:t>0</w:t>
      </w:r>
      <w:r>
        <w:t>)——参考位置r</w:t>
      </w:r>
      <w:r>
        <w:rPr>
          <w:vertAlign w:val="subscript"/>
        </w:rPr>
        <w:t>0</w:t>
      </w:r>
      <w:r>
        <w:t>处的A声级，dB(A)；</w:t>
      </w:r>
    </w:p>
    <w:p>
      <w:pPr>
        <w:ind w:firstLine="480"/>
      </w:pPr>
      <w:r>
        <w:t>A</w:t>
      </w:r>
      <w:r>
        <w:rPr>
          <w:vertAlign w:val="subscript"/>
        </w:rPr>
        <w:t>div</w:t>
      </w:r>
      <w:r>
        <w:t>——声波几何发散引起的A声级衰减量，dB(A)；</w:t>
      </w:r>
    </w:p>
    <w:p>
      <w:pPr>
        <w:ind w:firstLine="480"/>
      </w:pPr>
      <w:r>
        <w:t>A</w:t>
      </w:r>
      <w:r>
        <w:rPr>
          <w:vertAlign w:val="subscript"/>
        </w:rPr>
        <w:t>bar</w:t>
      </w:r>
      <w:r>
        <w:t>——遮挡物引起的A声级衰减量，dB(A)；</w:t>
      </w:r>
    </w:p>
    <w:p>
      <w:pPr>
        <w:ind w:firstLine="480"/>
      </w:pPr>
      <w:r>
        <w:t>A</w:t>
      </w:r>
      <w:r>
        <w:rPr>
          <w:vertAlign w:val="subscript"/>
        </w:rPr>
        <w:t>atm</w:t>
      </w:r>
      <w:r>
        <w:t>——空气吸收衰减量，dB(A)；</w:t>
      </w:r>
    </w:p>
    <w:p>
      <w:pPr>
        <w:ind w:firstLine="480"/>
      </w:pPr>
      <w:r>
        <w:t>A</w:t>
      </w:r>
      <w:r>
        <w:rPr>
          <w:vertAlign w:val="subscript"/>
        </w:rPr>
        <w:t>gr</w:t>
      </w:r>
      <w:r>
        <w:t>——地面效应衰减量，dB(A)；</w:t>
      </w:r>
    </w:p>
    <w:p>
      <w:pPr>
        <w:ind w:firstLine="480"/>
      </w:pPr>
      <w:r>
        <w:t>A</w:t>
      </w:r>
      <w:r>
        <w:rPr>
          <w:vertAlign w:val="subscript"/>
        </w:rPr>
        <w:t>misc</w:t>
      </w:r>
      <w:r>
        <w:t>——其它方面效应衰减量，dB(A)。</w:t>
      </w:r>
    </w:p>
    <w:p>
      <w:pPr>
        <w:ind w:firstLine="480"/>
      </w:pPr>
      <w:r>
        <w:t>（2）室内声源在预测点的A声级计算</w:t>
      </w:r>
    </w:p>
    <w:p>
      <w:pPr>
        <w:ind w:firstLine="480"/>
      </w:pPr>
      <w:r>
        <w:t>a.首先计算某个室内声源在靠近围护结构处的A声级</w:t>
      </w:r>
    </w:p>
    <w:p>
      <w:pPr>
        <w:ind w:firstLine="480"/>
        <w:jc w:val="center"/>
      </w:pPr>
      <w:r>
        <w:object>
          <v:shape id="_x0000_i1035" o:spt="75" type="#_x0000_t75" style="height:36.85pt;width:121.6pt;" o:ole="t" filled="f" coordsize="21600,21600">
            <v:path/>
            <v:fill on="f" focussize="0,0"/>
            <v:stroke/>
            <v:imagedata r:id="rId96" o:title=""/>
            <o:lock v:ext="edit" aspectratio="t"/>
            <w10:wrap type="none"/>
            <w10:anchorlock/>
          </v:shape>
          <o:OLEObject Type="Embed" ProgID="Equation.3" ShapeID="_x0000_i1035" DrawAspect="Content" ObjectID="_1468075735" r:id="rId95">
            <o:LockedField>false</o:LockedField>
          </o:OLEObject>
        </w:object>
      </w:r>
    </w:p>
    <w:p>
      <w:pPr>
        <w:ind w:firstLine="480"/>
      </w:pPr>
      <w:r>
        <w:t>式中：</w:t>
      </w:r>
    </w:p>
    <w:p>
      <w:pPr>
        <w:ind w:firstLine="480"/>
      </w:pPr>
      <w:r>
        <w:t>Li——某个室内声源在靠近围护结构处产生的A声级，dB(A)；</w:t>
      </w:r>
    </w:p>
    <w:p>
      <w:pPr>
        <w:ind w:firstLine="480"/>
      </w:pPr>
      <w:r>
        <w:t>Lw——某个声源的声功率级，dB(A)；</w:t>
      </w:r>
    </w:p>
    <w:p>
      <w:pPr>
        <w:ind w:firstLine="480"/>
      </w:pPr>
      <w:r>
        <w:t>r——某个声源与靠近围护结构处的距离，m；</w:t>
      </w:r>
    </w:p>
    <w:p>
      <w:pPr>
        <w:ind w:firstLine="480"/>
      </w:pPr>
      <w:r>
        <w:t>R——房间常数（取R =10 m</w:t>
      </w:r>
      <w:r>
        <w:rPr>
          <w:vertAlign w:val="superscript"/>
        </w:rPr>
        <w:t>2</w:t>
      </w:r>
      <w:r>
        <w:t>）；</w:t>
      </w:r>
    </w:p>
    <w:p>
      <w:pPr>
        <w:ind w:firstLine="480"/>
      </w:pPr>
      <w:r>
        <w:t>Q——方向性因子（取Q=1）。</w:t>
      </w:r>
    </w:p>
    <w:p>
      <w:pPr>
        <w:ind w:firstLine="480"/>
      </w:pPr>
      <w:r>
        <w:t>b.计算所有室内声源在靠近围护结构处产生的总有效声级</w:t>
      </w:r>
    </w:p>
    <w:p>
      <w:pPr>
        <w:ind w:firstLine="480"/>
        <w:jc w:val="center"/>
      </w:pPr>
      <w:r>
        <w:object>
          <v:shape id="_x0000_i1036" o:spt="75" type="#_x0000_t75" style="height:36.85pt;width:108.8pt;" o:ole="t" filled="f" coordsize="21600,21600">
            <v:path/>
            <v:fill on="f" focussize="0,0"/>
            <v:stroke/>
            <v:imagedata r:id="rId98" o:title=""/>
            <o:lock v:ext="edit" aspectratio="t"/>
            <w10:wrap type="none"/>
            <w10:anchorlock/>
          </v:shape>
          <o:OLEObject Type="Embed" ProgID="Equation.3" ShapeID="_x0000_i1036" DrawAspect="Content" ObjectID="_1468075736" r:id="rId97">
            <o:LockedField>false</o:LockedField>
          </o:OLEObject>
        </w:object>
      </w:r>
    </w:p>
    <w:p>
      <w:pPr>
        <w:ind w:firstLine="480"/>
      </w:pPr>
      <w:r>
        <w:t>c.计算室外靠近围护结构处的A声级</w:t>
      </w:r>
    </w:p>
    <w:p>
      <w:pPr>
        <w:ind w:firstLine="480"/>
        <w:jc w:val="center"/>
      </w:pPr>
      <w:r>
        <w:object>
          <v:shape id="_x0000_i1037" o:spt="75" type="#_x0000_t75" style="height:22.45pt;width:122.15pt;" o:ole="t" filled="f" coordsize="21600,21600">
            <v:path/>
            <v:fill on="f" focussize="0,0"/>
            <v:stroke/>
            <v:imagedata r:id="rId100" o:title=""/>
            <o:lock v:ext="edit" aspectratio="t"/>
            <w10:wrap type="none"/>
            <w10:anchorlock/>
          </v:shape>
          <o:OLEObject Type="Embed" ProgID="Equation.3" ShapeID="_x0000_i1037" DrawAspect="Content" ObjectID="_1468075737" r:id="rId99">
            <o:LockedField>false</o:LockedField>
          </o:OLEObject>
        </w:object>
      </w:r>
    </w:p>
    <w:p>
      <w:pPr>
        <w:ind w:firstLine="480"/>
      </w:pPr>
      <w:r>
        <w:t>式中：</w:t>
      </w:r>
    </w:p>
    <w:p>
      <w:pPr>
        <w:ind w:firstLine="480"/>
      </w:pPr>
      <w:r>
        <w:t>TL——窗户平均隔声量，dB(A)。</w:t>
      </w:r>
    </w:p>
    <w:p>
      <w:pPr>
        <w:ind w:firstLine="480"/>
      </w:pPr>
      <w:r>
        <w:t>d.将室外声级L</w:t>
      </w:r>
      <w:r>
        <w:rPr>
          <w:vertAlign w:val="subscript"/>
        </w:rPr>
        <w:t>2</w:t>
      </w:r>
      <w:r>
        <w:t>(T)和透声面积换算成等效的室外声源，计算出等效声源的声功率级Lw：</w:t>
      </w:r>
    </w:p>
    <w:p>
      <w:pPr>
        <w:ind w:firstLine="480"/>
        <w:jc w:val="center"/>
      </w:pPr>
      <w:r>
        <w:object>
          <v:shape id="_x0000_i1038" o:spt="75" type="#_x0000_t75" style="height:22.45pt;width:107.1pt;" o:ole="t" filled="f" coordsize="21600,21600">
            <v:path/>
            <v:fill on="f" focussize="0,0"/>
            <v:stroke/>
            <v:imagedata r:id="rId102" o:title=""/>
            <o:lock v:ext="edit" aspectratio="t"/>
            <w10:wrap type="none"/>
            <w10:anchorlock/>
          </v:shape>
          <o:OLEObject Type="Embed" ProgID="Equation.3" ShapeID="_x0000_i1038" DrawAspect="Content" ObjectID="_1468075738" r:id="rId101">
            <o:LockedField>false</o:LockedField>
          </o:OLEObject>
        </w:object>
      </w:r>
    </w:p>
    <w:p>
      <w:pPr>
        <w:ind w:firstLine="480"/>
      </w:pPr>
      <w:r>
        <w:t>式中：</w:t>
      </w:r>
    </w:p>
    <w:p>
      <w:pPr>
        <w:ind w:firstLine="480"/>
      </w:pPr>
      <w:r>
        <w:t>S——透声面积，m</w:t>
      </w:r>
      <w:r>
        <w:rPr>
          <w:vertAlign w:val="superscript"/>
        </w:rPr>
        <w:t>2</w:t>
      </w:r>
      <w:r>
        <w:t>（取S =10 m</w:t>
      </w:r>
      <w:r>
        <w:rPr>
          <w:vertAlign w:val="superscript"/>
        </w:rPr>
        <w:t>2</w:t>
      </w:r>
      <w:r>
        <w:t>）。</w:t>
      </w:r>
    </w:p>
    <w:p>
      <w:pPr>
        <w:ind w:firstLine="480"/>
      </w:pPr>
      <w:r>
        <w:t>e.等效室外声源的位置为围护结构的位置，其声功率级为Lw，由此计算等效声源在预测点产生的声级。</w:t>
      </w:r>
    </w:p>
    <w:p>
      <w:pPr>
        <w:ind w:firstLine="480"/>
      </w:pPr>
      <w:r>
        <w:t>（3）总声级的计算</w:t>
      </w:r>
    </w:p>
    <w:p>
      <w:pPr>
        <w:ind w:firstLine="480"/>
      </w:pPr>
      <w:r>
        <w:t>设第i个室外声源在预测点产生的A声级为LA</w:t>
      </w:r>
      <w:r>
        <w:rPr>
          <w:vertAlign w:val="subscript"/>
        </w:rPr>
        <w:t>in,i</w:t>
      </w:r>
      <w:r>
        <w:t>，在T时间内该声源工作时间为t</w:t>
      </w:r>
      <w:r>
        <w:rPr>
          <w:vertAlign w:val="subscript"/>
        </w:rPr>
        <w:t>in,i</w:t>
      </w:r>
      <w:r>
        <w:t>；设第j个等效室外声源在预测点产生的A声级为LA</w:t>
      </w:r>
      <w:r>
        <w:rPr>
          <w:vertAlign w:val="subscript"/>
        </w:rPr>
        <w:t>jout,j</w:t>
      </w:r>
      <w:r>
        <w:t>，在T时间内该声源工作时间为t</w:t>
      </w:r>
      <w:r>
        <w:rPr>
          <w:vertAlign w:val="subscript"/>
        </w:rPr>
        <w:t>in,j</w:t>
      </w:r>
      <w:r>
        <w:t>，则预测点的总有效声级为：</w:t>
      </w:r>
    </w:p>
    <w:p>
      <w:pPr>
        <w:ind w:firstLine="480"/>
        <w:jc w:val="center"/>
      </w:pPr>
      <w:r>
        <w:object>
          <v:shape id="_x0000_i1039" o:spt="75" type="#_x0000_t75" style="height:36.85pt;width:267.8pt;" o:ole="t" filled="f" coordsize="21600,21600">
            <v:path/>
            <v:fill on="f" focussize="0,0"/>
            <v:stroke/>
            <v:imagedata r:id="rId104" o:title=""/>
            <o:lock v:ext="edit" aspectratio="t"/>
            <w10:wrap type="none"/>
            <w10:anchorlock/>
          </v:shape>
          <o:OLEObject Type="Embed" ProgID="Equation.3" ShapeID="_x0000_i1039" DrawAspect="Content" ObjectID="_1468075739" r:id="rId103">
            <o:LockedField>false</o:LockedField>
          </o:OLEObject>
        </w:object>
      </w:r>
    </w:p>
    <w:p>
      <w:pPr>
        <w:ind w:firstLine="480"/>
      </w:pPr>
      <w:r>
        <w:t>式中：</w:t>
      </w:r>
    </w:p>
    <w:p>
      <w:pPr>
        <w:ind w:firstLine="480"/>
      </w:pPr>
      <w:r>
        <w:t>T——计算等效声级的时间；</w:t>
      </w:r>
    </w:p>
    <w:p>
      <w:pPr>
        <w:ind w:firstLine="480"/>
      </w:pPr>
      <w:r>
        <w:t>N——室外声源的个数；</w:t>
      </w:r>
    </w:p>
    <w:p>
      <w:pPr>
        <w:ind w:firstLine="480"/>
      </w:pPr>
      <w:r>
        <w:t>M——等效室外声源的个数。</w:t>
      </w:r>
    </w:p>
    <w:p>
      <w:pPr>
        <w:ind w:firstLine="480"/>
      </w:pPr>
      <w:r>
        <w:t>（4）预测参数的确定：</w:t>
      </w:r>
    </w:p>
    <w:p>
      <w:pPr>
        <w:ind w:firstLine="480"/>
      </w:pPr>
      <w:r>
        <w:t>a.窗户的平均隔声量TL取经验值，15dB(A)。</w:t>
      </w:r>
    </w:p>
    <w:p>
      <w:pPr>
        <w:ind w:firstLine="480"/>
      </w:pPr>
      <w:r>
        <w:t>b.声波几何发散引起的A声级衰减量：</w:t>
      </w:r>
    </w:p>
    <w:p>
      <w:pPr>
        <w:ind w:firstLine="480"/>
        <w:jc w:val="center"/>
      </w:pPr>
      <w:r>
        <w:rPr>
          <w:position w:val="-30"/>
        </w:rPr>
        <w:object>
          <v:shape id="_x0000_i1040" o:spt="75" type="#_x0000_t75" style="height:36.85pt;width:72pt;" o:ole="t" filled="f" coordsize="21600,21600">
            <v:path/>
            <v:fill on="f" focussize="0,0"/>
            <v:stroke/>
            <v:imagedata r:id="rId106" o:title=""/>
            <o:lock v:ext="edit" aspectratio="t"/>
            <w10:wrap type="none"/>
            <w10:anchorlock/>
          </v:shape>
          <o:OLEObject Type="Embed" ProgID="Equation.DSMT4" ShapeID="_x0000_i1040" DrawAspect="Content" ObjectID="_1468075740" r:id="rId105">
            <o:LockedField>false</o:LockedField>
          </o:OLEObject>
        </w:object>
      </w:r>
    </w:p>
    <w:p>
      <w:pPr>
        <w:ind w:firstLine="480"/>
      </w:pPr>
      <w:r>
        <w:t>c.空气吸收衰减量Aatm：</w:t>
      </w:r>
    </w:p>
    <w:p>
      <w:pPr>
        <w:ind w:firstLine="480"/>
        <w:jc w:val="center"/>
      </w:pPr>
      <w:r>
        <w:object>
          <v:shape id="_x0000_i1041" o:spt="75" type="#_x0000_t75" style="height:42.6pt;width:94.5pt;" o:ole="t" filled="f" coordsize="21600,21600">
            <v:path/>
            <v:fill on="f" focussize="0,0"/>
            <v:stroke/>
            <v:imagedata r:id="rId108" o:title=""/>
            <o:lock v:ext="edit" aspectratio="t"/>
            <w10:wrap type="none"/>
            <w10:anchorlock/>
          </v:shape>
          <o:OLEObject Type="Embed" ProgID="Equation.3" ShapeID="_x0000_i1041" DrawAspect="Content" ObjectID="_1468075741" r:id="rId107">
            <o:LockedField>false</o:LockedField>
          </o:OLEObject>
        </w:object>
      </w:r>
    </w:p>
    <w:p>
      <w:pPr>
        <w:ind w:firstLine="480"/>
      </w:pPr>
      <w:r>
        <w:t>式中：</w:t>
      </w:r>
    </w:p>
    <w:p>
      <w:pPr>
        <w:ind w:firstLine="480"/>
      </w:pPr>
      <w:r>
        <w:t>r——预测点到声源的距离，m；</w:t>
      </w:r>
    </w:p>
    <w:p>
      <w:pPr>
        <w:ind w:firstLine="480"/>
      </w:pPr>
      <w:r>
        <w:t>r</w:t>
      </w:r>
      <w:r>
        <w:rPr>
          <w:vertAlign w:val="subscript"/>
        </w:rPr>
        <w:t>0</w:t>
      </w:r>
      <w:r>
        <w:t>——参考点到声源的距离，m；</w:t>
      </w:r>
    </w:p>
    <w:p>
      <w:pPr>
        <w:ind w:firstLine="480"/>
      </w:pPr>
      <w:r>
        <w:t>a——空气吸收系数，它随频率和距离的增大而增大，本次预测空气吸收性衰减很小，预测时可忽略不计。</w:t>
      </w:r>
    </w:p>
    <w:p>
      <w:pPr>
        <w:ind w:firstLine="480"/>
      </w:pPr>
      <w:r>
        <w:t>d.地面效应衰减Agr</w:t>
      </w:r>
    </w:p>
    <w:p>
      <w:pPr>
        <w:ind w:firstLine="480"/>
      </w:pPr>
      <w:r>
        <w:t>一般地面类型可分为坚实地面（包括铺筑过的路面、水面、冰面以及夯实地面）、疏松地面（包括被草或其他植物覆盖的地面，以及农田等适合于植物生长的地面）和混合地面（由坚实地面和疏松地面组成）。声波越过疏松地面传播时，或大部分为疏松地面的混合地面，在预测点仅计算A声级前提下，地面效应引起的倍频带衰减可用下式进行计算：</w:t>
      </w:r>
    </w:p>
    <w:p>
      <w:pPr>
        <w:ind w:firstLine="480"/>
        <w:jc w:val="center"/>
      </w:pPr>
      <w:r>
        <w:object>
          <v:shape id="_x0000_i1042" o:spt="75" type="#_x0000_t75" style="height:50.1pt;width:186.6pt;" o:ole="t" filled="f" coordsize="21600,21600">
            <v:path/>
            <v:fill on="f" focussize="0,0"/>
            <v:stroke/>
            <v:imagedata r:id="rId110" o:title=""/>
            <o:lock v:ext="edit" aspectratio="t"/>
            <w10:wrap type="none"/>
            <w10:anchorlock/>
          </v:shape>
          <o:OLEObject Type="Embed" ProgID="Equation.3" ShapeID="_x0000_i1042" DrawAspect="Content" ObjectID="_1468075742" r:id="rId109">
            <o:LockedField>false</o:LockedField>
          </o:OLEObject>
        </w:object>
      </w:r>
    </w:p>
    <w:p>
      <w:pPr>
        <w:ind w:firstLine="480"/>
      </w:pPr>
      <w:r>
        <w:t>式中：r —声源到预测点的距离，m；</w:t>
      </w:r>
    </w:p>
    <w:p>
      <w:pPr>
        <w:ind w:firstLine="480"/>
      </w:pPr>
      <w:r>
        <w:t>h</w:t>
      </w:r>
      <w:r>
        <w:rPr>
          <w:vertAlign w:val="subscript"/>
        </w:rPr>
        <w:t>m</w:t>
      </w:r>
      <w:r>
        <w:t>—传播路径的平均离地高度，m。</w:t>
      </w:r>
    </w:p>
    <w:p>
      <w:pPr>
        <w:ind w:firstLine="480"/>
      </w:pPr>
      <w:r>
        <w:t>e.屏障引起的衰减量Abar</w:t>
      </w:r>
    </w:p>
    <w:p>
      <w:pPr>
        <w:ind w:firstLine="480"/>
      </w:pPr>
      <w:r>
        <w:t>噪声在向外传播过程中将受到厂房或其它车间的阻挡影响，从而引起声能量的衰减，具体衰减根据不同声级的传播途径而定，一般取8dB(A)。</w:t>
      </w:r>
    </w:p>
    <w:p>
      <w:pPr>
        <w:ind w:firstLine="480"/>
      </w:pPr>
      <w:r>
        <w:t>f.其它多方面原因引起的衰减量Amisc</w:t>
      </w:r>
    </w:p>
    <w:p>
      <w:pPr>
        <w:ind w:firstLine="480"/>
      </w:pPr>
      <w:r>
        <w:t>主要包括通过工业场所的衰减和通过房屋群的衰减等，在声环境影响评价中，一般情况下，不考虑自然条件（如风、温度梯度、雾等）变化引起的附加修正。根据项目厂区布置和噪声源强及外环境状况，可以忽略本项附加衰减量。</w:t>
      </w:r>
    </w:p>
    <w:p>
      <w:pPr>
        <w:ind w:firstLine="480"/>
        <w:rPr>
          <w:szCs w:val="24"/>
        </w:rPr>
      </w:pPr>
      <w:r>
        <w:rPr>
          <w:szCs w:val="24"/>
        </w:rPr>
        <w:t>（5）拟采取的噪声控制措施</w:t>
      </w:r>
    </w:p>
    <w:p>
      <w:pPr>
        <w:ind w:firstLine="480"/>
        <w:rPr>
          <w:szCs w:val="24"/>
        </w:rPr>
      </w:pPr>
      <w:r>
        <w:rPr>
          <w:szCs w:val="24"/>
        </w:rPr>
        <w:t>为减轻噪声对周围环境影响，要求车间严格按规范设计，选用低噪声设备，风机安装减振垫、风管与设备采用软连接，排风口安装消声器，可降噪</w:t>
      </w:r>
      <w:r>
        <w:rPr>
          <w:rFonts w:hint="eastAsia"/>
          <w:szCs w:val="24"/>
        </w:rPr>
        <w:t>15</w:t>
      </w:r>
      <w:r>
        <w:rPr>
          <w:szCs w:val="24"/>
        </w:rPr>
        <w:t>~20dB（A）。</w:t>
      </w:r>
    </w:p>
    <w:p>
      <w:pPr>
        <w:ind w:firstLine="480"/>
      </w:pPr>
      <w:r>
        <w:t>（6）预测结果</w:t>
      </w:r>
    </w:p>
    <w:p>
      <w:pPr>
        <w:pStyle w:val="87"/>
        <w:ind w:firstLine="480"/>
        <w:rPr>
          <w:rFonts w:cs="Times New Roman"/>
        </w:rPr>
      </w:pPr>
      <w:r>
        <w:rPr>
          <w:rFonts w:cs="Times New Roman"/>
        </w:rPr>
        <w:t>根据项目主要设备的噪声源情况，利用上述预测模式和参数计算得各厂界</w:t>
      </w:r>
      <w:r>
        <w:rPr>
          <w:rFonts w:hint="eastAsia" w:cs="Times New Roman"/>
        </w:rPr>
        <w:t>、敏感点</w:t>
      </w:r>
      <w:r>
        <w:rPr>
          <w:rFonts w:cs="Times New Roman"/>
        </w:rPr>
        <w:t>噪声预测值，</w:t>
      </w:r>
      <w:r>
        <w:rPr>
          <w:rFonts w:hint="eastAsia" w:cs="Times New Roman"/>
        </w:rPr>
        <w:t>厂界噪声</w:t>
      </w:r>
      <w:r>
        <w:rPr>
          <w:rFonts w:cs="Times New Roman"/>
        </w:rPr>
        <w:t>以</w:t>
      </w:r>
      <w:r>
        <w:rPr>
          <w:rFonts w:hint="eastAsia" w:cs="Times New Roman"/>
        </w:rPr>
        <w:t>贡献值</w:t>
      </w:r>
      <w:r>
        <w:rPr>
          <w:rFonts w:cs="Times New Roman"/>
        </w:rPr>
        <w:t>作为预测值，</w:t>
      </w:r>
      <w:r>
        <w:rPr>
          <w:rFonts w:hint="eastAsia" w:cs="Times New Roman"/>
        </w:rPr>
        <w:t>敏感点</w:t>
      </w:r>
      <w:r>
        <w:rPr>
          <w:rFonts w:cs="Times New Roman"/>
        </w:rPr>
        <w:t>噪声</w:t>
      </w:r>
      <w:r>
        <w:rPr>
          <w:rFonts w:hint="eastAsia" w:cs="Times New Roman"/>
        </w:rPr>
        <w:t>以</w:t>
      </w:r>
      <w:r>
        <w:rPr>
          <w:rFonts w:cs="Times New Roman"/>
        </w:rPr>
        <w:t>贡献值叠加背景值作为预测值。昼间</w:t>
      </w:r>
      <w:r>
        <w:rPr>
          <w:rFonts w:hint="eastAsia" w:cs="Times New Roman"/>
        </w:rPr>
        <w:t>、</w:t>
      </w:r>
      <w:r>
        <w:rPr>
          <w:rFonts w:cs="Times New Roman"/>
        </w:rPr>
        <w:t>夜间噪声影响和预测结果见</w:t>
      </w:r>
      <w:r>
        <w:rPr>
          <w:rFonts w:hint="eastAsia" w:cs="Times New Roman"/>
        </w:rPr>
        <w:t>表5.2-1</w:t>
      </w:r>
      <w:r>
        <w:rPr>
          <w:rFonts w:cs="Times New Roman"/>
        </w:rPr>
        <w:t>6</w:t>
      </w:r>
      <w:r>
        <w:rPr>
          <w:rFonts w:hint="eastAsia" w:cs="Times New Roman"/>
        </w:rPr>
        <w:t>。</w:t>
      </w:r>
    </w:p>
    <w:p>
      <w:pPr>
        <w:pStyle w:val="93"/>
        <w:rPr>
          <w:rFonts w:hAnsi="Times New Roman"/>
          <w:sz w:val="20"/>
          <w:szCs w:val="20"/>
        </w:rPr>
      </w:pPr>
      <w:bookmarkStart w:id="137" w:name="_Ref26802207"/>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5.2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16</w:t>
      </w:r>
      <w:r>
        <w:rPr>
          <w:rFonts w:hAnsi="Times New Roman"/>
        </w:rPr>
        <w:fldChar w:fldCharType="end"/>
      </w:r>
      <w:bookmarkEnd w:id="137"/>
      <w:r>
        <w:rPr>
          <w:rFonts w:hAnsi="Times New Roman"/>
          <w:szCs w:val="21"/>
        </w:rPr>
        <w:t xml:space="preserve">  噪声预测结果  单位：dB(A)</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95"/>
        <w:gridCol w:w="1345"/>
        <w:gridCol w:w="1186"/>
        <w:gridCol w:w="727"/>
        <w:gridCol w:w="850"/>
        <w:gridCol w:w="993"/>
        <w:gridCol w:w="852"/>
        <w:gridCol w:w="940"/>
        <w:gridCol w:w="727"/>
        <w:gridCol w:w="7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040" w:type="dxa"/>
            <w:gridSpan w:val="2"/>
            <w:vMerge w:val="restart"/>
            <w:vAlign w:val="center"/>
          </w:tcPr>
          <w:p>
            <w:pPr>
              <w:pStyle w:val="92"/>
            </w:pPr>
            <w:r>
              <w:t>预测点</w:t>
            </w:r>
          </w:p>
        </w:tc>
        <w:tc>
          <w:tcPr>
            <w:tcW w:w="1913" w:type="dxa"/>
            <w:gridSpan w:val="2"/>
            <w:vAlign w:val="center"/>
          </w:tcPr>
          <w:p>
            <w:pPr>
              <w:pStyle w:val="92"/>
            </w:pPr>
            <w:r>
              <w:t>贡献值</w:t>
            </w:r>
          </w:p>
        </w:tc>
        <w:tc>
          <w:tcPr>
            <w:tcW w:w="1843" w:type="dxa"/>
            <w:gridSpan w:val="2"/>
            <w:vAlign w:val="center"/>
          </w:tcPr>
          <w:p>
            <w:pPr>
              <w:pStyle w:val="92"/>
            </w:pPr>
            <w:r>
              <w:rPr>
                <w:rFonts w:hint="eastAsia"/>
              </w:rPr>
              <w:t>背景值</w:t>
            </w:r>
          </w:p>
        </w:tc>
        <w:tc>
          <w:tcPr>
            <w:tcW w:w="1792" w:type="dxa"/>
            <w:gridSpan w:val="2"/>
            <w:vAlign w:val="center"/>
          </w:tcPr>
          <w:p>
            <w:pPr>
              <w:pStyle w:val="92"/>
            </w:pPr>
            <w:r>
              <w:rPr>
                <w:rFonts w:hint="eastAsia"/>
              </w:rPr>
              <w:t>预测值</w:t>
            </w:r>
          </w:p>
        </w:tc>
        <w:tc>
          <w:tcPr>
            <w:tcW w:w="1452" w:type="dxa"/>
            <w:gridSpan w:val="2"/>
            <w:vAlign w:val="center"/>
          </w:tcPr>
          <w:p>
            <w:pPr>
              <w:pStyle w:val="92"/>
            </w:pPr>
            <w:r>
              <w:rPr>
                <w:rFonts w:hint="eastAsia"/>
              </w:rPr>
              <w:t>标准</w:t>
            </w:r>
            <w: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040" w:type="dxa"/>
            <w:gridSpan w:val="2"/>
            <w:vMerge w:val="continue"/>
            <w:vAlign w:val="center"/>
          </w:tcPr>
          <w:p>
            <w:pPr>
              <w:pStyle w:val="92"/>
            </w:pPr>
          </w:p>
        </w:tc>
        <w:tc>
          <w:tcPr>
            <w:tcW w:w="1186" w:type="dxa"/>
            <w:vAlign w:val="center"/>
          </w:tcPr>
          <w:p>
            <w:pPr>
              <w:pStyle w:val="92"/>
            </w:pPr>
            <w:r>
              <w:t>昼间</w:t>
            </w:r>
          </w:p>
        </w:tc>
        <w:tc>
          <w:tcPr>
            <w:tcW w:w="727" w:type="dxa"/>
            <w:vAlign w:val="center"/>
          </w:tcPr>
          <w:p>
            <w:pPr>
              <w:pStyle w:val="92"/>
            </w:pPr>
            <w:r>
              <w:rPr>
                <w:rFonts w:hint="eastAsia"/>
              </w:rPr>
              <w:t>夜</w:t>
            </w:r>
            <w:r>
              <w:t>间</w:t>
            </w:r>
          </w:p>
        </w:tc>
        <w:tc>
          <w:tcPr>
            <w:tcW w:w="850" w:type="dxa"/>
            <w:vAlign w:val="center"/>
          </w:tcPr>
          <w:p>
            <w:pPr>
              <w:pStyle w:val="92"/>
            </w:pPr>
            <w:r>
              <w:t>昼间</w:t>
            </w:r>
          </w:p>
        </w:tc>
        <w:tc>
          <w:tcPr>
            <w:tcW w:w="993" w:type="dxa"/>
            <w:vAlign w:val="center"/>
          </w:tcPr>
          <w:p>
            <w:pPr>
              <w:pStyle w:val="92"/>
            </w:pPr>
            <w:r>
              <w:rPr>
                <w:rFonts w:hint="eastAsia"/>
              </w:rPr>
              <w:t>夜</w:t>
            </w:r>
            <w:r>
              <w:t>间</w:t>
            </w:r>
          </w:p>
        </w:tc>
        <w:tc>
          <w:tcPr>
            <w:tcW w:w="852" w:type="dxa"/>
            <w:vAlign w:val="center"/>
          </w:tcPr>
          <w:p>
            <w:pPr>
              <w:pStyle w:val="92"/>
            </w:pPr>
            <w:r>
              <w:t>昼间</w:t>
            </w:r>
          </w:p>
        </w:tc>
        <w:tc>
          <w:tcPr>
            <w:tcW w:w="940" w:type="dxa"/>
            <w:vAlign w:val="center"/>
          </w:tcPr>
          <w:p>
            <w:pPr>
              <w:pStyle w:val="92"/>
            </w:pPr>
            <w:r>
              <w:rPr>
                <w:rFonts w:hint="eastAsia"/>
              </w:rPr>
              <w:t>夜</w:t>
            </w:r>
            <w:r>
              <w:t>间</w:t>
            </w:r>
          </w:p>
        </w:tc>
        <w:tc>
          <w:tcPr>
            <w:tcW w:w="727" w:type="dxa"/>
            <w:vAlign w:val="center"/>
          </w:tcPr>
          <w:p>
            <w:pPr>
              <w:pStyle w:val="92"/>
            </w:pPr>
            <w:r>
              <w:t>昼间</w:t>
            </w:r>
          </w:p>
        </w:tc>
        <w:tc>
          <w:tcPr>
            <w:tcW w:w="725" w:type="dxa"/>
            <w:vAlign w:val="center"/>
          </w:tcPr>
          <w:p>
            <w:pPr>
              <w:pStyle w:val="92"/>
            </w:pPr>
            <w:r>
              <w:rPr>
                <w:rFonts w:hint="eastAsia"/>
              </w:rPr>
              <w:t>夜</w:t>
            </w:r>
            <w:r>
              <w:t>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695" w:type="dxa"/>
            <w:vMerge w:val="restart"/>
            <w:vAlign w:val="center"/>
          </w:tcPr>
          <w:p>
            <w:pPr>
              <w:pStyle w:val="92"/>
            </w:pPr>
            <w:r>
              <w:rPr>
                <w:rFonts w:hint="eastAsia"/>
              </w:rPr>
              <w:t>厂界</w:t>
            </w:r>
          </w:p>
        </w:tc>
        <w:tc>
          <w:tcPr>
            <w:tcW w:w="1345" w:type="dxa"/>
            <w:vAlign w:val="center"/>
          </w:tcPr>
          <w:p>
            <w:pPr>
              <w:pStyle w:val="92"/>
            </w:pPr>
            <w:r>
              <w:t>东厂界</w:t>
            </w:r>
          </w:p>
        </w:tc>
        <w:tc>
          <w:tcPr>
            <w:tcW w:w="1186" w:type="dxa"/>
            <w:vAlign w:val="center"/>
          </w:tcPr>
          <w:p>
            <w:pPr>
              <w:pStyle w:val="92"/>
            </w:pPr>
            <w:r>
              <w:rPr>
                <w:rFonts w:hint="eastAsia"/>
              </w:rPr>
              <w:t>52.1</w:t>
            </w:r>
          </w:p>
        </w:tc>
        <w:tc>
          <w:tcPr>
            <w:tcW w:w="727" w:type="dxa"/>
            <w:vAlign w:val="center"/>
          </w:tcPr>
          <w:p>
            <w:pPr>
              <w:pStyle w:val="92"/>
            </w:pPr>
            <w:r>
              <w:rPr>
                <w:rFonts w:hint="eastAsia"/>
              </w:rPr>
              <w:t>52.1</w:t>
            </w:r>
          </w:p>
        </w:tc>
        <w:tc>
          <w:tcPr>
            <w:tcW w:w="850" w:type="dxa"/>
            <w:vAlign w:val="center"/>
          </w:tcPr>
          <w:p>
            <w:pPr>
              <w:pStyle w:val="92"/>
            </w:pPr>
            <w:r>
              <w:rPr>
                <w:rFonts w:hint="eastAsia"/>
              </w:rPr>
              <w:t>47</w:t>
            </w:r>
          </w:p>
        </w:tc>
        <w:tc>
          <w:tcPr>
            <w:tcW w:w="993" w:type="dxa"/>
            <w:vAlign w:val="center"/>
          </w:tcPr>
          <w:p>
            <w:pPr>
              <w:pStyle w:val="92"/>
            </w:pPr>
            <w:r>
              <w:rPr>
                <w:rFonts w:hint="eastAsia"/>
              </w:rPr>
              <w:t>40</w:t>
            </w:r>
          </w:p>
        </w:tc>
        <w:tc>
          <w:tcPr>
            <w:tcW w:w="852" w:type="dxa"/>
            <w:vAlign w:val="center"/>
          </w:tcPr>
          <w:p>
            <w:pPr>
              <w:pStyle w:val="92"/>
              <w:rPr>
                <w:b/>
              </w:rPr>
            </w:pPr>
            <w:r>
              <w:rPr>
                <w:rFonts w:hint="eastAsia"/>
                <w:b/>
              </w:rPr>
              <w:t>52.1</w:t>
            </w:r>
          </w:p>
        </w:tc>
        <w:tc>
          <w:tcPr>
            <w:tcW w:w="940" w:type="dxa"/>
            <w:vAlign w:val="center"/>
          </w:tcPr>
          <w:p>
            <w:pPr>
              <w:pStyle w:val="92"/>
              <w:rPr>
                <w:b/>
              </w:rPr>
            </w:pPr>
            <w:r>
              <w:rPr>
                <w:rFonts w:hint="eastAsia"/>
                <w:b/>
              </w:rPr>
              <w:t>52.1</w:t>
            </w:r>
          </w:p>
        </w:tc>
        <w:tc>
          <w:tcPr>
            <w:tcW w:w="727" w:type="dxa"/>
            <w:vAlign w:val="center"/>
          </w:tcPr>
          <w:p>
            <w:pPr>
              <w:pStyle w:val="92"/>
            </w:pPr>
            <w:r>
              <w:rPr>
                <w:rFonts w:hint="eastAsia"/>
              </w:rPr>
              <w:t>6</w:t>
            </w:r>
            <w:r>
              <w:t>5</w:t>
            </w:r>
          </w:p>
        </w:tc>
        <w:tc>
          <w:tcPr>
            <w:tcW w:w="725" w:type="dxa"/>
            <w:vAlign w:val="center"/>
          </w:tcPr>
          <w:p>
            <w:pPr>
              <w:pStyle w:val="92"/>
            </w:pPr>
            <w:r>
              <w:rPr>
                <w:rFonts w:hint="eastAsia"/>
              </w:rPr>
              <w:t>5</w:t>
            </w:r>
            <w: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695" w:type="dxa"/>
            <w:vMerge w:val="continue"/>
            <w:vAlign w:val="center"/>
          </w:tcPr>
          <w:p>
            <w:pPr>
              <w:pStyle w:val="92"/>
            </w:pPr>
          </w:p>
        </w:tc>
        <w:tc>
          <w:tcPr>
            <w:tcW w:w="1345" w:type="dxa"/>
            <w:vAlign w:val="center"/>
          </w:tcPr>
          <w:p>
            <w:pPr>
              <w:pStyle w:val="92"/>
            </w:pPr>
            <w:r>
              <w:t>南厂界</w:t>
            </w:r>
          </w:p>
        </w:tc>
        <w:tc>
          <w:tcPr>
            <w:tcW w:w="1186" w:type="dxa"/>
            <w:vAlign w:val="center"/>
          </w:tcPr>
          <w:p>
            <w:pPr>
              <w:pStyle w:val="92"/>
            </w:pPr>
            <w:r>
              <w:rPr>
                <w:rFonts w:hint="eastAsia"/>
              </w:rPr>
              <w:t>39.0</w:t>
            </w:r>
          </w:p>
        </w:tc>
        <w:tc>
          <w:tcPr>
            <w:tcW w:w="727" w:type="dxa"/>
            <w:vAlign w:val="center"/>
          </w:tcPr>
          <w:p>
            <w:pPr>
              <w:pStyle w:val="92"/>
            </w:pPr>
            <w:r>
              <w:rPr>
                <w:rFonts w:hint="eastAsia"/>
              </w:rPr>
              <w:t>39.0</w:t>
            </w:r>
          </w:p>
        </w:tc>
        <w:tc>
          <w:tcPr>
            <w:tcW w:w="850" w:type="dxa"/>
            <w:vAlign w:val="center"/>
          </w:tcPr>
          <w:p>
            <w:pPr>
              <w:pStyle w:val="92"/>
            </w:pPr>
            <w:r>
              <w:rPr>
                <w:rFonts w:hint="eastAsia"/>
              </w:rPr>
              <w:t>54</w:t>
            </w:r>
          </w:p>
        </w:tc>
        <w:tc>
          <w:tcPr>
            <w:tcW w:w="993" w:type="dxa"/>
            <w:vAlign w:val="center"/>
          </w:tcPr>
          <w:p>
            <w:pPr>
              <w:pStyle w:val="92"/>
            </w:pPr>
            <w:r>
              <w:rPr>
                <w:rFonts w:hint="eastAsia"/>
              </w:rPr>
              <w:t>44</w:t>
            </w:r>
          </w:p>
        </w:tc>
        <w:tc>
          <w:tcPr>
            <w:tcW w:w="852" w:type="dxa"/>
            <w:vAlign w:val="center"/>
          </w:tcPr>
          <w:p>
            <w:pPr>
              <w:pStyle w:val="92"/>
              <w:rPr>
                <w:b/>
              </w:rPr>
            </w:pPr>
            <w:r>
              <w:rPr>
                <w:rFonts w:hint="eastAsia"/>
                <w:b/>
              </w:rPr>
              <w:t>39.0</w:t>
            </w:r>
          </w:p>
        </w:tc>
        <w:tc>
          <w:tcPr>
            <w:tcW w:w="940" w:type="dxa"/>
            <w:vAlign w:val="center"/>
          </w:tcPr>
          <w:p>
            <w:pPr>
              <w:pStyle w:val="92"/>
              <w:rPr>
                <w:b/>
              </w:rPr>
            </w:pPr>
            <w:r>
              <w:rPr>
                <w:rFonts w:hint="eastAsia"/>
                <w:b/>
              </w:rPr>
              <w:t>39.0</w:t>
            </w:r>
          </w:p>
        </w:tc>
        <w:tc>
          <w:tcPr>
            <w:tcW w:w="727" w:type="dxa"/>
            <w:vAlign w:val="center"/>
          </w:tcPr>
          <w:p>
            <w:pPr>
              <w:pStyle w:val="92"/>
            </w:pPr>
            <w:r>
              <w:rPr>
                <w:rFonts w:hint="eastAsia"/>
              </w:rPr>
              <w:t>6</w:t>
            </w:r>
            <w:r>
              <w:t>5</w:t>
            </w:r>
          </w:p>
        </w:tc>
        <w:tc>
          <w:tcPr>
            <w:tcW w:w="725" w:type="dxa"/>
            <w:vAlign w:val="center"/>
          </w:tcPr>
          <w:p>
            <w:pPr>
              <w:pStyle w:val="92"/>
            </w:pPr>
            <w:r>
              <w:rPr>
                <w:rFonts w:hint="eastAsia"/>
              </w:rPr>
              <w:t>5</w:t>
            </w:r>
            <w: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695" w:type="dxa"/>
            <w:vMerge w:val="continue"/>
            <w:vAlign w:val="center"/>
          </w:tcPr>
          <w:p>
            <w:pPr>
              <w:pStyle w:val="92"/>
            </w:pPr>
          </w:p>
        </w:tc>
        <w:tc>
          <w:tcPr>
            <w:tcW w:w="1345" w:type="dxa"/>
            <w:vAlign w:val="center"/>
          </w:tcPr>
          <w:p>
            <w:pPr>
              <w:pStyle w:val="92"/>
            </w:pPr>
            <w:r>
              <w:t>西厂界</w:t>
            </w:r>
          </w:p>
        </w:tc>
        <w:tc>
          <w:tcPr>
            <w:tcW w:w="1186" w:type="dxa"/>
            <w:vAlign w:val="center"/>
          </w:tcPr>
          <w:p>
            <w:pPr>
              <w:pStyle w:val="92"/>
            </w:pPr>
            <w:r>
              <w:rPr>
                <w:rFonts w:hint="eastAsia"/>
              </w:rPr>
              <w:t>53.3</w:t>
            </w:r>
          </w:p>
        </w:tc>
        <w:tc>
          <w:tcPr>
            <w:tcW w:w="727" w:type="dxa"/>
            <w:vAlign w:val="center"/>
          </w:tcPr>
          <w:p>
            <w:pPr>
              <w:pStyle w:val="92"/>
            </w:pPr>
            <w:r>
              <w:rPr>
                <w:rFonts w:hint="eastAsia"/>
              </w:rPr>
              <w:t>53.3</w:t>
            </w:r>
          </w:p>
        </w:tc>
        <w:tc>
          <w:tcPr>
            <w:tcW w:w="850" w:type="dxa"/>
            <w:vAlign w:val="center"/>
          </w:tcPr>
          <w:p>
            <w:pPr>
              <w:pStyle w:val="92"/>
            </w:pPr>
            <w:r>
              <w:rPr>
                <w:rFonts w:hint="eastAsia"/>
              </w:rPr>
              <w:t>54</w:t>
            </w:r>
          </w:p>
        </w:tc>
        <w:tc>
          <w:tcPr>
            <w:tcW w:w="993" w:type="dxa"/>
            <w:vAlign w:val="center"/>
          </w:tcPr>
          <w:p>
            <w:pPr>
              <w:pStyle w:val="92"/>
            </w:pPr>
            <w:r>
              <w:rPr>
                <w:rFonts w:hint="eastAsia"/>
              </w:rPr>
              <w:t>45</w:t>
            </w:r>
          </w:p>
        </w:tc>
        <w:tc>
          <w:tcPr>
            <w:tcW w:w="852" w:type="dxa"/>
            <w:vAlign w:val="center"/>
          </w:tcPr>
          <w:p>
            <w:pPr>
              <w:pStyle w:val="92"/>
              <w:rPr>
                <w:b/>
              </w:rPr>
            </w:pPr>
            <w:r>
              <w:rPr>
                <w:rFonts w:hint="eastAsia"/>
                <w:b/>
              </w:rPr>
              <w:t>53.3</w:t>
            </w:r>
          </w:p>
        </w:tc>
        <w:tc>
          <w:tcPr>
            <w:tcW w:w="940" w:type="dxa"/>
            <w:vAlign w:val="center"/>
          </w:tcPr>
          <w:p>
            <w:pPr>
              <w:pStyle w:val="92"/>
              <w:rPr>
                <w:b/>
              </w:rPr>
            </w:pPr>
            <w:r>
              <w:rPr>
                <w:rFonts w:hint="eastAsia"/>
                <w:b/>
              </w:rPr>
              <w:t>53.3</w:t>
            </w:r>
          </w:p>
        </w:tc>
        <w:tc>
          <w:tcPr>
            <w:tcW w:w="727" w:type="dxa"/>
            <w:vAlign w:val="center"/>
          </w:tcPr>
          <w:p>
            <w:pPr>
              <w:pStyle w:val="92"/>
            </w:pPr>
            <w:r>
              <w:rPr>
                <w:rFonts w:hint="eastAsia"/>
              </w:rPr>
              <w:t>6</w:t>
            </w:r>
            <w:r>
              <w:t>5</w:t>
            </w:r>
          </w:p>
        </w:tc>
        <w:tc>
          <w:tcPr>
            <w:tcW w:w="725" w:type="dxa"/>
            <w:vAlign w:val="center"/>
          </w:tcPr>
          <w:p>
            <w:pPr>
              <w:pStyle w:val="92"/>
            </w:pPr>
            <w:r>
              <w:rPr>
                <w:rFonts w:hint="eastAsia"/>
              </w:rPr>
              <w:t>5</w:t>
            </w:r>
            <w: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695" w:type="dxa"/>
            <w:vMerge w:val="continue"/>
            <w:vAlign w:val="center"/>
          </w:tcPr>
          <w:p>
            <w:pPr>
              <w:pStyle w:val="92"/>
            </w:pPr>
          </w:p>
        </w:tc>
        <w:tc>
          <w:tcPr>
            <w:tcW w:w="1345" w:type="dxa"/>
            <w:vAlign w:val="center"/>
          </w:tcPr>
          <w:p>
            <w:pPr>
              <w:pStyle w:val="92"/>
            </w:pPr>
            <w:r>
              <w:t>北厂界</w:t>
            </w:r>
          </w:p>
        </w:tc>
        <w:tc>
          <w:tcPr>
            <w:tcW w:w="1186" w:type="dxa"/>
            <w:vAlign w:val="center"/>
          </w:tcPr>
          <w:p>
            <w:pPr>
              <w:pStyle w:val="92"/>
            </w:pPr>
            <w:r>
              <w:rPr>
                <w:rFonts w:hint="eastAsia"/>
              </w:rPr>
              <w:t>40.8</w:t>
            </w:r>
          </w:p>
        </w:tc>
        <w:tc>
          <w:tcPr>
            <w:tcW w:w="727" w:type="dxa"/>
            <w:vAlign w:val="center"/>
          </w:tcPr>
          <w:p>
            <w:pPr>
              <w:pStyle w:val="92"/>
            </w:pPr>
            <w:r>
              <w:rPr>
                <w:rFonts w:hint="eastAsia"/>
              </w:rPr>
              <w:t>40.8</w:t>
            </w:r>
          </w:p>
        </w:tc>
        <w:tc>
          <w:tcPr>
            <w:tcW w:w="850" w:type="dxa"/>
            <w:vAlign w:val="center"/>
          </w:tcPr>
          <w:p>
            <w:pPr>
              <w:pStyle w:val="92"/>
            </w:pPr>
            <w:r>
              <w:rPr>
                <w:rFonts w:hint="eastAsia"/>
              </w:rPr>
              <w:t>44</w:t>
            </w:r>
          </w:p>
        </w:tc>
        <w:tc>
          <w:tcPr>
            <w:tcW w:w="993" w:type="dxa"/>
            <w:vAlign w:val="center"/>
          </w:tcPr>
          <w:p>
            <w:pPr>
              <w:pStyle w:val="92"/>
            </w:pPr>
            <w:r>
              <w:rPr>
                <w:rFonts w:hint="eastAsia"/>
              </w:rPr>
              <w:t>39</w:t>
            </w:r>
          </w:p>
        </w:tc>
        <w:tc>
          <w:tcPr>
            <w:tcW w:w="852" w:type="dxa"/>
            <w:vAlign w:val="center"/>
          </w:tcPr>
          <w:p>
            <w:pPr>
              <w:pStyle w:val="92"/>
              <w:rPr>
                <w:b/>
              </w:rPr>
            </w:pPr>
            <w:r>
              <w:rPr>
                <w:rFonts w:hint="eastAsia"/>
                <w:b/>
              </w:rPr>
              <w:t>40.8</w:t>
            </w:r>
          </w:p>
        </w:tc>
        <w:tc>
          <w:tcPr>
            <w:tcW w:w="940" w:type="dxa"/>
            <w:vAlign w:val="center"/>
          </w:tcPr>
          <w:p>
            <w:pPr>
              <w:pStyle w:val="92"/>
              <w:rPr>
                <w:b/>
              </w:rPr>
            </w:pPr>
            <w:r>
              <w:rPr>
                <w:rFonts w:hint="eastAsia"/>
                <w:b/>
              </w:rPr>
              <w:t>40.8</w:t>
            </w:r>
          </w:p>
        </w:tc>
        <w:tc>
          <w:tcPr>
            <w:tcW w:w="727" w:type="dxa"/>
            <w:vAlign w:val="center"/>
          </w:tcPr>
          <w:p>
            <w:pPr>
              <w:pStyle w:val="92"/>
            </w:pPr>
            <w:r>
              <w:rPr>
                <w:rFonts w:hint="eastAsia"/>
              </w:rPr>
              <w:t>6</w:t>
            </w:r>
            <w:r>
              <w:t>5</w:t>
            </w:r>
          </w:p>
        </w:tc>
        <w:tc>
          <w:tcPr>
            <w:tcW w:w="725" w:type="dxa"/>
            <w:vAlign w:val="center"/>
          </w:tcPr>
          <w:p>
            <w:pPr>
              <w:pStyle w:val="92"/>
            </w:pPr>
            <w:r>
              <w:rPr>
                <w:rFonts w:hint="eastAsia"/>
              </w:rPr>
              <w:t>5</w:t>
            </w:r>
            <w: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695" w:type="dxa"/>
            <w:vAlign w:val="center"/>
          </w:tcPr>
          <w:p>
            <w:pPr>
              <w:pStyle w:val="92"/>
            </w:pPr>
            <w:r>
              <w:rPr>
                <w:rFonts w:hint="eastAsia"/>
              </w:rPr>
              <w:t>敏感点</w:t>
            </w:r>
          </w:p>
        </w:tc>
        <w:tc>
          <w:tcPr>
            <w:tcW w:w="1345" w:type="dxa"/>
            <w:vAlign w:val="center"/>
          </w:tcPr>
          <w:p>
            <w:pPr>
              <w:pStyle w:val="92"/>
            </w:pPr>
            <w:r>
              <w:rPr>
                <w:rFonts w:hint="eastAsia"/>
              </w:rPr>
              <w:t>江家店村</w:t>
            </w:r>
          </w:p>
        </w:tc>
        <w:tc>
          <w:tcPr>
            <w:tcW w:w="1186" w:type="dxa"/>
            <w:vAlign w:val="center"/>
          </w:tcPr>
          <w:p>
            <w:pPr>
              <w:pStyle w:val="92"/>
            </w:pPr>
            <w:r>
              <w:rPr>
                <w:rFonts w:hint="eastAsia"/>
              </w:rPr>
              <w:t>35.0</w:t>
            </w:r>
          </w:p>
        </w:tc>
        <w:tc>
          <w:tcPr>
            <w:tcW w:w="727" w:type="dxa"/>
            <w:vAlign w:val="center"/>
          </w:tcPr>
          <w:p>
            <w:pPr>
              <w:pStyle w:val="92"/>
            </w:pPr>
            <w:r>
              <w:rPr>
                <w:rFonts w:hint="eastAsia"/>
              </w:rPr>
              <w:t>35.0</w:t>
            </w:r>
          </w:p>
        </w:tc>
        <w:tc>
          <w:tcPr>
            <w:tcW w:w="850" w:type="dxa"/>
            <w:vAlign w:val="center"/>
          </w:tcPr>
          <w:p>
            <w:pPr>
              <w:pStyle w:val="92"/>
            </w:pPr>
            <w:r>
              <w:rPr>
                <w:rFonts w:hint="eastAsia"/>
              </w:rPr>
              <w:t>47</w:t>
            </w:r>
          </w:p>
        </w:tc>
        <w:tc>
          <w:tcPr>
            <w:tcW w:w="993" w:type="dxa"/>
            <w:vAlign w:val="center"/>
          </w:tcPr>
          <w:p>
            <w:pPr>
              <w:pStyle w:val="92"/>
            </w:pPr>
            <w:r>
              <w:rPr>
                <w:rFonts w:hint="eastAsia"/>
              </w:rPr>
              <w:t>41</w:t>
            </w:r>
          </w:p>
        </w:tc>
        <w:tc>
          <w:tcPr>
            <w:tcW w:w="852" w:type="dxa"/>
            <w:vAlign w:val="center"/>
          </w:tcPr>
          <w:p>
            <w:pPr>
              <w:pStyle w:val="92"/>
              <w:rPr>
                <w:b/>
              </w:rPr>
            </w:pPr>
            <w:r>
              <w:rPr>
                <w:rFonts w:hint="eastAsia"/>
                <w:b/>
              </w:rPr>
              <w:t>47.0</w:t>
            </w:r>
          </w:p>
        </w:tc>
        <w:tc>
          <w:tcPr>
            <w:tcW w:w="940" w:type="dxa"/>
            <w:vAlign w:val="center"/>
          </w:tcPr>
          <w:p>
            <w:pPr>
              <w:pStyle w:val="92"/>
              <w:rPr>
                <w:b/>
              </w:rPr>
            </w:pPr>
            <w:r>
              <w:rPr>
                <w:rFonts w:hint="eastAsia"/>
                <w:b/>
              </w:rPr>
              <w:t>41.9</w:t>
            </w:r>
          </w:p>
        </w:tc>
        <w:tc>
          <w:tcPr>
            <w:tcW w:w="727" w:type="dxa"/>
            <w:vAlign w:val="center"/>
          </w:tcPr>
          <w:p>
            <w:pPr>
              <w:pStyle w:val="92"/>
            </w:pPr>
            <w:r>
              <w:rPr>
                <w:rFonts w:hint="eastAsia"/>
              </w:rPr>
              <w:t>60</w:t>
            </w:r>
          </w:p>
        </w:tc>
        <w:tc>
          <w:tcPr>
            <w:tcW w:w="725" w:type="dxa"/>
            <w:vAlign w:val="center"/>
          </w:tcPr>
          <w:p>
            <w:pPr>
              <w:pStyle w:val="92"/>
            </w:pPr>
            <w:r>
              <w:rPr>
                <w:rFonts w:hint="eastAsia"/>
              </w:rPr>
              <w:t>50</w:t>
            </w:r>
          </w:p>
        </w:tc>
      </w:tr>
    </w:tbl>
    <w:p>
      <w:pPr>
        <w:pStyle w:val="5"/>
      </w:pPr>
      <w:r>
        <w:rPr>
          <w:rFonts w:hint="eastAsia"/>
        </w:rPr>
        <w:t>噪声</w:t>
      </w:r>
      <w:r>
        <w:t>环境影响评价</w:t>
      </w:r>
    </w:p>
    <w:p>
      <w:pPr>
        <w:ind w:firstLine="480"/>
      </w:pPr>
      <w:r>
        <w:t>由预测结果可知，在采取相应的噪声污染防治措施后，项目营运期噪声对各厂界的噪声贡献值较小，各厂界昼间噪声预测值均满足《工业企业厂界环境噪声排放标准》（GB12348-2008）3类标准要求，</w:t>
      </w:r>
      <w:r>
        <w:rPr>
          <w:rFonts w:hint="eastAsia"/>
        </w:rPr>
        <w:t>敏感</w:t>
      </w:r>
      <w:r>
        <w:t>目标噪声预测值满足</w:t>
      </w:r>
      <w:r>
        <w:rPr>
          <w:rFonts w:hint="eastAsia"/>
        </w:rPr>
        <w:t>《声环境质量</w:t>
      </w:r>
      <w:r>
        <w:t>标准</w:t>
      </w:r>
      <w:r>
        <w:rPr>
          <w:rFonts w:hint="eastAsia"/>
        </w:rPr>
        <w:t>》（GB3096-2008）2类</w:t>
      </w:r>
      <w:r>
        <w:t>标准要求。</w:t>
      </w:r>
    </w:p>
    <w:p>
      <w:pPr>
        <w:ind w:firstLine="480"/>
      </w:pPr>
      <w:r>
        <w:t>项目产生噪声对敏感点影响较小。</w:t>
      </w:r>
      <w:bookmarkEnd w:id="131"/>
      <w:bookmarkEnd w:id="132"/>
      <w:bookmarkEnd w:id="133"/>
      <w:bookmarkEnd w:id="134"/>
      <w:bookmarkEnd w:id="135"/>
      <w:bookmarkEnd w:id="136"/>
    </w:p>
    <w:p>
      <w:pPr>
        <w:pStyle w:val="4"/>
      </w:pPr>
      <w:bookmarkStart w:id="138" w:name="_Toc488102176"/>
      <w:r>
        <w:rPr>
          <w:rFonts w:hint="eastAsia"/>
        </w:rPr>
        <w:t>固体废物环境影响评价</w:t>
      </w:r>
      <w:bookmarkEnd w:id="138"/>
    </w:p>
    <w:p>
      <w:pPr>
        <w:ind w:firstLine="480"/>
      </w:pPr>
      <w:r>
        <w:rPr>
          <w:szCs w:val="24"/>
        </w:rPr>
        <w:t>项目运营后产生的固体废物主要为</w:t>
      </w:r>
      <w:r>
        <w:rPr>
          <w:rFonts w:hint="eastAsia"/>
          <w:szCs w:val="24"/>
        </w:rPr>
        <w:t>废渣、设备维修和保养过程中产生的废含油抹布、废</w:t>
      </w:r>
      <w:r>
        <w:rPr>
          <w:szCs w:val="24"/>
        </w:rPr>
        <w:t>活性炭、</w:t>
      </w:r>
      <w:r>
        <w:rPr>
          <w:rFonts w:hint="eastAsia"/>
        </w:rPr>
        <w:t>员工生活垃圾等</w:t>
      </w:r>
      <w:r>
        <w:t>。</w:t>
      </w:r>
      <w:r>
        <w:rPr>
          <w:rFonts w:hint="eastAsia"/>
        </w:rPr>
        <w:t>固体</w:t>
      </w:r>
      <w:r>
        <w:t>废物及产生及处置方式一览表见表</w:t>
      </w:r>
      <w:r>
        <w:rPr>
          <w:rFonts w:hint="eastAsia"/>
        </w:rPr>
        <w:t>5.2-</w:t>
      </w:r>
      <w:r>
        <w:t>17</w:t>
      </w:r>
      <w:r>
        <w:rPr>
          <w:rFonts w:hint="eastAsia"/>
        </w:rPr>
        <w:t>。</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17</w:t>
      </w:r>
      <w:r>
        <w:fldChar w:fldCharType="end"/>
      </w:r>
      <w:r>
        <w:t xml:space="preserve">  </w:t>
      </w:r>
      <w:r>
        <w:rPr>
          <w:rFonts w:hint="eastAsia"/>
        </w:rPr>
        <w:t>固体废物产生及处置一览表</w:t>
      </w:r>
    </w:p>
    <w:tbl>
      <w:tblPr>
        <w:tblStyle w:val="35"/>
        <w:tblW w:w="872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1"/>
        <w:gridCol w:w="1150"/>
        <w:gridCol w:w="1200"/>
        <w:gridCol w:w="1113"/>
        <w:gridCol w:w="1751"/>
        <w:gridCol w:w="1070"/>
        <w:gridCol w:w="1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blHeader/>
          <w:jc w:val="center"/>
        </w:trPr>
        <w:tc>
          <w:tcPr>
            <w:tcW w:w="491" w:type="dxa"/>
            <w:vAlign w:val="center"/>
          </w:tcPr>
          <w:p>
            <w:pPr>
              <w:pStyle w:val="48"/>
            </w:pPr>
            <w:r>
              <w:t>序号</w:t>
            </w:r>
          </w:p>
        </w:tc>
        <w:tc>
          <w:tcPr>
            <w:tcW w:w="1150" w:type="dxa"/>
            <w:vAlign w:val="center"/>
          </w:tcPr>
          <w:p>
            <w:pPr>
              <w:pStyle w:val="48"/>
            </w:pPr>
            <w:r>
              <w:t>固废名称</w:t>
            </w:r>
          </w:p>
        </w:tc>
        <w:tc>
          <w:tcPr>
            <w:tcW w:w="1200" w:type="dxa"/>
            <w:vAlign w:val="center"/>
          </w:tcPr>
          <w:p>
            <w:pPr>
              <w:pStyle w:val="48"/>
            </w:pPr>
            <w:r>
              <w:t>产生环节</w:t>
            </w:r>
          </w:p>
        </w:tc>
        <w:tc>
          <w:tcPr>
            <w:tcW w:w="1113" w:type="dxa"/>
            <w:vAlign w:val="center"/>
          </w:tcPr>
          <w:p>
            <w:pPr>
              <w:pStyle w:val="48"/>
            </w:pPr>
            <w:r>
              <w:t>固废性质</w:t>
            </w:r>
          </w:p>
        </w:tc>
        <w:tc>
          <w:tcPr>
            <w:tcW w:w="1751" w:type="dxa"/>
            <w:vAlign w:val="center"/>
          </w:tcPr>
          <w:p>
            <w:pPr>
              <w:pStyle w:val="48"/>
            </w:pPr>
            <w:r>
              <w:rPr>
                <w:rFonts w:hint="eastAsia"/>
              </w:rPr>
              <w:t>废物</w:t>
            </w:r>
            <w:r>
              <w:t>代码</w:t>
            </w:r>
          </w:p>
        </w:tc>
        <w:tc>
          <w:tcPr>
            <w:tcW w:w="1070" w:type="dxa"/>
            <w:vAlign w:val="center"/>
          </w:tcPr>
          <w:p>
            <w:pPr>
              <w:pStyle w:val="48"/>
            </w:pPr>
            <w:r>
              <w:t>产量（t/a）</w:t>
            </w:r>
          </w:p>
        </w:tc>
        <w:tc>
          <w:tcPr>
            <w:tcW w:w="1950" w:type="dxa"/>
            <w:vAlign w:val="center"/>
          </w:tcPr>
          <w:p>
            <w:pPr>
              <w:pStyle w:val="48"/>
            </w:pPr>
            <w:r>
              <w:t>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8"/>
            </w:pPr>
            <w:r>
              <w:t>1</w:t>
            </w:r>
          </w:p>
        </w:tc>
        <w:tc>
          <w:tcPr>
            <w:tcW w:w="1150" w:type="dxa"/>
            <w:vAlign w:val="center"/>
          </w:tcPr>
          <w:p>
            <w:pPr>
              <w:pStyle w:val="48"/>
            </w:pPr>
            <w:r>
              <w:rPr>
                <w:rFonts w:hint="eastAsia"/>
              </w:rPr>
              <w:t>废渣</w:t>
            </w:r>
          </w:p>
        </w:tc>
        <w:tc>
          <w:tcPr>
            <w:tcW w:w="1200" w:type="dxa"/>
            <w:vAlign w:val="center"/>
          </w:tcPr>
          <w:p>
            <w:pPr>
              <w:pStyle w:val="48"/>
            </w:pPr>
            <w:r>
              <w:rPr>
                <w:rFonts w:hint="eastAsia"/>
              </w:rPr>
              <w:t>生产</w:t>
            </w:r>
            <w:r>
              <w:t>车间</w:t>
            </w:r>
          </w:p>
        </w:tc>
        <w:tc>
          <w:tcPr>
            <w:tcW w:w="1113" w:type="dxa"/>
            <w:vAlign w:val="center"/>
          </w:tcPr>
          <w:p>
            <w:pPr>
              <w:pStyle w:val="48"/>
              <w:rPr>
                <w:spacing w:val="4"/>
              </w:rPr>
            </w:pPr>
            <w:r>
              <w:rPr>
                <w:rFonts w:hint="eastAsia"/>
                <w:spacing w:val="4"/>
              </w:rPr>
              <w:t>一般</w:t>
            </w:r>
            <w:r>
              <w:rPr>
                <w:spacing w:val="4"/>
              </w:rPr>
              <w:t>固废</w:t>
            </w:r>
          </w:p>
        </w:tc>
        <w:tc>
          <w:tcPr>
            <w:tcW w:w="1751" w:type="dxa"/>
          </w:tcPr>
          <w:p>
            <w:pPr>
              <w:pStyle w:val="48"/>
              <w:rPr>
                <w:spacing w:val="4"/>
              </w:rPr>
            </w:pPr>
            <w:r>
              <w:rPr>
                <w:spacing w:val="4"/>
              </w:rPr>
              <w:t>271-001-45</w:t>
            </w:r>
          </w:p>
        </w:tc>
        <w:tc>
          <w:tcPr>
            <w:tcW w:w="1070" w:type="dxa"/>
            <w:vAlign w:val="center"/>
          </w:tcPr>
          <w:p>
            <w:pPr>
              <w:pStyle w:val="48"/>
              <w:rPr>
                <w:spacing w:val="4"/>
              </w:rPr>
            </w:pPr>
            <w:r>
              <w:rPr>
                <w:rFonts w:hint="eastAsia"/>
                <w:spacing w:val="4"/>
              </w:rPr>
              <w:t>178.39</w:t>
            </w:r>
          </w:p>
        </w:tc>
        <w:tc>
          <w:tcPr>
            <w:tcW w:w="1950" w:type="dxa"/>
            <w:vAlign w:val="center"/>
          </w:tcPr>
          <w:p>
            <w:pPr>
              <w:spacing w:line="240" w:lineRule="auto"/>
              <w:ind w:firstLine="0" w:firstLineChars="0"/>
              <w:jc w:val="center"/>
              <w:rPr>
                <w:sz w:val="21"/>
                <w:szCs w:val="21"/>
              </w:rPr>
            </w:pPr>
            <w:r>
              <w:rPr>
                <w:rFonts w:hint="eastAsia"/>
                <w:sz w:val="21"/>
                <w:szCs w:val="21"/>
              </w:rPr>
              <w:t>统一</w:t>
            </w:r>
            <w:r>
              <w:rPr>
                <w:sz w:val="21"/>
                <w:szCs w:val="21"/>
              </w:rPr>
              <w:t>收集后，外售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8"/>
            </w:pPr>
            <w:r>
              <w:t>2</w:t>
            </w:r>
          </w:p>
        </w:tc>
        <w:tc>
          <w:tcPr>
            <w:tcW w:w="1150" w:type="dxa"/>
            <w:vAlign w:val="center"/>
          </w:tcPr>
          <w:p>
            <w:pPr>
              <w:pStyle w:val="48"/>
            </w:pPr>
            <w:r>
              <w:rPr>
                <w:rFonts w:hint="eastAsia"/>
              </w:rPr>
              <w:t>废</w:t>
            </w:r>
            <w:r>
              <w:t>含油抹布</w:t>
            </w:r>
          </w:p>
        </w:tc>
        <w:tc>
          <w:tcPr>
            <w:tcW w:w="1200" w:type="dxa"/>
            <w:vAlign w:val="center"/>
          </w:tcPr>
          <w:p>
            <w:pPr>
              <w:pStyle w:val="48"/>
            </w:pPr>
            <w:r>
              <w:rPr>
                <w:rFonts w:hint="eastAsia"/>
              </w:rPr>
              <w:t>设备</w:t>
            </w:r>
            <w:r>
              <w:t>维修</w:t>
            </w:r>
          </w:p>
        </w:tc>
        <w:tc>
          <w:tcPr>
            <w:tcW w:w="1113" w:type="dxa"/>
            <w:vAlign w:val="center"/>
          </w:tcPr>
          <w:p>
            <w:pPr>
              <w:pStyle w:val="48"/>
              <w:rPr>
                <w:spacing w:val="4"/>
              </w:rPr>
            </w:pPr>
            <w:r>
              <w:rPr>
                <w:rFonts w:hint="eastAsia"/>
                <w:spacing w:val="4"/>
              </w:rPr>
              <w:t>危险</w:t>
            </w:r>
            <w:r>
              <w:rPr>
                <w:spacing w:val="4"/>
              </w:rPr>
              <w:t>废物</w:t>
            </w:r>
          </w:p>
        </w:tc>
        <w:tc>
          <w:tcPr>
            <w:tcW w:w="1751" w:type="dxa"/>
          </w:tcPr>
          <w:p>
            <w:pPr>
              <w:pStyle w:val="92"/>
            </w:pPr>
            <w:r>
              <w:t>HW49</w:t>
            </w:r>
          </w:p>
          <w:p>
            <w:pPr>
              <w:pStyle w:val="92"/>
            </w:pPr>
            <w:r>
              <w:t>900-041-49</w:t>
            </w:r>
          </w:p>
        </w:tc>
        <w:tc>
          <w:tcPr>
            <w:tcW w:w="1070" w:type="dxa"/>
            <w:vAlign w:val="center"/>
          </w:tcPr>
          <w:p>
            <w:pPr>
              <w:pStyle w:val="92"/>
            </w:pPr>
            <w:r>
              <w:rPr>
                <w:rFonts w:hint="eastAsia"/>
              </w:rPr>
              <w:t>0.1</w:t>
            </w:r>
          </w:p>
        </w:tc>
        <w:tc>
          <w:tcPr>
            <w:tcW w:w="1950" w:type="dxa"/>
            <w:vMerge w:val="restart"/>
            <w:vAlign w:val="center"/>
          </w:tcPr>
          <w:p>
            <w:pPr>
              <w:spacing w:line="240" w:lineRule="auto"/>
              <w:ind w:firstLine="0" w:firstLineChars="0"/>
              <w:jc w:val="center"/>
              <w:rPr>
                <w:sz w:val="21"/>
                <w:szCs w:val="21"/>
              </w:rPr>
            </w:pPr>
            <w:r>
              <w:rPr>
                <w:rFonts w:hint="eastAsia"/>
                <w:sz w:val="21"/>
                <w:szCs w:val="21"/>
              </w:rPr>
              <w:t>分类</w:t>
            </w:r>
            <w:r>
              <w:rPr>
                <w:sz w:val="21"/>
                <w:szCs w:val="21"/>
              </w:rPr>
              <w:t>收集后，</w:t>
            </w:r>
            <w:r>
              <w:rPr>
                <w:rFonts w:hint="eastAsia"/>
                <w:sz w:val="21"/>
                <w:szCs w:val="21"/>
              </w:rPr>
              <w:t>危险</w:t>
            </w:r>
            <w:r>
              <w:rPr>
                <w:sz w:val="21"/>
                <w:szCs w:val="21"/>
              </w:rPr>
              <w:t>废物暂存间暂存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8"/>
            </w:pPr>
            <w:r>
              <w:rPr>
                <w:rFonts w:hint="eastAsia"/>
              </w:rPr>
              <w:t>3</w:t>
            </w:r>
          </w:p>
        </w:tc>
        <w:tc>
          <w:tcPr>
            <w:tcW w:w="1150" w:type="dxa"/>
            <w:vAlign w:val="center"/>
          </w:tcPr>
          <w:p>
            <w:pPr>
              <w:pStyle w:val="48"/>
            </w:pPr>
            <w:r>
              <w:rPr>
                <w:rFonts w:hint="eastAsia"/>
              </w:rPr>
              <w:t>废</w:t>
            </w:r>
            <w:r>
              <w:t>活性炭</w:t>
            </w:r>
          </w:p>
        </w:tc>
        <w:tc>
          <w:tcPr>
            <w:tcW w:w="1200" w:type="dxa"/>
            <w:vAlign w:val="center"/>
          </w:tcPr>
          <w:p>
            <w:pPr>
              <w:pStyle w:val="48"/>
            </w:pPr>
            <w:r>
              <w:rPr>
                <w:rFonts w:hint="eastAsia"/>
              </w:rPr>
              <w:t>酸液</w:t>
            </w:r>
            <w:r>
              <w:t>回收处理</w:t>
            </w:r>
          </w:p>
        </w:tc>
        <w:tc>
          <w:tcPr>
            <w:tcW w:w="1113" w:type="dxa"/>
            <w:vAlign w:val="center"/>
          </w:tcPr>
          <w:p>
            <w:pPr>
              <w:pStyle w:val="48"/>
              <w:rPr>
                <w:spacing w:val="4"/>
              </w:rPr>
            </w:pPr>
            <w:r>
              <w:rPr>
                <w:rFonts w:hint="eastAsia"/>
                <w:spacing w:val="4"/>
              </w:rPr>
              <w:t>危险</w:t>
            </w:r>
            <w:r>
              <w:rPr>
                <w:spacing w:val="4"/>
              </w:rPr>
              <w:t>废物</w:t>
            </w:r>
          </w:p>
        </w:tc>
        <w:tc>
          <w:tcPr>
            <w:tcW w:w="1751" w:type="dxa"/>
          </w:tcPr>
          <w:p>
            <w:pPr>
              <w:pStyle w:val="92"/>
            </w:pPr>
            <w:r>
              <w:t>HW49</w:t>
            </w:r>
          </w:p>
          <w:p>
            <w:pPr>
              <w:pStyle w:val="92"/>
            </w:pPr>
            <w:r>
              <w:t>900-039-49</w:t>
            </w:r>
          </w:p>
        </w:tc>
        <w:tc>
          <w:tcPr>
            <w:tcW w:w="1070" w:type="dxa"/>
            <w:vAlign w:val="center"/>
          </w:tcPr>
          <w:p>
            <w:pPr>
              <w:pStyle w:val="92"/>
            </w:pPr>
            <w:r>
              <w:rPr>
                <w:rFonts w:hint="eastAsia"/>
              </w:rPr>
              <w:t>1.92</w:t>
            </w:r>
          </w:p>
        </w:tc>
        <w:tc>
          <w:tcPr>
            <w:tcW w:w="1950" w:type="dxa"/>
            <w:vMerge w:val="continue"/>
            <w:vAlign w:val="center"/>
          </w:tcPr>
          <w:p>
            <w:pPr>
              <w:spacing w:line="240" w:lineRule="auto"/>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91" w:type="dxa"/>
            <w:vAlign w:val="center"/>
          </w:tcPr>
          <w:p>
            <w:pPr>
              <w:pStyle w:val="48"/>
            </w:pPr>
            <w:r>
              <w:t>4</w:t>
            </w:r>
          </w:p>
        </w:tc>
        <w:tc>
          <w:tcPr>
            <w:tcW w:w="1150" w:type="dxa"/>
            <w:vAlign w:val="center"/>
          </w:tcPr>
          <w:p>
            <w:pPr>
              <w:pStyle w:val="48"/>
            </w:pPr>
            <w:r>
              <w:rPr>
                <w:rFonts w:hint="eastAsia"/>
              </w:rPr>
              <w:t>生活</w:t>
            </w:r>
            <w:r>
              <w:t>垃圾</w:t>
            </w:r>
          </w:p>
        </w:tc>
        <w:tc>
          <w:tcPr>
            <w:tcW w:w="1200" w:type="dxa"/>
            <w:vAlign w:val="center"/>
          </w:tcPr>
          <w:p>
            <w:pPr>
              <w:pStyle w:val="48"/>
            </w:pPr>
            <w:r>
              <w:rPr>
                <w:rFonts w:hint="eastAsia"/>
              </w:rPr>
              <w:t>员工</w:t>
            </w:r>
            <w:r>
              <w:t>生活</w:t>
            </w:r>
          </w:p>
        </w:tc>
        <w:tc>
          <w:tcPr>
            <w:tcW w:w="1113" w:type="dxa"/>
            <w:vAlign w:val="center"/>
          </w:tcPr>
          <w:p>
            <w:pPr>
              <w:pStyle w:val="48"/>
              <w:rPr>
                <w:spacing w:val="4"/>
              </w:rPr>
            </w:pPr>
            <w:r>
              <w:rPr>
                <w:rFonts w:hint="eastAsia"/>
                <w:spacing w:val="4"/>
              </w:rPr>
              <w:t>一般</w:t>
            </w:r>
            <w:r>
              <w:rPr>
                <w:spacing w:val="4"/>
              </w:rPr>
              <w:t>固废</w:t>
            </w:r>
          </w:p>
        </w:tc>
        <w:tc>
          <w:tcPr>
            <w:tcW w:w="1751" w:type="dxa"/>
            <w:vAlign w:val="center"/>
          </w:tcPr>
          <w:p>
            <w:pPr>
              <w:pStyle w:val="48"/>
              <w:rPr>
                <w:spacing w:val="4"/>
              </w:rPr>
            </w:pPr>
            <w:r>
              <w:rPr>
                <w:rFonts w:hint="eastAsia"/>
                <w:spacing w:val="4"/>
              </w:rPr>
              <w:t>/</w:t>
            </w:r>
          </w:p>
        </w:tc>
        <w:tc>
          <w:tcPr>
            <w:tcW w:w="1070" w:type="dxa"/>
            <w:vAlign w:val="center"/>
          </w:tcPr>
          <w:p>
            <w:pPr>
              <w:pStyle w:val="48"/>
              <w:rPr>
                <w:spacing w:val="4"/>
              </w:rPr>
            </w:pPr>
            <w:r>
              <w:rPr>
                <w:spacing w:val="4"/>
              </w:rPr>
              <w:t>2.7</w:t>
            </w:r>
          </w:p>
        </w:tc>
        <w:tc>
          <w:tcPr>
            <w:tcW w:w="1950" w:type="dxa"/>
            <w:vAlign w:val="center"/>
          </w:tcPr>
          <w:p>
            <w:pPr>
              <w:pStyle w:val="48"/>
            </w:pPr>
            <w:r>
              <w:rPr>
                <w:kern w:val="0"/>
              </w:rPr>
              <w:t>垃圾桶统一收集，由环卫部门统一清运</w:t>
            </w:r>
          </w:p>
        </w:tc>
      </w:tr>
    </w:tbl>
    <w:p>
      <w:pPr>
        <w:pStyle w:val="5"/>
      </w:pPr>
      <w:r>
        <w:rPr>
          <w:rFonts w:hint="eastAsia"/>
        </w:rPr>
        <w:t>固体</w:t>
      </w:r>
      <w:r>
        <w:t>废物危害性分析</w:t>
      </w:r>
    </w:p>
    <w:p>
      <w:pPr>
        <w:pStyle w:val="87"/>
        <w:ind w:firstLine="480"/>
      </w:pPr>
      <w:r>
        <w:t>本评价将根据固体废弃物的物化性质、理化性质等方面对项目运营期产生的主要固体废弃物的危害性进行分析。</w:t>
      </w:r>
    </w:p>
    <w:p>
      <w:pPr>
        <w:pStyle w:val="87"/>
        <w:ind w:firstLine="480"/>
      </w:pPr>
      <w:r>
        <w:rPr>
          <w:rFonts w:hint="eastAsia"/>
        </w:rPr>
        <w:t>（1）</w:t>
      </w:r>
      <w:r>
        <w:t>生活垃圾危害性分析</w:t>
      </w:r>
    </w:p>
    <w:p>
      <w:pPr>
        <w:pStyle w:val="87"/>
        <w:ind w:firstLine="480"/>
      </w:pPr>
      <w:r>
        <w:t>生活垃圾中有机成分较高，具有热值高、腐烂分解快特点，若露天堆放，不仅臭气熏天、孳生蚊蝇、传播病原微生物，而且会释放出氨、硫化氢及一些有机挥发性气体，其中含有致癌、致畸物，如不妥善处理，对周围环境影</w:t>
      </w:r>
      <w:r>
        <w:rPr>
          <w:spacing w:val="-4"/>
        </w:rPr>
        <w:t>响较大。故堆存垃圾的时间不宜过长，尤其是在夏季，应用密封装置存放，交由</w:t>
      </w:r>
      <w:r>
        <w:rPr>
          <w:rFonts w:hint="eastAsia"/>
          <w:spacing w:val="-4"/>
        </w:rPr>
        <w:t>园区</w:t>
      </w:r>
      <w:r>
        <w:rPr>
          <w:spacing w:val="-4"/>
        </w:rPr>
        <w:t>环卫部门统一处理后</w:t>
      </w:r>
      <w:r>
        <w:t>，对项目所在地和周围环境影响较小。</w:t>
      </w:r>
    </w:p>
    <w:p>
      <w:pPr>
        <w:pStyle w:val="87"/>
        <w:ind w:firstLine="480"/>
      </w:pPr>
      <w:r>
        <w:t>（</w:t>
      </w:r>
      <w:r>
        <w:rPr>
          <w:rFonts w:hint="eastAsia"/>
        </w:rPr>
        <w:t>2</w:t>
      </w:r>
      <w:r>
        <w:t>）危险废物危害性分析</w:t>
      </w:r>
    </w:p>
    <w:p>
      <w:pPr>
        <w:pStyle w:val="87"/>
        <w:ind w:firstLine="480"/>
      </w:pPr>
      <w:r>
        <w:t>项目产生的危险废物主要包括</w:t>
      </w:r>
      <w:r>
        <w:rPr>
          <w:rFonts w:hint="eastAsia"/>
        </w:rPr>
        <w:t>废含油抹布。</w:t>
      </w:r>
      <w:r>
        <w:t>危险废物的污染具有滞后性、潜伏性，处理、处置不当将会对大气、水体、土壤及地下水产生污染；还可能发生毒性或急性化学反应，直接威胁到环境安全和人身体健康。</w:t>
      </w:r>
      <w:r>
        <w:rPr>
          <w:rFonts w:hint="eastAsia"/>
        </w:rPr>
        <w:t>项目产生危险废物应</w:t>
      </w:r>
      <w:r>
        <w:t>委托具有有效资质的危险</w:t>
      </w:r>
      <w:r>
        <w:rPr>
          <w:rFonts w:hint="eastAsia"/>
        </w:rPr>
        <w:t>废物</w:t>
      </w:r>
      <w:r>
        <w:t>处置单位以转移联单形式进行安全处置</w:t>
      </w:r>
      <w:r>
        <w:rPr>
          <w:rFonts w:hint="eastAsia"/>
        </w:rPr>
        <w:t>，对周围环境影响较小。</w:t>
      </w:r>
    </w:p>
    <w:p>
      <w:pPr>
        <w:pStyle w:val="5"/>
      </w:pPr>
      <w:r>
        <w:rPr>
          <w:rFonts w:hint="eastAsia"/>
        </w:rPr>
        <w:t>固体废物</w:t>
      </w:r>
      <w:r>
        <w:t>的处理处置</w:t>
      </w:r>
    </w:p>
    <w:p>
      <w:pPr>
        <w:pStyle w:val="87"/>
        <w:ind w:firstLine="480"/>
      </w:pPr>
      <w:r>
        <w:rPr>
          <w:rFonts w:hint="eastAsia"/>
        </w:rPr>
        <w:t>对项目产生的危险废物，应按照国家《固体废弃物污染防治法》、《危险废物贮存污染控制标准》、《危险废物收集、储存、运输技术规范》及陕西省、安康市危险废物处置的相关规定，环评要求本项目设置专门的收集设施对废活性炭、废含油抹布进行暂存，设置危险废物贮存场所，要求防风、防晒、防雨、防渗措施的危废临时储存库，用于危险废物的临时堆存，不同危险废物贮存装置明显标识。定期对所贮存的危险废物包装容器及贮存设施进行检查，发现破损，应及时采取措施清理更换。环评要求危险废物交由有危险废物处理资质的单位定期回收处理。同时应严格按照《危险废物转移联单管理办法》的相关要求建立危险废物转移联单制度，保证危废得到安全合理处置，可有效防止危险固废对环境的污染和危害，做到危险固废处置“无害化”，对环境影响小。</w:t>
      </w:r>
    </w:p>
    <w:p>
      <w:pPr>
        <w:pStyle w:val="87"/>
        <w:ind w:firstLine="480"/>
      </w:pPr>
      <w:r>
        <w:rPr>
          <w:rFonts w:hint="eastAsia"/>
        </w:rPr>
        <w:t>提取工序产生的废渣作为有机肥料原料出售；员工生活垃圾进行统一收集后，及时由环卫部门集中运往城市垃圾填埋场处理，不得乱丢乱放。</w:t>
      </w:r>
    </w:p>
    <w:p>
      <w:pPr>
        <w:pStyle w:val="5"/>
      </w:pPr>
      <w:r>
        <w:rPr>
          <w:rFonts w:hint="eastAsia"/>
        </w:rPr>
        <w:t>厂区</w:t>
      </w:r>
      <w:r>
        <w:t>内临时贮存</w:t>
      </w:r>
      <w:r>
        <w:rPr>
          <w:rFonts w:hint="eastAsia"/>
        </w:rPr>
        <w:t>场所</w:t>
      </w:r>
      <w:r>
        <w:t>的环境影响分析</w:t>
      </w:r>
    </w:p>
    <w:p>
      <w:pPr>
        <w:pStyle w:val="87"/>
        <w:ind w:firstLine="480"/>
      </w:pPr>
      <w:r>
        <w:rPr>
          <w:rFonts w:hint="eastAsia"/>
        </w:rPr>
        <w:t>为贮存废含油抹布等危险废物，因此，环评要求项目应建设危险体废物临时贮存设施，临时贮存设施的建设标准按照《危险废物贮存污染控制标准》（GB18597-2001）（2013年修订）设计要求设计。主要措施是对地面进行防渗处理，防渗层采用2mm厚，</w:t>
      </w:r>
      <w:r>
        <w:t>渗透系数≤10</w:t>
      </w:r>
      <w:r>
        <w:rPr>
          <w:vertAlign w:val="superscript"/>
        </w:rPr>
        <w:t>-7</w:t>
      </w:r>
      <w:r>
        <w:t>cm/s的</w:t>
      </w:r>
      <w:r>
        <w:rPr>
          <w:rFonts w:hint="eastAsia"/>
        </w:rPr>
        <w:t>高密度聚乙烯。临时贮存设施内的危险废物根据种类不同分区堆放，不相容的危险废物不能堆放在一起。</w:t>
      </w:r>
    </w:p>
    <w:p>
      <w:pPr>
        <w:pStyle w:val="87"/>
        <w:ind w:firstLine="480"/>
      </w:pPr>
      <w:bookmarkStart w:id="139" w:name="_Toc18389"/>
      <w:bookmarkStart w:id="140" w:name="_Toc406942368"/>
      <w:bookmarkStart w:id="141" w:name="_Toc32554"/>
      <w:bookmarkStart w:id="142" w:name="_Toc26317"/>
      <w:r>
        <w:t>综上所述，项目产生的固体废物全部进行安全处置，不外排，固体废物对周围环境影响较小。</w:t>
      </w:r>
    </w:p>
    <w:p>
      <w:pPr>
        <w:pStyle w:val="4"/>
      </w:pPr>
      <w:r>
        <w:rPr>
          <w:rFonts w:hint="eastAsia"/>
        </w:rPr>
        <w:t>土壤</w:t>
      </w:r>
      <w:r>
        <w:t>环境影响</w:t>
      </w:r>
      <w:r>
        <w:rPr>
          <w:rFonts w:hint="eastAsia"/>
        </w:rPr>
        <w:t>分析</w:t>
      </w:r>
    </w:p>
    <w:p>
      <w:pPr>
        <w:pStyle w:val="5"/>
      </w:pPr>
      <w:r>
        <w:rPr>
          <w:rFonts w:hint="eastAsia"/>
        </w:rPr>
        <w:t>土壤</w:t>
      </w:r>
      <w:r>
        <w:t>环境影响识别</w:t>
      </w:r>
    </w:p>
    <w:p>
      <w:pPr>
        <w:pStyle w:val="87"/>
        <w:ind w:firstLine="480"/>
      </w:pPr>
      <w:r>
        <w:rPr>
          <w:rFonts w:hint="eastAsia"/>
        </w:rPr>
        <w:t>根据工程分析，项目在运营期将产生废水、废气、噪声和固体废物，属于污染影响型项目。根据土壤环境评级等级划分见表2.</w:t>
      </w:r>
      <w:r>
        <w:t>5</w:t>
      </w:r>
      <w:r>
        <w:rPr>
          <w:rFonts w:hint="eastAsia"/>
        </w:rPr>
        <w:t>-7，本项目土壤环境影响评价等级为二级。项目在不同时期对环境的影响途径见表</w:t>
      </w:r>
      <w:r>
        <w:t>5</w:t>
      </w:r>
      <w:r>
        <w:rPr>
          <w:rFonts w:hint="eastAsia"/>
        </w:rPr>
        <w:t>.2-</w:t>
      </w:r>
      <w:r>
        <w:t>18</w:t>
      </w:r>
      <w:r>
        <w:rPr>
          <w:rFonts w:hint="eastAsia"/>
        </w:rPr>
        <w:t>。</w:t>
      </w:r>
    </w:p>
    <w:p>
      <w:pPr>
        <w:spacing w:line="240" w:lineRule="auto"/>
        <w:ind w:firstLine="0" w:firstLineChars="0"/>
        <w:jc w:val="center"/>
        <w:rPr>
          <w:b/>
          <w:sz w:val="21"/>
          <w:szCs w:val="24"/>
        </w:rPr>
      </w:pPr>
      <w:r>
        <w:rPr>
          <w:b/>
          <w:sz w:val="21"/>
          <w:szCs w:val="24"/>
          <w:highlight w:val="yellow"/>
        </w:rPr>
        <w:br w:type="column"/>
      </w:r>
      <w:r>
        <w:rPr>
          <w:b/>
          <w:sz w:val="21"/>
          <w:szCs w:val="24"/>
        </w:rPr>
        <w:t>表5.2-18  建设项目土壤环境影响类型及影响途径表</w:t>
      </w:r>
    </w:p>
    <w:tbl>
      <w:tblPr>
        <w:tblStyle w:val="119"/>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1156"/>
        <w:gridCol w:w="1238"/>
        <w:gridCol w:w="1238"/>
        <w:gridCol w:w="928"/>
        <w:gridCol w:w="929"/>
        <w:gridCol w:w="777"/>
        <w:gridCol w:w="929"/>
        <w:gridCol w:w="8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01"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不同时段</w:t>
            </w:r>
          </w:p>
        </w:tc>
        <w:tc>
          <w:tcPr>
            <w:tcW w:w="4560" w:type="dxa"/>
            <w:gridSpan w:val="4"/>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污染影响型</w:t>
            </w:r>
          </w:p>
        </w:tc>
        <w:tc>
          <w:tcPr>
            <w:tcW w:w="3479" w:type="dxa"/>
            <w:gridSpan w:val="4"/>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01"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大气沉降</w:t>
            </w: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地面漫流</w:t>
            </w: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垂直入渗</w:t>
            </w:r>
          </w:p>
        </w:tc>
        <w:tc>
          <w:tcPr>
            <w:tcW w:w="92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其他</w:t>
            </w: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盐化</w:t>
            </w:r>
          </w:p>
        </w:tc>
        <w:tc>
          <w:tcPr>
            <w:tcW w:w="77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碱化</w:t>
            </w: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酸化</w:t>
            </w:r>
          </w:p>
        </w:tc>
        <w:tc>
          <w:tcPr>
            <w:tcW w:w="84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建设期</w:t>
            </w:r>
          </w:p>
        </w:tc>
        <w:tc>
          <w:tcPr>
            <w:tcW w:w="1156" w:type="dxa"/>
            <w:vAlign w:val="center"/>
          </w:tcPr>
          <w:p>
            <w:pPr>
              <w:autoSpaceDE w:val="0"/>
              <w:autoSpaceDN w:val="0"/>
              <w:snapToGrid/>
              <w:spacing w:line="240" w:lineRule="auto"/>
              <w:ind w:firstLine="0" w:firstLineChars="0"/>
              <w:jc w:val="center"/>
              <w:textAlignment w:val="bottom"/>
              <w:rPr>
                <w:kern w:val="0"/>
                <w:sz w:val="21"/>
                <w:szCs w:val="20"/>
              </w:rPr>
            </w:pP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p>
        </w:tc>
        <w:tc>
          <w:tcPr>
            <w:tcW w:w="928" w:type="dxa"/>
            <w:vAlign w:val="center"/>
          </w:tcPr>
          <w:p>
            <w:pPr>
              <w:autoSpaceDE w:val="0"/>
              <w:autoSpaceDN w:val="0"/>
              <w:snapToGrid/>
              <w:spacing w:line="240" w:lineRule="auto"/>
              <w:ind w:firstLine="0" w:firstLineChars="0"/>
              <w:jc w:val="center"/>
              <w:textAlignment w:val="bottom"/>
              <w:rPr>
                <w:kern w:val="0"/>
                <w:sz w:val="21"/>
                <w:szCs w:val="20"/>
              </w:rPr>
            </w:pP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p>
        </w:tc>
        <w:tc>
          <w:tcPr>
            <w:tcW w:w="777" w:type="dxa"/>
            <w:vAlign w:val="center"/>
          </w:tcPr>
          <w:p>
            <w:pPr>
              <w:autoSpaceDE w:val="0"/>
              <w:autoSpaceDN w:val="0"/>
              <w:snapToGrid/>
              <w:spacing w:line="240" w:lineRule="auto"/>
              <w:ind w:firstLine="0" w:firstLineChars="0"/>
              <w:jc w:val="center"/>
              <w:textAlignment w:val="bottom"/>
              <w:rPr>
                <w:kern w:val="0"/>
                <w:sz w:val="21"/>
                <w:szCs w:val="20"/>
              </w:rPr>
            </w:pP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p>
        </w:tc>
        <w:tc>
          <w:tcPr>
            <w:tcW w:w="844" w:type="dxa"/>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运营期</w:t>
            </w:r>
          </w:p>
        </w:tc>
        <w:tc>
          <w:tcPr>
            <w:tcW w:w="11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928" w:type="dxa"/>
            <w:vAlign w:val="center"/>
          </w:tcPr>
          <w:p>
            <w:pPr>
              <w:autoSpaceDE w:val="0"/>
              <w:autoSpaceDN w:val="0"/>
              <w:snapToGrid/>
              <w:spacing w:line="240" w:lineRule="auto"/>
              <w:ind w:firstLine="0" w:firstLineChars="0"/>
              <w:jc w:val="center"/>
              <w:textAlignment w:val="bottom"/>
              <w:rPr>
                <w:kern w:val="0"/>
                <w:sz w:val="21"/>
                <w:szCs w:val="20"/>
              </w:rPr>
            </w:pP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p>
        </w:tc>
        <w:tc>
          <w:tcPr>
            <w:tcW w:w="777" w:type="dxa"/>
            <w:vAlign w:val="center"/>
          </w:tcPr>
          <w:p>
            <w:pPr>
              <w:autoSpaceDE w:val="0"/>
              <w:autoSpaceDN w:val="0"/>
              <w:snapToGrid/>
              <w:spacing w:line="240" w:lineRule="auto"/>
              <w:ind w:firstLine="0" w:firstLineChars="0"/>
              <w:jc w:val="center"/>
              <w:textAlignment w:val="bottom"/>
              <w:rPr>
                <w:kern w:val="0"/>
                <w:sz w:val="21"/>
                <w:szCs w:val="20"/>
              </w:rPr>
            </w:pP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p>
        </w:tc>
        <w:tc>
          <w:tcPr>
            <w:tcW w:w="844" w:type="dxa"/>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01"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服务期满后</w:t>
            </w:r>
          </w:p>
        </w:tc>
        <w:tc>
          <w:tcPr>
            <w:tcW w:w="1156" w:type="dxa"/>
            <w:vAlign w:val="center"/>
          </w:tcPr>
          <w:p>
            <w:pPr>
              <w:autoSpaceDE w:val="0"/>
              <w:autoSpaceDN w:val="0"/>
              <w:snapToGrid/>
              <w:spacing w:line="240" w:lineRule="auto"/>
              <w:ind w:firstLine="0" w:firstLineChars="0"/>
              <w:jc w:val="center"/>
              <w:textAlignment w:val="bottom"/>
              <w:rPr>
                <w:kern w:val="0"/>
                <w:sz w:val="21"/>
                <w:szCs w:val="20"/>
              </w:rPr>
            </w:pP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p>
        </w:tc>
        <w:tc>
          <w:tcPr>
            <w:tcW w:w="1238" w:type="dxa"/>
            <w:vAlign w:val="center"/>
          </w:tcPr>
          <w:p>
            <w:pPr>
              <w:autoSpaceDE w:val="0"/>
              <w:autoSpaceDN w:val="0"/>
              <w:snapToGrid/>
              <w:spacing w:line="240" w:lineRule="auto"/>
              <w:ind w:firstLine="0" w:firstLineChars="0"/>
              <w:jc w:val="center"/>
              <w:textAlignment w:val="bottom"/>
              <w:rPr>
                <w:kern w:val="0"/>
                <w:sz w:val="21"/>
                <w:szCs w:val="20"/>
              </w:rPr>
            </w:pPr>
          </w:p>
        </w:tc>
        <w:tc>
          <w:tcPr>
            <w:tcW w:w="928" w:type="dxa"/>
            <w:vAlign w:val="center"/>
          </w:tcPr>
          <w:p>
            <w:pPr>
              <w:autoSpaceDE w:val="0"/>
              <w:autoSpaceDN w:val="0"/>
              <w:snapToGrid/>
              <w:spacing w:line="240" w:lineRule="auto"/>
              <w:ind w:firstLine="0" w:firstLineChars="0"/>
              <w:jc w:val="center"/>
              <w:textAlignment w:val="bottom"/>
              <w:rPr>
                <w:kern w:val="0"/>
                <w:sz w:val="21"/>
                <w:szCs w:val="20"/>
              </w:rPr>
            </w:pP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p>
        </w:tc>
        <w:tc>
          <w:tcPr>
            <w:tcW w:w="777" w:type="dxa"/>
            <w:vAlign w:val="center"/>
          </w:tcPr>
          <w:p>
            <w:pPr>
              <w:autoSpaceDE w:val="0"/>
              <w:autoSpaceDN w:val="0"/>
              <w:snapToGrid/>
              <w:spacing w:line="240" w:lineRule="auto"/>
              <w:ind w:firstLine="0" w:firstLineChars="0"/>
              <w:jc w:val="center"/>
              <w:textAlignment w:val="bottom"/>
              <w:rPr>
                <w:kern w:val="0"/>
                <w:sz w:val="21"/>
                <w:szCs w:val="20"/>
              </w:rPr>
            </w:pPr>
          </w:p>
        </w:tc>
        <w:tc>
          <w:tcPr>
            <w:tcW w:w="929" w:type="dxa"/>
            <w:vAlign w:val="center"/>
          </w:tcPr>
          <w:p>
            <w:pPr>
              <w:autoSpaceDE w:val="0"/>
              <w:autoSpaceDN w:val="0"/>
              <w:snapToGrid/>
              <w:spacing w:line="240" w:lineRule="auto"/>
              <w:ind w:firstLine="0" w:firstLineChars="0"/>
              <w:jc w:val="center"/>
              <w:textAlignment w:val="bottom"/>
              <w:rPr>
                <w:kern w:val="0"/>
                <w:sz w:val="21"/>
                <w:szCs w:val="20"/>
              </w:rPr>
            </w:pPr>
          </w:p>
        </w:tc>
        <w:tc>
          <w:tcPr>
            <w:tcW w:w="844" w:type="dxa"/>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40" w:type="dxa"/>
            <w:gridSpan w:val="9"/>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注：在可能产生的土壤环境影响类别处打“√”，列表未涵盖的可自行设计</w:t>
            </w:r>
          </w:p>
        </w:tc>
      </w:tr>
    </w:tbl>
    <w:p>
      <w:pPr>
        <w:ind w:firstLine="480"/>
      </w:pPr>
      <w:r>
        <w:rPr>
          <w:rFonts w:hint="eastAsia"/>
        </w:rPr>
        <w:t>项目土壤</w:t>
      </w:r>
      <w:r>
        <w:t>污染</w:t>
      </w:r>
      <w:r>
        <w:rPr>
          <w:rFonts w:hint="eastAsia"/>
        </w:rPr>
        <w:t>影响</w:t>
      </w:r>
      <w:r>
        <w:t>源及影响因子识别表见表5</w:t>
      </w:r>
      <w:r>
        <w:rPr>
          <w:rFonts w:hint="eastAsia"/>
        </w:rPr>
        <w:t>.</w:t>
      </w:r>
      <w:r>
        <w:t>2-19</w:t>
      </w:r>
      <w:r>
        <w:rPr>
          <w:rFonts w:hint="eastAsia"/>
        </w:rPr>
        <w:t>。</w:t>
      </w:r>
    </w:p>
    <w:p>
      <w:pPr>
        <w:spacing w:line="240" w:lineRule="auto"/>
        <w:ind w:firstLine="0" w:firstLineChars="0"/>
        <w:jc w:val="center"/>
        <w:rPr>
          <w:rFonts w:hAnsi="宋体"/>
          <w:b/>
          <w:sz w:val="21"/>
          <w:szCs w:val="24"/>
        </w:rPr>
      </w:pPr>
      <w:r>
        <w:rPr>
          <w:rFonts w:hint="eastAsia" w:hAnsi="宋体"/>
          <w:b/>
          <w:sz w:val="21"/>
          <w:szCs w:val="24"/>
        </w:rPr>
        <w:t>表</w:t>
      </w:r>
      <w:r>
        <w:rPr>
          <w:rFonts w:hAnsi="宋体"/>
          <w:b/>
          <w:sz w:val="21"/>
          <w:szCs w:val="24"/>
        </w:rPr>
        <w:t>5</w:t>
      </w:r>
      <w:r>
        <w:rPr>
          <w:rFonts w:hint="eastAsia" w:hAnsi="宋体"/>
          <w:b/>
          <w:sz w:val="21"/>
          <w:szCs w:val="24"/>
        </w:rPr>
        <w:t>.2-</w:t>
      </w:r>
      <w:r>
        <w:rPr>
          <w:rFonts w:hAnsi="宋体"/>
          <w:b/>
          <w:sz w:val="21"/>
          <w:szCs w:val="24"/>
        </w:rPr>
        <w:t>19</w:t>
      </w:r>
      <w:r>
        <w:rPr>
          <w:rFonts w:hint="eastAsia" w:hAnsi="宋体"/>
          <w:b/>
          <w:sz w:val="21"/>
          <w:szCs w:val="24"/>
        </w:rPr>
        <w:t xml:space="preserve">  项目</w:t>
      </w:r>
      <w:r>
        <w:rPr>
          <w:rFonts w:hAnsi="宋体"/>
          <w:b/>
          <w:sz w:val="21"/>
          <w:szCs w:val="24"/>
        </w:rPr>
        <w:t>土壤</w:t>
      </w:r>
      <w:r>
        <w:rPr>
          <w:rFonts w:hint="eastAsia" w:hAnsi="宋体"/>
          <w:b/>
          <w:sz w:val="21"/>
          <w:szCs w:val="24"/>
        </w:rPr>
        <w:t>环境</w:t>
      </w:r>
      <w:r>
        <w:rPr>
          <w:rFonts w:hAnsi="宋体"/>
          <w:b/>
          <w:sz w:val="21"/>
          <w:szCs w:val="24"/>
        </w:rPr>
        <w:t>影响源及影响识别表</w:t>
      </w:r>
    </w:p>
    <w:tbl>
      <w:tblPr>
        <w:tblStyle w:val="120"/>
        <w:tblW w:w="9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734"/>
        <w:gridCol w:w="1277"/>
        <w:gridCol w:w="1813"/>
        <w:gridCol w:w="1699"/>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污染</w:t>
            </w:r>
            <w:r>
              <w:rPr>
                <w:rFonts w:hAnsi="宋体"/>
                <w:kern w:val="0"/>
                <w:sz w:val="21"/>
                <w:szCs w:val="20"/>
              </w:rPr>
              <w:t>源</w:t>
            </w:r>
          </w:p>
        </w:tc>
        <w:tc>
          <w:tcPr>
            <w:tcW w:w="1734"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工艺流程/节点</w:t>
            </w:r>
          </w:p>
        </w:tc>
        <w:tc>
          <w:tcPr>
            <w:tcW w:w="1277"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污染</w:t>
            </w:r>
            <w:r>
              <w:rPr>
                <w:rFonts w:hAnsi="宋体"/>
                <w:kern w:val="0"/>
                <w:sz w:val="21"/>
                <w:szCs w:val="20"/>
              </w:rPr>
              <w:t>途径</w:t>
            </w:r>
          </w:p>
        </w:tc>
        <w:tc>
          <w:tcPr>
            <w:tcW w:w="1813"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全部</w:t>
            </w:r>
            <w:r>
              <w:rPr>
                <w:rFonts w:hAnsi="宋体"/>
                <w:kern w:val="0"/>
                <w:sz w:val="21"/>
                <w:szCs w:val="20"/>
              </w:rPr>
              <w:t>污染指标</w:t>
            </w:r>
            <w:r>
              <w:rPr>
                <w:rFonts w:hint="eastAsia" w:hAnsi="宋体"/>
                <w:kern w:val="0"/>
                <w:sz w:val="21"/>
                <w:szCs w:val="20"/>
                <w:vertAlign w:val="superscript"/>
              </w:rPr>
              <w:t>a</w:t>
            </w:r>
          </w:p>
        </w:tc>
        <w:tc>
          <w:tcPr>
            <w:tcW w:w="1699"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特征</w:t>
            </w:r>
            <w:r>
              <w:rPr>
                <w:rFonts w:hAnsi="宋体"/>
                <w:kern w:val="0"/>
                <w:sz w:val="21"/>
                <w:szCs w:val="20"/>
              </w:rPr>
              <w:t>因子</w:t>
            </w:r>
          </w:p>
        </w:tc>
        <w:tc>
          <w:tcPr>
            <w:tcW w:w="1002"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备注</w:t>
            </w:r>
            <w:r>
              <w:rPr>
                <w:rFonts w:hint="eastAsia" w:hAnsi="宋体"/>
                <w:kern w:val="0"/>
                <w:sz w:val="21"/>
                <w:szCs w:val="20"/>
                <w:vertAlign w:val="superscript"/>
              </w:rPr>
              <w:t>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北车间</w:t>
            </w:r>
          </w:p>
        </w:tc>
        <w:tc>
          <w:tcPr>
            <w:tcW w:w="1734"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甲醇回收废气</w:t>
            </w:r>
            <w:r>
              <w:rPr>
                <w:rFonts w:hAnsi="宋体"/>
                <w:kern w:val="0"/>
                <w:sz w:val="21"/>
                <w:szCs w:val="20"/>
              </w:rPr>
              <w:t>处理设施</w:t>
            </w:r>
          </w:p>
        </w:tc>
        <w:tc>
          <w:tcPr>
            <w:tcW w:w="1277"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大气</w:t>
            </w:r>
            <w:r>
              <w:rPr>
                <w:rFonts w:hAnsi="宋体"/>
                <w:kern w:val="0"/>
                <w:sz w:val="21"/>
                <w:szCs w:val="20"/>
              </w:rPr>
              <w:t>沉降</w:t>
            </w:r>
          </w:p>
        </w:tc>
        <w:tc>
          <w:tcPr>
            <w:tcW w:w="1813"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甲醇</w:t>
            </w:r>
          </w:p>
        </w:tc>
        <w:tc>
          <w:tcPr>
            <w:tcW w:w="1699"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甲醇</w:t>
            </w:r>
          </w:p>
        </w:tc>
        <w:tc>
          <w:tcPr>
            <w:tcW w:w="1002"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罐区</w:t>
            </w:r>
          </w:p>
        </w:tc>
        <w:tc>
          <w:tcPr>
            <w:tcW w:w="1734"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储罐</w:t>
            </w:r>
          </w:p>
        </w:tc>
        <w:tc>
          <w:tcPr>
            <w:tcW w:w="1277"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大气</w:t>
            </w:r>
            <w:r>
              <w:rPr>
                <w:rFonts w:hAnsi="宋体"/>
                <w:kern w:val="0"/>
                <w:sz w:val="21"/>
                <w:szCs w:val="20"/>
              </w:rPr>
              <w:t>沉降</w:t>
            </w:r>
          </w:p>
        </w:tc>
        <w:tc>
          <w:tcPr>
            <w:tcW w:w="1813"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甲醇</w:t>
            </w:r>
            <w:r>
              <w:rPr>
                <w:rFonts w:hAnsi="宋体"/>
                <w:kern w:val="0"/>
                <w:sz w:val="21"/>
                <w:szCs w:val="20"/>
              </w:rPr>
              <w:t>、非甲烷总烃</w:t>
            </w:r>
          </w:p>
        </w:tc>
        <w:tc>
          <w:tcPr>
            <w:tcW w:w="1699"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非甲烷总烃</w:t>
            </w:r>
          </w:p>
        </w:tc>
        <w:tc>
          <w:tcPr>
            <w:tcW w:w="1002"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734"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277"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垂直</w:t>
            </w:r>
            <w:r>
              <w:rPr>
                <w:rFonts w:hAnsi="宋体"/>
                <w:kern w:val="0"/>
                <w:sz w:val="21"/>
                <w:szCs w:val="20"/>
              </w:rPr>
              <w:t>入渗</w:t>
            </w:r>
          </w:p>
        </w:tc>
        <w:tc>
          <w:tcPr>
            <w:tcW w:w="1813"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甲醇</w:t>
            </w:r>
            <w:r>
              <w:rPr>
                <w:rFonts w:hAnsi="宋体"/>
                <w:kern w:val="0"/>
                <w:sz w:val="21"/>
                <w:szCs w:val="20"/>
              </w:rPr>
              <w:t>、石油烃</w:t>
            </w:r>
          </w:p>
        </w:tc>
        <w:tc>
          <w:tcPr>
            <w:tcW w:w="1699"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石油烃</w:t>
            </w:r>
          </w:p>
        </w:tc>
        <w:tc>
          <w:tcPr>
            <w:tcW w:w="1002"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29" w:type="dxa"/>
            <w:gridSpan w:val="6"/>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注：a 根据工程分析结果填写；b 应描述污染源特征，如连续、间断、正常、事故等；涉及大气沉降途径的，应识别建设项目周边的土壤环境目标。</w:t>
            </w:r>
          </w:p>
        </w:tc>
      </w:tr>
    </w:tbl>
    <w:p>
      <w:pPr>
        <w:pStyle w:val="5"/>
      </w:pPr>
      <w:r>
        <w:rPr>
          <w:rFonts w:hint="eastAsia"/>
        </w:rPr>
        <w:t>垂直入渗</w:t>
      </w:r>
      <w:r>
        <w:t>对土壤的影响分析</w:t>
      </w:r>
    </w:p>
    <w:p>
      <w:pPr>
        <w:ind w:firstLine="480"/>
      </w:pPr>
      <w:r>
        <w:rPr>
          <w:rFonts w:hint="eastAsia"/>
        </w:rPr>
        <w:t>本项目危险废物暂存间、储罐区若没有合适的防漏措施，其中的有害组分渗出后，很容易经雨水淋溶、地表径流侵蚀而渗入土壤，杀死土壤中的微生物，破坏微生物与周围环境构成系统的平衡，导致草木不生，对于耕地则造成大面积的减产、影响食品安全。同时这些水分经土壤渗入地下水，对地下水水质造成污染。</w:t>
      </w:r>
    </w:p>
    <w:p>
      <w:pPr>
        <w:ind w:firstLine="480"/>
      </w:pPr>
      <w:r>
        <w:rPr>
          <w:rFonts w:hint="eastAsia"/>
        </w:rPr>
        <w:t>本次</w:t>
      </w:r>
      <w:r>
        <w:t>环评要求，</w:t>
      </w:r>
      <w:r>
        <w:rPr>
          <w:rFonts w:hint="eastAsia"/>
        </w:rPr>
        <w:t>危险</w:t>
      </w:r>
      <w:r>
        <w:t>废物暂存间</w:t>
      </w:r>
      <w:r>
        <w:rPr>
          <w:rFonts w:hint="eastAsia"/>
        </w:rPr>
        <w:t>严格按照《危险废物贮存污染控制标准》（GB19587-2001）有关规范设计，</w:t>
      </w:r>
      <w:r>
        <w:t>暂存间防渗层至少有1m厚黏土层（渗透系数≤10</w:t>
      </w:r>
      <w:r>
        <w:rPr>
          <w:vertAlign w:val="superscript"/>
        </w:rPr>
        <w:t>-7</w:t>
      </w:r>
      <w:r>
        <w:t>cm/s），或2mm厚高密度聚乙烯，或至少2mm厚的其他人工材料，防渗系数必须小于1×10</w:t>
      </w:r>
      <w:r>
        <w:rPr>
          <w:vertAlign w:val="superscript"/>
        </w:rPr>
        <w:t>-10</w:t>
      </w:r>
      <w:r>
        <w:t>cm/s</w:t>
      </w:r>
      <w:r>
        <w:rPr>
          <w:rFonts w:hint="eastAsia"/>
        </w:rPr>
        <w:t>，储罐区</w:t>
      </w:r>
      <w:r>
        <w:t>防渗层</w:t>
      </w:r>
      <w:r>
        <w:rPr>
          <w:rFonts w:hint="eastAsia"/>
        </w:rPr>
        <w:t>等效黏土防渗层Mb≥6.0m， K≤1×10</w:t>
      </w:r>
      <w:r>
        <w:rPr>
          <w:rFonts w:hint="eastAsia"/>
          <w:vertAlign w:val="superscript"/>
        </w:rPr>
        <w:t>-7</w:t>
      </w:r>
      <w:r>
        <w:rPr>
          <w:rFonts w:hint="eastAsia"/>
        </w:rPr>
        <w:t>cm/s，或参照GB18598执行，采取以上措施后，项目产生的危险废物得到安全处置，有效</w:t>
      </w:r>
      <w:r>
        <w:t>减少储罐区发生泄漏的情况，</w:t>
      </w:r>
      <w:r>
        <w:rPr>
          <w:rFonts w:hint="eastAsia"/>
        </w:rPr>
        <w:t>因此只要各环节得到良好控制，可以将本项目对土壤的垂直</w:t>
      </w:r>
      <w:r>
        <w:t>入渗</w:t>
      </w:r>
      <w:r>
        <w:rPr>
          <w:rFonts w:hint="eastAsia"/>
        </w:rPr>
        <w:t>影响降至最低。</w:t>
      </w:r>
    </w:p>
    <w:p>
      <w:pPr>
        <w:pStyle w:val="5"/>
      </w:pPr>
      <w:r>
        <w:rPr>
          <w:rFonts w:hint="eastAsia"/>
        </w:rPr>
        <w:t>大气</w:t>
      </w:r>
      <w:r>
        <w:t>沉降</w:t>
      </w:r>
      <w:r>
        <w:rPr>
          <w:rFonts w:hint="eastAsia"/>
        </w:rPr>
        <w:t>对</w:t>
      </w:r>
      <w:r>
        <w:t>土壤的影响</w:t>
      </w:r>
      <w:r>
        <w:rPr>
          <w:rFonts w:hint="eastAsia"/>
        </w:rPr>
        <w:t>分析</w:t>
      </w:r>
    </w:p>
    <w:p>
      <w:pPr>
        <w:pStyle w:val="87"/>
        <w:ind w:firstLine="480"/>
      </w:pPr>
      <w:r>
        <w:rPr>
          <w:rFonts w:hint="eastAsia"/>
        </w:rPr>
        <w:t>根据前述分析，本项目工艺装置大气沉降影响主要是各类生产设施、罐区正常情况下排放的废气中主要是甲醇</w:t>
      </w:r>
      <w:r>
        <w:t>、</w:t>
      </w:r>
      <w:r>
        <w:rPr>
          <w:rFonts w:hint="eastAsia"/>
        </w:rPr>
        <w:t>石油醚</w:t>
      </w:r>
      <w:r>
        <w:t>、粉尘</w:t>
      </w:r>
      <w:r>
        <w:rPr>
          <w:rFonts w:hint="eastAsia"/>
        </w:rPr>
        <w:t>。由于甲醇</w:t>
      </w:r>
      <w:r>
        <w:t>、石油醚、粉尘等无土壤环境质量标准，且碳链较短，不属于</w:t>
      </w:r>
      <w:r>
        <w:rPr>
          <w:rFonts w:hint="eastAsia"/>
        </w:rPr>
        <w:t>土壤标准</w:t>
      </w:r>
      <w:r>
        <w:t>中的石油烃（</w:t>
      </w:r>
      <w:r>
        <w:rPr>
          <w:rFonts w:hint="eastAsia"/>
        </w:rPr>
        <w:t>C</w:t>
      </w:r>
      <w:r>
        <w:rPr>
          <w:rFonts w:hint="eastAsia"/>
          <w:vertAlign w:val="subscript"/>
        </w:rPr>
        <w:t>10</w:t>
      </w:r>
      <w:r>
        <w:t>-C</w:t>
      </w:r>
      <w:r>
        <w:rPr>
          <w:vertAlign w:val="subscript"/>
        </w:rPr>
        <w:t>40</w:t>
      </w:r>
      <w:r>
        <w:t>）</w:t>
      </w:r>
      <w:r>
        <w:rPr>
          <w:rFonts w:hint="eastAsia"/>
        </w:rPr>
        <w:t>，</w:t>
      </w:r>
      <w:r>
        <w:t>因此按照</w:t>
      </w:r>
      <w:r>
        <w:rPr>
          <w:rFonts w:hint="eastAsia"/>
        </w:rPr>
        <w:t>土壤</w:t>
      </w:r>
      <w:r>
        <w:t>导则要求，不再作为预测因子考虑</w:t>
      </w:r>
      <w:r>
        <w:rPr>
          <w:rFonts w:hint="eastAsia"/>
        </w:rPr>
        <w:t>。本次</w:t>
      </w:r>
      <w:r>
        <w:t>评价仅对</w:t>
      </w:r>
      <w:r>
        <w:rPr>
          <w:rFonts w:hint="eastAsia"/>
        </w:rPr>
        <w:t>大气</w:t>
      </w:r>
      <w:r>
        <w:t>沉降进行定性分析。</w:t>
      </w:r>
    </w:p>
    <w:p>
      <w:pPr>
        <w:pStyle w:val="87"/>
        <w:ind w:firstLine="480"/>
      </w:pPr>
      <w:r>
        <w:rPr>
          <w:rFonts w:hint="eastAsia"/>
        </w:rPr>
        <w:t>项目</w:t>
      </w:r>
      <w:r>
        <w:t>生产工序甲醇回收</w:t>
      </w:r>
      <w:r>
        <w:rPr>
          <w:rFonts w:hint="eastAsia"/>
        </w:rPr>
        <w:t>产生</w:t>
      </w:r>
      <w:r>
        <w:t>的甲醇经冷冻回收</w:t>
      </w:r>
      <w:r>
        <w:rPr>
          <w:rFonts w:hint="eastAsia"/>
        </w:rPr>
        <w:t>+</w:t>
      </w:r>
      <w:r>
        <w:t>15m排气筒排放，满足</w:t>
      </w:r>
      <w:r>
        <w:rPr>
          <w:rFonts w:hint="eastAsia"/>
        </w:rPr>
        <w:t>《挥发性有机物排放控制标准》（DB61/T 1061-2017）中医药制造行业标准，粉尘</w:t>
      </w:r>
      <w:r>
        <w:t>经</w:t>
      </w:r>
      <w:r>
        <w:rPr>
          <w:rFonts w:hint="eastAsia"/>
        </w:rPr>
        <w:t>旋风</w:t>
      </w:r>
      <w:r>
        <w:t>收尘</w:t>
      </w:r>
      <w:r>
        <w:rPr>
          <w:rFonts w:hint="eastAsia"/>
        </w:rPr>
        <w:t>+布袋</w:t>
      </w:r>
      <w:r>
        <w:t>除尘器处理+15m排气筒排放</w:t>
      </w:r>
      <w:r>
        <w:rPr>
          <w:rFonts w:hint="eastAsia"/>
        </w:rPr>
        <w:t>，</w:t>
      </w:r>
      <w:r>
        <w:t>满足</w:t>
      </w:r>
      <w:r>
        <w:rPr>
          <w:rFonts w:hint="eastAsia"/>
        </w:rPr>
        <w:t>《大气污染物综合排放标准》（GB16297-1996）二级标准要求，储罐区</w:t>
      </w:r>
      <w:r>
        <w:t>石油醚产生量较小，</w:t>
      </w:r>
      <w:r>
        <w:rPr>
          <w:rFonts w:hint="eastAsia"/>
        </w:rPr>
        <w:t>且石油醚</w:t>
      </w:r>
      <w:r>
        <w:t>的主要成分</w:t>
      </w:r>
      <w:r>
        <w:rPr>
          <w:rFonts w:hint="eastAsia"/>
        </w:rPr>
        <w:t>为戊烷及己烷的</w:t>
      </w:r>
      <w:r>
        <w:t>混合物，不属于土壤环境标准中的石油烃（</w:t>
      </w:r>
      <w:r>
        <w:rPr>
          <w:rFonts w:hint="eastAsia"/>
        </w:rPr>
        <w:t>C</w:t>
      </w:r>
      <w:r>
        <w:rPr>
          <w:rFonts w:hint="eastAsia"/>
          <w:vertAlign w:val="subscript"/>
        </w:rPr>
        <w:t>10</w:t>
      </w:r>
      <w:r>
        <w:rPr>
          <w:rFonts w:hint="eastAsia"/>
        </w:rPr>
        <w:t>-C</w:t>
      </w:r>
      <w:r>
        <w:rPr>
          <w:rFonts w:hint="eastAsia"/>
          <w:vertAlign w:val="subscript"/>
        </w:rPr>
        <w:t>40</w:t>
      </w:r>
      <w:r>
        <w:t>）</w:t>
      </w:r>
      <w:r>
        <w:rPr>
          <w:rFonts w:hint="eastAsia"/>
        </w:rPr>
        <w:t>，</w:t>
      </w:r>
      <w:r>
        <w:t>甲醇和石油醚为挥发性有机物，</w:t>
      </w:r>
      <w:r>
        <w:rPr>
          <w:rFonts w:hint="eastAsia"/>
        </w:rPr>
        <w:t>不</w:t>
      </w:r>
      <w:r>
        <w:t>属于大气沉降的有毒有害物质，</w:t>
      </w:r>
      <w:r>
        <w:rPr>
          <w:rFonts w:hint="eastAsia"/>
        </w:rPr>
        <w:t>不会</w:t>
      </w:r>
      <w:r>
        <w:t>对土壤环境产生累计影响、因此</w:t>
      </w:r>
      <w:r>
        <w:rPr>
          <w:rFonts w:hint="eastAsia"/>
        </w:rPr>
        <w:t>，</w:t>
      </w:r>
      <w:r>
        <w:t>项目大气沉降对土壤环境影响较小</w:t>
      </w:r>
      <w:r>
        <w:rPr>
          <w:rFonts w:hint="eastAsia"/>
        </w:rPr>
        <w:t>。</w:t>
      </w:r>
    </w:p>
    <w:p>
      <w:pPr>
        <w:pStyle w:val="5"/>
      </w:pPr>
      <w:r>
        <w:rPr>
          <w:rFonts w:hint="eastAsia"/>
        </w:rPr>
        <w:t>小结</w:t>
      </w:r>
    </w:p>
    <w:p>
      <w:pPr>
        <w:pStyle w:val="87"/>
        <w:ind w:firstLine="480"/>
      </w:pPr>
      <w:r>
        <w:rPr>
          <w:rFonts w:hint="eastAsia"/>
        </w:rPr>
        <w:t>综合上述分析，危险废物暂存间、储罐区等均严格按照《危险废物贮存污染控制标准》（GB18597-2001）等有关规范设计，废气正常</w:t>
      </w:r>
      <w:r>
        <w:t>情况均达标排放，</w:t>
      </w:r>
      <w:r>
        <w:rPr>
          <w:rFonts w:hint="eastAsia"/>
        </w:rPr>
        <w:t>排放主要</w:t>
      </w:r>
      <w:r>
        <w:t>污染物为甲醇、石油醚、</w:t>
      </w:r>
      <w:r>
        <w:rPr>
          <w:rFonts w:hint="eastAsia"/>
        </w:rPr>
        <w:t>粉尘</w:t>
      </w:r>
      <w:r>
        <w:t>，</w:t>
      </w:r>
      <w:r>
        <w:rPr>
          <w:rFonts w:hint="eastAsia"/>
        </w:rPr>
        <w:t>不属于</w:t>
      </w:r>
      <w:r>
        <w:t>有毒有害物质，不会对土壤环境产生累计影响，因此</w:t>
      </w:r>
      <w:r>
        <w:rPr>
          <w:rFonts w:hint="eastAsia"/>
        </w:rPr>
        <w:t>，项目建成后对周边土壤的影响较小。</w:t>
      </w:r>
    </w:p>
    <w:p>
      <w:pPr>
        <w:pStyle w:val="87"/>
        <w:ind w:firstLine="480"/>
        <w:rPr>
          <w:highlight w:val="yellow"/>
        </w:rPr>
      </w:pPr>
    </w:p>
    <w:p>
      <w:pPr>
        <w:pStyle w:val="87"/>
        <w:ind w:firstLine="480"/>
        <w:rPr>
          <w:highlight w:val="yellow"/>
        </w:rPr>
      </w:pPr>
    </w:p>
    <w:p>
      <w:pPr>
        <w:pStyle w:val="87"/>
        <w:ind w:firstLine="480"/>
        <w:rPr>
          <w:highlight w:val="yellow"/>
        </w:rPr>
      </w:pPr>
    </w:p>
    <w:p>
      <w:pPr>
        <w:pStyle w:val="87"/>
        <w:ind w:firstLine="480"/>
        <w:rPr>
          <w:highlight w:val="yellow"/>
        </w:rPr>
      </w:pPr>
    </w:p>
    <w:p>
      <w:pPr>
        <w:pStyle w:val="87"/>
        <w:ind w:firstLine="480"/>
        <w:rPr>
          <w:highlight w:val="yellow"/>
        </w:rPr>
      </w:pPr>
    </w:p>
    <w:bookmarkEnd w:id="139"/>
    <w:bookmarkEnd w:id="140"/>
    <w:bookmarkEnd w:id="141"/>
    <w:bookmarkEnd w:id="142"/>
    <w:p>
      <w:pPr>
        <w:ind w:firstLine="480"/>
        <w:rPr>
          <w:highlight w:val="yellow"/>
        </w:rPr>
        <w:sectPr>
          <w:headerReference r:id="rId52" w:type="default"/>
          <w:headerReference r:id="rId53" w:type="even"/>
          <w:pgSz w:w="11906" w:h="16838"/>
          <w:pgMar w:top="1440" w:right="1418" w:bottom="1440" w:left="1418" w:header="992" w:footer="992" w:gutter="0"/>
          <w:pgNumType w:fmt="numberInDash"/>
          <w:cols w:space="425" w:num="1"/>
          <w:docGrid w:type="lines" w:linePitch="326" w:charSpace="0"/>
        </w:sectPr>
      </w:pPr>
    </w:p>
    <w:p>
      <w:pPr>
        <w:pStyle w:val="2"/>
      </w:pPr>
      <w:bookmarkStart w:id="143" w:name="_Toc488102179"/>
      <w:bookmarkStart w:id="144" w:name="_Toc82502958"/>
      <w:r>
        <w:rPr>
          <w:rFonts w:hint="eastAsia"/>
        </w:rPr>
        <w:t>环境风险评价</w:t>
      </w:r>
      <w:bookmarkEnd w:id="143"/>
      <w:bookmarkEnd w:id="144"/>
    </w:p>
    <w:p>
      <w:pPr>
        <w:pStyle w:val="3"/>
      </w:pPr>
      <w:bookmarkStart w:id="145" w:name="_Toc382810912"/>
      <w:bookmarkStart w:id="146" w:name="_Toc384552397"/>
      <w:bookmarkStart w:id="147" w:name="_Toc387133308"/>
      <w:bookmarkStart w:id="148" w:name="_Toc346962984"/>
      <w:bookmarkStart w:id="149" w:name="_Toc468920645"/>
      <w:bookmarkStart w:id="150" w:name="_Toc437240964"/>
      <w:bookmarkStart w:id="151" w:name="_Toc82502959"/>
      <w:bookmarkStart w:id="152" w:name="_Toc364090182"/>
      <w:r>
        <w:t>评价目的</w:t>
      </w:r>
      <w:bookmarkEnd w:id="145"/>
      <w:bookmarkEnd w:id="146"/>
      <w:bookmarkEnd w:id="147"/>
      <w:bookmarkEnd w:id="148"/>
      <w:bookmarkEnd w:id="149"/>
      <w:bookmarkEnd w:id="150"/>
      <w:bookmarkEnd w:id="151"/>
      <w:bookmarkEnd w:id="152"/>
    </w:p>
    <w:p>
      <w:pPr>
        <w:ind w:firstLine="480"/>
      </w:pPr>
      <w:r>
        <w:rPr>
          <w:rFonts w:hint="eastAsia"/>
        </w:rPr>
        <w:t>根据原国家环保部《关于进一步加强环境影响评价管理防范环境风险的通知》（环发[2012]77号文）的要求：“建设项目环境风险评价是相关项目环境影响评价的重要组成部分。新、改、扩建项目建设项目环境影响评价应按照相应技术导则要求，科学预测评价突发性事件或事故可能引发的环境风险，提出环境风险防范和应急措施。”</w:t>
      </w:r>
    </w:p>
    <w:p>
      <w:pPr>
        <w:pStyle w:val="87"/>
        <w:ind w:firstLine="480"/>
      </w:pPr>
      <w:r>
        <w:rPr>
          <w:rFonts w:hint="eastAsia"/>
        </w:rPr>
        <w:t>根据《建设项目环境风险评价技术导则》（HJ169-2018)，对于涉及有毒有害和易燃易爆物质的生产、使用、贮运的建设项目可能发生的突发性事故应进行环境风险评价。本项目运营期使用</w:t>
      </w:r>
      <w:r>
        <w:t>甲醇、硫酸、</w:t>
      </w:r>
      <w:r>
        <w:rPr>
          <w:rFonts w:hint="eastAsia"/>
        </w:rPr>
        <w:t>石油醚</w:t>
      </w:r>
      <w:r>
        <w:t>等具有一定危险特性，存在潜在环境污染、健康危险及火灾爆炸等风险隐患，因此必须对项目进行环境风险评价。</w:t>
      </w:r>
    </w:p>
    <w:p>
      <w:pPr>
        <w:pStyle w:val="3"/>
      </w:pPr>
      <w:bookmarkStart w:id="153" w:name="_Toc82502960"/>
      <w:r>
        <w:rPr>
          <w:rFonts w:hint="eastAsia"/>
        </w:rPr>
        <w:t>评价</w:t>
      </w:r>
      <w:r>
        <w:t>原则</w:t>
      </w:r>
      <w:bookmarkEnd w:id="153"/>
    </w:p>
    <w:p>
      <w:pPr>
        <w:ind w:firstLine="480"/>
      </w:pPr>
      <w:r>
        <w:rPr>
          <w:rFonts w:hint="eastAsia"/>
        </w:rPr>
        <w:t>环境风险评价是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3"/>
      </w:pPr>
      <w:bookmarkStart w:id="154" w:name="_Toc82502961"/>
      <w:r>
        <w:rPr>
          <w:rFonts w:hint="eastAsia"/>
        </w:rPr>
        <w:t>风险</w:t>
      </w:r>
      <w:r>
        <w:t>调查</w:t>
      </w:r>
      <w:bookmarkEnd w:id="154"/>
    </w:p>
    <w:p>
      <w:pPr>
        <w:pStyle w:val="4"/>
      </w:pPr>
      <w:r>
        <w:rPr>
          <w:rFonts w:hint="eastAsia"/>
        </w:rPr>
        <w:t>建设</w:t>
      </w:r>
      <w:r>
        <w:t>项目风险源调查</w:t>
      </w:r>
    </w:p>
    <w:p>
      <w:pPr>
        <w:ind w:firstLine="480"/>
      </w:pPr>
      <w:r>
        <w:rPr>
          <w:rFonts w:hint="eastAsia"/>
        </w:rPr>
        <w:t>风险源指存在物质或能量意外释放，会对环境造成危害的物质。根据《建设项目环境风险评价技术导则》（HJ169-2018）附录B，项目涉及的</w:t>
      </w:r>
      <w:r>
        <w:t>危险物质主要为甲醇、硫酸、石油醚</w:t>
      </w:r>
      <w:r>
        <w:rPr>
          <w:rFonts w:hint="eastAsia"/>
        </w:rPr>
        <w:t>以及危险废物暂存间</w:t>
      </w:r>
      <w:r>
        <w:t>的</w:t>
      </w:r>
      <w:r>
        <w:rPr>
          <w:rFonts w:hint="eastAsia"/>
        </w:rPr>
        <w:t>废</w:t>
      </w:r>
      <w:r>
        <w:t>活性炭</w:t>
      </w:r>
      <w:r>
        <w:rPr>
          <w:rFonts w:hint="eastAsia"/>
        </w:rPr>
        <w:t>、</w:t>
      </w:r>
      <w:r>
        <w:t>废含油抹布等危险废物。</w:t>
      </w:r>
    </w:p>
    <w:p>
      <w:pPr>
        <w:ind w:firstLine="480"/>
      </w:pPr>
      <w:r>
        <w:rPr>
          <w:rFonts w:hint="eastAsia"/>
        </w:rPr>
        <w:t>项目</w:t>
      </w:r>
      <w:r>
        <w:t>涉及的风险单元主要为生产车间、</w:t>
      </w:r>
      <w:r>
        <w:rPr>
          <w:rFonts w:hint="eastAsia"/>
        </w:rPr>
        <w:t>储罐区、危险</w:t>
      </w:r>
      <w:r>
        <w:t>废物暂存间等，危险物质中的硫酸存放在</w:t>
      </w:r>
      <w:r>
        <w:rPr>
          <w:rFonts w:hint="eastAsia"/>
        </w:rPr>
        <w:t>生产</w:t>
      </w:r>
      <w:r>
        <w:t>车间原料</w:t>
      </w:r>
      <w:r>
        <w:rPr>
          <w:rFonts w:hint="eastAsia"/>
        </w:rPr>
        <w:t>库</w:t>
      </w:r>
      <w:r>
        <w:t>，甲醇和石油醚储存在储罐区，</w:t>
      </w:r>
      <w:r>
        <w:rPr>
          <w:rFonts w:hint="eastAsia"/>
        </w:rPr>
        <w:t>危险</w:t>
      </w:r>
      <w:r>
        <w:t>废物暂存在危废暂存间。</w:t>
      </w:r>
    </w:p>
    <w:p>
      <w:pPr>
        <w:ind w:firstLine="480"/>
      </w:pPr>
      <w:r>
        <w:rPr>
          <w:rFonts w:hint="eastAsia"/>
        </w:rPr>
        <w:t>危险</w:t>
      </w:r>
      <w:r>
        <w:t>物质</w:t>
      </w:r>
      <w:r>
        <w:rPr>
          <w:rFonts w:hint="eastAsia"/>
        </w:rPr>
        <w:t>具体</w:t>
      </w:r>
      <w:r>
        <w:t>数量和分布见表</w:t>
      </w:r>
      <w:r>
        <w:rPr>
          <w:rFonts w:hint="eastAsia"/>
        </w:rPr>
        <w:t>6.3-1。</w:t>
      </w:r>
    </w:p>
    <w:p>
      <w:pPr>
        <w:pStyle w:val="93"/>
        <w:rPr>
          <w:kern w:val="24"/>
          <w:szCs w:val="28"/>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6.3</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kern w:val="24"/>
          <w:szCs w:val="28"/>
        </w:rPr>
        <w:t xml:space="preserve">  危险物质数量和分布情况一览表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293"/>
        <w:gridCol w:w="1222"/>
        <w:gridCol w:w="861"/>
        <w:gridCol w:w="891"/>
        <w:gridCol w:w="2231"/>
        <w:gridCol w:w="1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4"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序号</w:t>
            </w:r>
          </w:p>
        </w:tc>
        <w:tc>
          <w:tcPr>
            <w:tcW w:w="1293"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危险物质</w:t>
            </w:r>
          </w:p>
        </w:tc>
        <w:tc>
          <w:tcPr>
            <w:tcW w:w="1222"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危险源</w:t>
            </w:r>
          </w:p>
        </w:tc>
        <w:tc>
          <w:tcPr>
            <w:tcW w:w="861"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规格</w:t>
            </w:r>
          </w:p>
        </w:tc>
        <w:tc>
          <w:tcPr>
            <w:tcW w:w="891"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数量</w:t>
            </w:r>
          </w:p>
        </w:tc>
        <w:tc>
          <w:tcPr>
            <w:tcW w:w="2231"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分布位置</w:t>
            </w:r>
          </w:p>
        </w:tc>
        <w:tc>
          <w:tcPr>
            <w:tcW w:w="1768" w:type="dxa"/>
            <w:shd w:val="clear" w:color="auto" w:fill="auto"/>
            <w:tcMar>
              <w:left w:w="28" w:type="dxa"/>
              <w:right w:w="28" w:type="dxa"/>
            </w:tcMar>
            <w:vAlign w:val="center"/>
          </w:tcPr>
          <w:p>
            <w:pPr>
              <w:widowControl/>
              <w:snapToGrid/>
              <w:spacing w:line="240" w:lineRule="auto"/>
              <w:ind w:firstLine="0" w:firstLineChars="0"/>
              <w:jc w:val="center"/>
              <w:rPr>
                <w:b/>
                <w:kern w:val="0"/>
                <w:sz w:val="21"/>
                <w:szCs w:val="21"/>
              </w:rPr>
            </w:pPr>
            <w:r>
              <w:rPr>
                <w:b/>
                <w:kern w:val="0"/>
                <w:sz w:val="21"/>
                <w:szCs w:val="21"/>
              </w:rPr>
              <w:t>危险特性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4"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1</w:t>
            </w:r>
          </w:p>
        </w:tc>
        <w:tc>
          <w:tcPr>
            <w:tcW w:w="1293" w:type="dxa"/>
            <w:shd w:val="clear" w:color="auto" w:fill="auto"/>
            <w:tcMar>
              <w:left w:w="28" w:type="dxa"/>
              <w:right w:w="28" w:type="dxa"/>
            </w:tcMar>
            <w:vAlign w:val="center"/>
          </w:tcPr>
          <w:p>
            <w:pPr>
              <w:snapToGrid/>
              <w:spacing w:line="240" w:lineRule="auto"/>
              <w:ind w:firstLine="0" w:firstLineChars="0"/>
              <w:jc w:val="center"/>
              <w:rPr>
                <w:kern w:val="0"/>
                <w:sz w:val="21"/>
                <w:szCs w:val="21"/>
              </w:rPr>
            </w:pPr>
            <w:r>
              <w:rPr>
                <w:kern w:val="0"/>
                <w:sz w:val="21"/>
                <w:szCs w:val="21"/>
              </w:rPr>
              <w:t>甲醇</w:t>
            </w:r>
          </w:p>
        </w:tc>
        <w:tc>
          <w:tcPr>
            <w:tcW w:w="1222"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sz w:val="21"/>
                <w:szCs w:val="21"/>
              </w:rPr>
              <w:t>储</w:t>
            </w:r>
            <w:r>
              <w:rPr>
                <w:sz w:val="21"/>
                <w:szCs w:val="21"/>
              </w:rPr>
              <w:t>罐区</w:t>
            </w:r>
          </w:p>
        </w:tc>
        <w:tc>
          <w:tcPr>
            <w:tcW w:w="86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sz w:val="21"/>
                <w:szCs w:val="21"/>
              </w:rPr>
              <w:t>60m</w:t>
            </w:r>
            <w:r>
              <w:rPr>
                <w:sz w:val="21"/>
                <w:szCs w:val="21"/>
                <w:vertAlign w:val="superscript"/>
              </w:rPr>
              <w:t>3</w:t>
            </w:r>
          </w:p>
        </w:tc>
        <w:tc>
          <w:tcPr>
            <w:tcW w:w="89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1个</w:t>
            </w:r>
          </w:p>
        </w:tc>
        <w:tc>
          <w:tcPr>
            <w:tcW w:w="223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sz w:val="21"/>
                <w:szCs w:val="21"/>
              </w:rPr>
              <w:t>原料罐区、</w:t>
            </w:r>
            <w:r>
              <w:rPr>
                <w:rFonts w:hint="eastAsia"/>
                <w:sz w:val="21"/>
                <w:szCs w:val="21"/>
              </w:rPr>
              <w:t>生产</w:t>
            </w:r>
            <w:r>
              <w:rPr>
                <w:sz w:val="21"/>
                <w:szCs w:val="21"/>
              </w:rPr>
              <w:t>车间</w:t>
            </w:r>
          </w:p>
        </w:tc>
        <w:tc>
          <w:tcPr>
            <w:tcW w:w="1768"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泄漏、爆炸、火灾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4"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2</w:t>
            </w:r>
          </w:p>
        </w:tc>
        <w:tc>
          <w:tcPr>
            <w:tcW w:w="1293" w:type="dxa"/>
            <w:shd w:val="clear" w:color="auto" w:fill="auto"/>
            <w:tcMar>
              <w:left w:w="28" w:type="dxa"/>
              <w:right w:w="28" w:type="dxa"/>
            </w:tcMar>
            <w:vAlign w:val="center"/>
          </w:tcPr>
          <w:p>
            <w:pPr>
              <w:snapToGrid/>
              <w:spacing w:line="240" w:lineRule="auto"/>
              <w:ind w:firstLine="0" w:firstLineChars="0"/>
              <w:jc w:val="center"/>
              <w:rPr>
                <w:kern w:val="0"/>
                <w:sz w:val="21"/>
                <w:szCs w:val="21"/>
              </w:rPr>
            </w:pPr>
            <w:r>
              <w:rPr>
                <w:rFonts w:hint="eastAsia"/>
                <w:kern w:val="0"/>
                <w:sz w:val="21"/>
                <w:szCs w:val="21"/>
              </w:rPr>
              <w:t>硫酸</w:t>
            </w:r>
          </w:p>
        </w:tc>
        <w:tc>
          <w:tcPr>
            <w:tcW w:w="1222"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sz w:val="21"/>
                <w:szCs w:val="21"/>
              </w:rPr>
              <w:t>原料库</w:t>
            </w:r>
          </w:p>
        </w:tc>
        <w:tc>
          <w:tcPr>
            <w:tcW w:w="86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kern w:val="0"/>
                <w:sz w:val="21"/>
                <w:szCs w:val="21"/>
              </w:rPr>
              <w:t>25</w:t>
            </w:r>
            <w:r>
              <w:rPr>
                <w:kern w:val="0"/>
                <w:sz w:val="21"/>
                <w:szCs w:val="21"/>
              </w:rPr>
              <w:t>kg</w:t>
            </w:r>
          </w:p>
        </w:tc>
        <w:tc>
          <w:tcPr>
            <w:tcW w:w="89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kern w:val="0"/>
                <w:sz w:val="21"/>
                <w:szCs w:val="21"/>
              </w:rPr>
              <w:t>40桶</w:t>
            </w:r>
          </w:p>
        </w:tc>
        <w:tc>
          <w:tcPr>
            <w:tcW w:w="223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sz w:val="21"/>
                <w:szCs w:val="21"/>
              </w:rPr>
              <w:t>原材料库房</w:t>
            </w:r>
          </w:p>
        </w:tc>
        <w:tc>
          <w:tcPr>
            <w:tcW w:w="1768"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泄漏、爆炸、火灾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4"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3</w:t>
            </w:r>
          </w:p>
        </w:tc>
        <w:tc>
          <w:tcPr>
            <w:tcW w:w="1293" w:type="dxa"/>
            <w:shd w:val="clear" w:color="auto" w:fill="auto"/>
            <w:tcMar>
              <w:left w:w="28" w:type="dxa"/>
              <w:right w:w="28" w:type="dxa"/>
            </w:tcMar>
            <w:vAlign w:val="center"/>
          </w:tcPr>
          <w:p>
            <w:pPr>
              <w:snapToGrid/>
              <w:spacing w:line="240" w:lineRule="auto"/>
              <w:ind w:firstLine="0" w:firstLineChars="0"/>
              <w:jc w:val="center"/>
              <w:rPr>
                <w:kern w:val="0"/>
                <w:sz w:val="21"/>
                <w:szCs w:val="21"/>
              </w:rPr>
            </w:pPr>
            <w:r>
              <w:rPr>
                <w:rFonts w:hint="eastAsia"/>
                <w:kern w:val="0"/>
                <w:sz w:val="21"/>
                <w:szCs w:val="21"/>
              </w:rPr>
              <w:t>石油醚</w:t>
            </w:r>
          </w:p>
        </w:tc>
        <w:tc>
          <w:tcPr>
            <w:tcW w:w="1222"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sz w:val="21"/>
                <w:szCs w:val="21"/>
              </w:rPr>
              <w:t>储</w:t>
            </w:r>
            <w:r>
              <w:rPr>
                <w:sz w:val="21"/>
                <w:szCs w:val="21"/>
              </w:rPr>
              <w:t>罐区</w:t>
            </w:r>
          </w:p>
        </w:tc>
        <w:tc>
          <w:tcPr>
            <w:tcW w:w="86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sz w:val="21"/>
                <w:szCs w:val="21"/>
              </w:rPr>
              <w:t>60m</w:t>
            </w:r>
            <w:r>
              <w:rPr>
                <w:sz w:val="21"/>
                <w:szCs w:val="21"/>
                <w:vertAlign w:val="superscript"/>
              </w:rPr>
              <w:t>3</w:t>
            </w:r>
          </w:p>
        </w:tc>
        <w:tc>
          <w:tcPr>
            <w:tcW w:w="89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1个</w:t>
            </w:r>
          </w:p>
        </w:tc>
        <w:tc>
          <w:tcPr>
            <w:tcW w:w="223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sz w:val="21"/>
                <w:szCs w:val="21"/>
              </w:rPr>
              <w:t>原料罐区、车间</w:t>
            </w:r>
          </w:p>
        </w:tc>
        <w:tc>
          <w:tcPr>
            <w:tcW w:w="1768" w:type="dxa"/>
            <w:shd w:val="clear" w:color="auto" w:fill="auto"/>
            <w:tcMar>
              <w:left w:w="28" w:type="dxa"/>
              <w:right w:w="28" w:type="dxa"/>
            </w:tcMar>
            <w:vAlign w:val="center"/>
          </w:tcPr>
          <w:p>
            <w:pPr>
              <w:widowControl/>
              <w:snapToGrid/>
              <w:spacing w:line="240" w:lineRule="auto"/>
              <w:ind w:firstLine="0" w:firstLineChars="0"/>
              <w:jc w:val="center"/>
              <w:rPr>
                <w:b/>
                <w:bCs/>
                <w:kern w:val="0"/>
                <w:sz w:val="21"/>
                <w:szCs w:val="21"/>
              </w:rPr>
            </w:pPr>
            <w:r>
              <w:rPr>
                <w:kern w:val="0"/>
                <w:sz w:val="21"/>
                <w:szCs w:val="21"/>
              </w:rPr>
              <w:t>泄漏、爆炸、火灾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4"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4</w:t>
            </w:r>
          </w:p>
        </w:tc>
        <w:tc>
          <w:tcPr>
            <w:tcW w:w="1293" w:type="dxa"/>
            <w:shd w:val="clear" w:color="auto" w:fill="auto"/>
            <w:tcMar>
              <w:left w:w="28" w:type="dxa"/>
              <w:right w:w="28" w:type="dxa"/>
            </w:tcMar>
            <w:vAlign w:val="center"/>
          </w:tcPr>
          <w:p>
            <w:pPr>
              <w:snapToGrid/>
              <w:spacing w:line="240" w:lineRule="auto"/>
              <w:ind w:firstLine="0" w:firstLineChars="0"/>
              <w:jc w:val="center"/>
              <w:rPr>
                <w:kern w:val="0"/>
                <w:sz w:val="21"/>
                <w:szCs w:val="21"/>
              </w:rPr>
            </w:pPr>
            <w:r>
              <w:rPr>
                <w:rFonts w:hint="eastAsia"/>
                <w:kern w:val="0"/>
                <w:sz w:val="21"/>
                <w:szCs w:val="21"/>
              </w:rPr>
              <w:t>危险</w:t>
            </w:r>
            <w:r>
              <w:rPr>
                <w:kern w:val="0"/>
                <w:sz w:val="21"/>
                <w:szCs w:val="21"/>
              </w:rPr>
              <w:t>废物</w:t>
            </w:r>
          </w:p>
        </w:tc>
        <w:tc>
          <w:tcPr>
            <w:tcW w:w="1222"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kern w:val="0"/>
                <w:sz w:val="21"/>
                <w:szCs w:val="21"/>
              </w:rPr>
              <w:t>废含油抹布</w:t>
            </w:r>
            <w:r>
              <w:rPr>
                <w:rFonts w:hint="eastAsia"/>
                <w:kern w:val="0"/>
                <w:sz w:val="21"/>
                <w:szCs w:val="21"/>
              </w:rPr>
              <w:t>、</w:t>
            </w:r>
            <w:r>
              <w:rPr>
                <w:kern w:val="0"/>
                <w:sz w:val="21"/>
                <w:szCs w:val="21"/>
              </w:rPr>
              <w:t>废活性炭</w:t>
            </w:r>
          </w:p>
        </w:tc>
        <w:tc>
          <w:tcPr>
            <w:tcW w:w="86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kern w:val="0"/>
                <w:sz w:val="21"/>
                <w:szCs w:val="21"/>
              </w:rPr>
              <w:t>/</w:t>
            </w:r>
          </w:p>
        </w:tc>
        <w:tc>
          <w:tcPr>
            <w:tcW w:w="89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kern w:val="0"/>
                <w:sz w:val="21"/>
                <w:szCs w:val="21"/>
              </w:rPr>
              <w:t>/</w:t>
            </w:r>
          </w:p>
        </w:tc>
        <w:tc>
          <w:tcPr>
            <w:tcW w:w="2231" w:type="dxa"/>
            <w:shd w:val="clear" w:color="auto" w:fill="auto"/>
            <w:tcMar>
              <w:left w:w="28" w:type="dxa"/>
              <w:right w:w="28" w:type="dxa"/>
            </w:tcMar>
            <w:vAlign w:val="center"/>
          </w:tcPr>
          <w:p>
            <w:pPr>
              <w:widowControl/>
              <w:snapToGrid/>
              <w:spacing w:line="240" w:lineRule="auto"/>
              <w:ind w:firstLine="0" w:firstLineChars="0"/>
              <w:jc w:val="center"/>
              <w:rPr>
                <w:kern w:val="0"/>
                <w:sz w:val="21"/>
                <w:szCs w:val="21"/>
              </w:rPr>
            </w:pPr>
            <w:r>
              <w:rPr>
                <w:rFonts w:hint="eastAsia"/>
                <w:kern w:val="0"/>
                <w:sz w:val="21"/>
                <w:szCs w:val="21"/>
              </w:rPr>
              <w:t>废物</w:t>
            </w:r>
            <w:r>
              <w:rPr>
                <w:kern w:val="0"/>
                <w:sz w:val="21"/>
                <w:szCs w:val="21"/>
              </w:rPr>
              <w:t>暂存间</w:t>
            </w:r>
          </w:p>
        </w:tc>
        <w:tc>
          <w:tcPr>
            <w:tcW w:w="1768" w:type="dxa"/>
            <w:shd w:val="clear" w:color="auto" w:fill="auto"/>
            <w:tcMar>
              <w:left w:w="28" w:type="dxa"/>
              <w:right w:w="28" w:type="dxa"/>
            </w:tcMar>
            <w:vAlign w:val="center"/>
          </w:tcPr>
          <w:p>
            <w:pPr>
              <w:widowControl/>
              <w:snapToGrid/>
              <w:spacing w:line="240" w:lineRule="auto"/>
              <w:ind w:firstLine="0" w:firstLineChars="0"/>
              <w:jc w:val="center"/>
              <w:rPr>
                <w:bCs/>
                <w:kern w:val="0"/>
                <w:sz w:val="21"/>
                <w:szCs w:val="21"/>
              </w:rPr>
            </w:pPr>
            <w:r>
              <w:rPr>
                <w:rFonts w:hint="eastAsia"/>
                <w:bCs/>
                <w:kern w:val="0"/>
                <w:sz w:val="21"/>
                <w:szCs w:val="21"/>
              </w:rPr>
              <w:t>泄漏、爆炸、</w:t>
            </w:r>
            <w:r>
              <w:rPr>
                <w:bCs/>
                <w:kern w:val="0"/>
                <w:sz w:val="21"/>
                <w:szCs w:val="21"/>
              </w:rPr>
              <w:t>火灾</w:t>
            </w:r>
          </w:p>
        </w:tc>
      </w:tr>
    </w:tbl>
    <w:p>
      <w:pPr>
        <w:pStyle w:val="4"/>
      </w:pPr>
      <w:r>
        <w:rPr>
          <w:rFonts w:hint="eastAsia"/>
        </w:rPr>
        <w:t>环境</w:t>
      </w:r>
      <w:r>
        <w:t>敏感目标调查</w:t>
      </w:r>
    </w:p>
    <w:p>
      <w:pPr>
        <w:ind w:firstLine="480"/>
      </w:pPr>
      <w:r>
        <w:t>根据现状调查，项目风险环境敏感目标见</w:t>
      </w:r>
      <w:r>
        <w:rPr>
          <w:rFonts w:hint="eastAsia"/>
        </w:rPr>
        <w:t>表6.3-</w:t>
      </w:r>
      <w:r>
        <w:t>2和图2.7-2。</w:t>
      </w:r>
    </w:p>
    <w:p>
      <w:pPr>
        <w:spacing w:line="240" w:lineRule="auto"/>
        <w:ind w:firstLine="0" w:firstLineChars="0"/>
        <w:jc w:val="center"/>
        <w:rPr>
          <w:b/>
          <w:sz w:val="21"/>
          <w:szCs w:val="24"/>
        </w:rPr>
      </w:pPr>
      <w:bookmarkStart w:id="155" w:name="_Ref26779559"/>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6.3</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2</w:t>
      </w:r>
      <w:r>
        <w:rPr>
          <w:b/>
          <w:sz w:val="21"/>
          <w:szCs w:val="24"/>
        </w:rPr>
        <w:fldChar w:fldCharType="end"/>
      </w:r>
      <w:bookmarkEnd w:id="155"/>
      <w:r>
        <w:rPr>
          <w:b/>
          <w:sz w:val="21"/>
          <w:szCs w:val="24"/>
        </w:rPr>
        <w:t xml:space="preserve">  项目环境风险保护目标</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737"/>
        <w:gridCol w:w="258"/>
        <w:gridCol w:w="344"/>
        <w:gridCol w:w="1689"/>
        <w:gridCol w:w="165"/>
        <w:gridCol w:w="895"/>
        <w:gridCol w:w="602"/>
        <w:gridCol w:w="528"/>
        <w:gridCol w:w="146"/>
        <w:gridCol w:w="940"/>
        <w:gridCol w:w="358"/>
        <w:gridCol w:w="1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1056" w:type="dxa"/>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类别</w:t>
            </w:r>
          </w:p>
        </w:tc>
        <w:tc>
          <w:tcPr>
            <w:tcW w:w="7984" w:type="dxa"/>
            <w:gridSpan w:val="12"/>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restart"/>
            <w:shd w:val="clear" w:color="auto" w:fill="auto"/>
            <w:noWrap/>
            <w:vAlign w:val="center"/>
          </w:tcPr>
          <w:p>
            <w:pPr>
              <w:widowControl/>
              <w:snapToGrid/>
              <w:spacing w:line="240" w:lineRule="auto"/>
              <w:ind w:firstLine="0" w:firstLineChars="0"/>
              <w:jc w:val="center"/>
              <w:rPr>
                <w:kern w:val="0"/>
                <w:sz w:val="21"/>
                <w:szCs w:val="21"/>
              </w:rPr>
            </w:pPr>
            <w:r>
              <w:rPr>
                <w:kern w:val="0"/>
                <w:sz w:val="21"/>
                <w:szCs w:val="21"/>
              </w:rPr>
              <w:t>环境空气</w:t>
            </w:r>
          </w:p>
        </w:tc>
        <w:tc>
          <w:tcPr>
            <w:tcW w:w="7984" w:type="dxa"/>
            <w:gridSpan w:val="12"/>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厂址周边5km范围内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序号</w:t>
            </w:r>
          </w:p>
        </w:tc>
        <w:tc>
          <w:tcPr>
            <w:tcW w:w="2033" w:type="dxa"/>
            <w:gridSpan w:val="2"/>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敏感目标名称</w:t>
            </w:r>
          </w:p>
        </w:tc>
        <w:tc>
          <w:tcPr>
            <w:tcW w:w="1060" w:type="dxa"/>
            <w:gridSpan w:val="2"/>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相对方位</w:t>
            </w:r>
          </w:p>
        </w:tc>
        <w:tc>
          <w:tcPr>
            <w:tcW w:w="1276" w:type="dxa"/>
            <w:gridSpan w:val="3"/>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距离/m</w:t>
            </w:r>
          </w:p>
        </w:tc>
        <w:tc>
          <w:tcPr>
            <w:tcW w:w="1298" w:type="dxa"/>
            <w:gridSpan w:val="2"/>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属性</w:t>
            </w:r>
          </w:p>
        </w:tc>
        <w:tc>
          <w:tcPr>
            <w:tcW w:w="1322" w:type="dxa"/>
            <w:shd w:val="clear" w:color="auto" w:fill="auto"/>
            <w:noWrap/>
            <w:vAlign w:val="center"/>
          </w:tcPr>
          <w:p>
            <w:pPr>
              <w:widowControl/>
              <w:snapToGrid/>
              <w:spacing w:line="240" w:lineRule="auto"/>
              <w:ind w:firstLine="0" w:firstLineChars="0"/>
              <w:jc w:val="center"/>
              <w:rPr>
                <w:b/>
                <w:kern w:val="0"/>
                <w:sz w:val="21"/>
                <w:szCs w:val="21"/>
              </w:rPr>
            </w:pPr>
            <w:r>
              <w:rPr>
                <w:b/>
                <w:kern w:val="0"/>
                <w:sz w:val="21"/>
                <w:szCs w:val="21"/>
              </w:rPr>
              <w:t>人口数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1</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江家店村</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E</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50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2</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康</w:t>
            </w:r>
            <w:r>
              <w:rPr>
                <w:sz w:val="21"/>
                <w:szCs w:val="21"/>
              </w:rPr>
              <w:t>美家苑</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N</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60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3</w:t>
            </w:r>
            <w:r>
              <w:rPr>
                <w:kern w:val="0"/>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3</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张家坡</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SW</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125</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3</w:t>
            </w:r>
            <w:r>
              <w:rPr>
                <w:kern w:val="0"/>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4</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移民</w:t>
            </w:r>
            <w:r>
              <w:rPr>
                <w:sz w:val="21"/>
                <w:szCs w:val="21"/>
              </w:rPr>
              <w:t>安置区</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N</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530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480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5</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牌</w:t>
            </w:r>
            <w:r>
              <w:rPr>
                <w:sz w:val="21"/>
                <w:szCs w:val="21"/>
              </w:rPr>
              <w:t>楼里</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S</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470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6</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陈</w:t>
            </w:r>
            <w:r>
              <w:rPr>
                <w:sz w:val="21"/>
                <w:szCs w:val="21"/>
              </w:rPr>
              <w:t>家坪</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SW</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500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7</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东坝</w:t>
            </w:r>
            <w:r>
              <w:rPr>
                <w:sz w:val="21"/>
                <w:szCs w:val="21"/>
              </w:rPr>
              <w:t>村</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N</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1100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8</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刘家院子</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NW</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1000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sz w:val="21"/>
                <w:szCs w:val="21"/>
              </w:rPr>
            </w:pPr>
            <w:r>
              <w:rPr>
                <w:rFonts w:hint="eastAsia"/>
                <w:sz w:val="21"/>
                <w:szCs w:val="21"/>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9</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吕河镇</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W</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1100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9</w:t>
            </w:r>
            <w:r>
              <w:rPr>
                <w:kern w:val="0"/>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10</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吕河镇</w:t>
            </w:r>
            <w:r>
              <w:rPr>
                <w:sz w:val="21"/>
                <w:szCs w:val="21"/>
              </w:rPr>
              <w:t>中心学校</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W</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1200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11</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养马</w:t>
            </w:r>
            <w:r>
              <w:rPr>
                <w:sz w:val="21"/>
                <w:szCs w:val="21"/>
              </w:rPr>
              <w:t>沟村</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S</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12</w:t>
            </w:r>
            <w:r>
              <w:rPr>
                <w:sz w:val="21"/>
                <w:szCs w:val="21"/>
              </w:rPr>
              <w:t>60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995" w:type="dxa"/>
            <w:gridSpan w:val="2"/>
            <w:shd w:val="clear" w:color="auto" w:fill="auto"/>
            <w:noWrap/>
          </w:tcPr>
          <w:p>
            <w:pPr>
              <w:widowControl/>
              <w:snapToGrid/>
              <w:spacing w:line="240" w:lineRule="auto"/>
              <w:ind w:firstLine="0" w:firstLineChars="0"/>
              <w:jc w:val="center"/>
              <w:rPr>
                <w:kern w:val="0"/>
                <w:sz w:val="21"/>
                <w:szCs w:val="21"/>
              </w:rPr>
            </w:pPr>
            <w:r>
              <w:rPr>
                <w:kern w:val="0"/>
                <w:sz w:val="21"/>
                <w:szCs w:val="21"/>
              </w:rPr>
              <w:t>12</w:t>
            </w:r>
          </w:p>
        </w:tc>
        <w:tc>
          <w:tcPr>
            <w:tcW w:w="2033"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刘家坪</w:t>
            </w:r>
          </w:p>
        </w:tc>
        <w:tc>
          <w:tcPr>
            <w:tcW w:w="1060" w:type="dxa"/>
            <w:gridSpan w:val="2"/>
            <w:shd w:val="clear" w:color="auto" w:fill="auto"/>
            <w:vAlign w:val="center"/>
          </w:tcPr>
          <w:p>
            <w:pPr>
              <w:adjustRightInd/>
              <w:snapToGrid/>
              <w:spacing w:line="240" w:lineRule="auto"/>
              <w:ind w:firstLine="0" w:firstLineChars="0"/>
              <w:jc w:val="center"/>
              <w:rPr>
                <w:sz w:val="21"/>
                <w:szCs w:val="21"/>
              </w:rPr>
            </w:pPr>
            <w:r>
              <w:rPr>
                <w:rFonts w:hint="eastAsia"/>
                <w:sz w:val="21"/>
                <w:szCs w:val="21"/>
              </w:rPr>
              <w:t>S</w:t>
            </w:r>
          </w:p>
        </w:tc>
        <w:tc>
          <w:tcPr>
            <w:tcW w:w="1276" w:type="dxa"/>
            <w:gridSpan w:val="3"/>
            <w:shd w:val="clear" w:color="auto" w:fill="auto"/>
            <w:vAlign w:val="center"/>
          </w:tcPr>
          <w:p>
            <w:pPr>
              <w:adjustRightInd/>
              <w:snapToGrid/>
              <w:spacing w:line="240" w:lineRule="auto"/>
              <w:ind w:firstLine="0" w:firstLineChars="0"/>
              <w:jc w:val="center"/>
              <w:rPr>
                <w:sz w:val="21"/>
                <w:szCs w:val="21"/>
              </w:rPr>
            </w:pPr>
            <w:r>
              <w:rPr>
                <w:rFonts w:hint="eastAsia"/>
                <w:sz w:val="21"/>
                <w:szCs w:val="21"/>
              </w:rPr>
              <w:t>1880</w:t>
            </w:r>
          </w:p>
        </w:tc>
        <w:tc>
          <w:tcPr>
            <w:tcW w:w="1298" w:type="dxa"/>
            <w:gridSpan w:val="2"/>
            <w:shd w:val="clear" w:color="auto" w:fill="auto"/>
          </w:tcPr>
          <w:p>
            <w:pPr>
              <w:widowControl/>
              <w:snapToGrid/>
              <w:spacing w:line="240" w:lineRule="auto"/>
              <w:ind w:firstLine="0" w:firstLineChars="0"/>
              <w:jc w:val="center"/>
              <w:rPr>
                <w:kern w:val="0"/>
                <w:sz w:val="21"/>
                <w:szCs w:val="21"/>
              </w:rPr>
            </w:pPr>
            <w:r>
              <w:rPr>
                <w:kern w:val="0"/>
                <w:sz w:val="21"/>
                <w:szCs w:val="21"/>
              </w:rPr>
              <w:t>居住区</w:t>
            </w:r>
          </w:p>
        </w:tc>
        <w:tc>
          <w:tcPr>
            <w:tcW w:w="1322" w:type="dxa"/>
            <w:shd w:val="clear" w:color="auto" w:fill="auto"/>
            <w:vAlign w:val="center"/>
          </w:tcPr>
          <w:p>
            <w:pPr>
              <w:widowControl/>
              <w:snapToGrid/>
              <w:spacing w:line="240" w:lineRule="auto"/>
              <w:ind w:firstLine="0" w:firstLineChars="0"/>
              <w:jc w:val="center"/>
              <w:textAlignment w:val="center"/>
              <w:rPr>
                <w:kern w:val="0"/>
                <w:sz w:val="21"/>
                <w:szCs w:val="21"/>
              </w:rPr>
            </w:pPr>
            <w:r>
              <w:rPr>
                <w:rFonts w:hint="eastAsia"/>
                <w:kern w:val="0"/>
                <w:sz w:val="21"/>
                <w:szCs w:val="21"/>
              </w:rPr>
              <w:t>9</w:t>
            </w:r>
            <w:r>
              <w:rPr>
                <w:kern w:val="0"/>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6662" w:type="dxa"/>
            <w:gridSpan w:val="11"/>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厂址周边500m范围内人口数小计</w:t>
            </w:r>
          </w:p>
        </w:tc>
        <w:tc>
          <w:tcPr>
            <w:tcW w:w="1322" w:type="dxa"/>
            <w:shd w:val="clear" w:color="auto" w:fill="auto"/>
            <w:vAlign w:val="center"/>
          </w:tcPr>
          <w:p>
            <w:pPr>
              <w:widowControl/>
              <w:snapToGrid/>
              <w:spacing w:line="240" w:lineRule="auto"/>
              <w:ind w:firstLine="0" w:firstLineChars="0"/>
              <w:jc w:val="center"/>
              <w:rPr>
                <w:kern w:val="0"/>
                <w:sz w:val="21"/>
                <w:szCs w:val="21"/>
              </w:rPr>
            </w:pPr>
            <w:r>
              <w:rPr>
                <w:rFonts w:hint="eastAsia"/>
                <w:kern w:val="0"/>
                <w:sz w:val="21"/>
                <w:szCs w:val="21"/>
              </w:rPr>
              <w:t>672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6662" w:type="dxa"/>
            <w:gridSpan w:val="11"/>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厂址周边5km范围内人口数小计</w:t>
            </w:r>
          </w:p>
        </w:tc>
        <w:tc>
          <w:tcPr>
            <w:tcW w:w="1322" w:type="dxa"/>
            <w:shd w:val="clear" w:color="auto" w:fill="auto"/>
            <w:vAlign w:val="center"/>
          </w:tcPr>
          <w:p>
            <w:pPr>
              <w:widowControl/>
              <w:snapToGrid/>
              <w:spacing w:line="240" w:lineRule="auto"/>
              <w:ind w:firstLine="0" w:firstLineChars="0"/>
              <w:jc w:val="center"/>
              <w:rPr>
                <w:kern w:val="0"/>
                <w:sz w:val="21"/>
                <w:szCs w:val="21"/>
              </w:rPr>
            </w:pPr>
            <w:r>
              <w:rPr>
                <w:rFonts w:hint="eastAsia"/>
                <w:kern w:val="0"/>
                <w:sz w:val="21"/>
                <w:szCs w:val="21"/>
              </w:rPr>
              <w:t>3252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6662" w:type="dxa"/>
            <w:gridSpan w:val="11"/>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大气环境敏感程度E值</w:t>
            </w:r>
          </w:p>
        </w:tc>
        <w:tc>
          <w:tcPr>
            <w:tcW w:w="1322" w:type="dxa"/>
            <w:shd w:val="clear" w:color="auto" w:fill="auto"/>
            <w:vAlign w:val="center"/>
          </w:tcPr>
          <w:p>
            <w:pPr>
              <w:widowControl/>
              <w:snapToGrid/>
              <w:spacing w:line="240" w:lineRule="auto"/>
              <w:ind w:firstLine="0" w:firstLineChars="0"/>
              <w:jc w:val="center"/>
              <w:rPr>
                <w:kern w:val="0"/>
                <w:sz w:val="21"/>
                <w:szCs w:val="21"/>
              </w:rPr>
            </w:pPr>
            <w:r>
              <w:rPr>
                <w:kern w:val="0"/>
                <w:sz w:val="21"/>
                <w:szCs w:val="21"/>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restart"/>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地表水</w:t>
            </w:r>
          </w:p>
        </w:tc>
        <w:tc>
          <w:tcPr>
            <w:tcW w:w="1339" w:type="dxa"/>
            <w:gridSpan w:val="3"/>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序号</w:t>
            </w:r>
          </w:p>
        </w:tc>
        <w:tc>
          <w:tcPr>
            <w:tcW w:w="1854" w:type="dxa"/>
            <w:gridSpan w:val="2"/>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敏感目标名称</w:t>
            </w:r>
          </w:p>
        </w:tc>
        <w:tc>
          <w:tcPr>
            <w:tcW w:w="2025" w:type="dxa"/>
            <w:gridSpan w:val="3"/>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环境敏感目标分级</w:t>
            </w:r>
          </w:p>
        </w:tc>
        <w:tc>
          <w:tcPr>
            <w:tcW w:w="1086" w:type="dxa"/>
            <w:gridSpan w:val="2"/>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水质目标</w:t>
            </w:r>
          </w:p>
        </w:tc>
        <w:tc>
          <w:tcPr>
            <w:tcW w:w="1680" w:type="dxa"/>
            <w:gridSpan w:val="2"/>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与排放点距离/m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1339" w:type="dxa"/>
            <w:gridSpan w:val="3"/>
            <w:shd w:val="clear" w:color="auto" w:fill="auto"/>
            <w:vAlign w:val="center"/>
          </w:tcPr>
          <w:p>
            <w:pPr>
              <w:widowControl/>
              <w:snapToGrid/>
              <w:spacing w:line="240" w:lineRule="auto"/>
              <w:ind w:firstLine="0" w:firstLineChars="0"/>
              <w:jc w:val="center"/>
              <w:rPr>
                <w:kern w:val="0"/>
                <w:sz w:val="21"/>
                <w:szCs w:val="21"/>
              </w:rPr>
            </w:pPr>
            <w:r>
              <w:rPr>
                <w:kern w:val="0"/>
                <w:sz w:val="21"/>
                <w:szCs w:val="21"/>
              </w:rPr>
              <w:t>1</w:t>
            </w:r>
          </w:p>
        </w:tc>
        <w:tc>
          <w:tcPr>
            <w:tcW w:w="1854" w:type="dxa"/>
            <w:gridSpan w:val="2"/>
            <w:shd w:val="clear" w:color="auto" w:fill="auto"/>
            <w:vAlign w:val="center"/>
          </w:tcPr>
          <w:p>
            <w:pPr>
              <w:widowControl/>
              <w:snapToGrid/>
              <w:spacing w:line="240" w:lineRule="auto"/>
              <w:ind w:firstLine="0" w:firstLineChars="0"/>
              <w:rPr>
                <w:kern w:val="0"/>
                <w:sz w:val="21"/>
                <w:szCs w:val="21"/>
              </w:rPr>
            </w:pPr>
            <w:r>
              <w:rPr>
                <w:rFonts w:hint="eastAsia"/>
                <w:kern w:val="0"/>
                <w:sz w:val="21"/>
                <w:szCs w:val="21"/>
              </w:rPr>
              <w:t>汉江</w:t>
            </w:r>
            <w:r>
              <w:rPr>
                <w:kern w:val="0"/>
                <w:sz w:val="21"/>
                <w:szCs w:val="21"/>
              </w:rPr>
              <w:t>支流</w:t>
            </w:r>
            <w:r>
              <w:rPr>
                <w:rFonts w:hint="eastAsia"/>
                <w:kern w:val="0"/>
                <w:sz w:val="21"/>
                <w:szCs w:val="21"/>
              </w:rPr>
              <w:t>平</w:t>
            </w:r>
            <w:r>
              <w:rPr>
                <w:kern w:val="0"/>
                <w:sz w:val="21"/>
                <w:szCs w:val="21"/>
              </w:rPr>
              <w:t>定河</w:t>
            </w:r>
          </w:p>
        </w:tc>
        <w:tc>
          <w:tcPr>
            <w:tcW w:w="2025" w:type="dxa"/>
            <w:gridSpan w:val="3"/>
            <w:shd w:val="clear" w:color="auto" w:fill="auto"/>
            <w:vAlign w:val="center"/>
          </w:tcPr>
          <w:p>
            <w:pPr>
              <w:widowControl/>
              <w:snapToGrid/>
              <w:spacing w:line="240" w:lineRule="auto"/>
              <w:ind w:firstLine="0" w:firstLineChars="0"/>
              <w:jc w:val="center"/>
              <w:rPr>
                <w:kern w:val="0"/>
                <w:sz w:val="21"/>
                <w:szCs w:val="21"/>
              </w:rPr>
            </w:pPr>
            <w:r>
              <w:rPr>
                <w:kern w:val="0"/>
                <w:sz w:val="21"/>
                <w:szCs w:val="21"/>
              </w:rPr>
              <w:t>S1</w:t>
            </w:r>
          </w:p>
        </w:tc>
        <w:tc>
          <w:tcPr>
            <w:tcW w:w="1086" w:type="dxa"/>
            <w:gridSpan w:val="2"/>
            <w:shd w:val="clear" w:color="auto" w:fill="auto"/>
            <w:vAlign w:val="center"/>
          </w:tcPr>
          <w:p>
            <w:pPr>
              <w:widowControl/>
              <w:snapToGrid/>
              <w:spacing w:line="240" w:lineRule="auto"/>
              <w:ind w:firstLine="0" w:firstLineChars="0"/>
              <w:jc w:val="center"/>
              <w:rPr>
                <w:kern w:val="0"/>
                <w:sz w:val="21"/>
                <w:szCs w:val="21"/>
              </w:rPr>
            </w:pPr>
            <w:r>
              <w:rPr>
                <w:rFonts w:ascii="宋体" w:hAnsi="宋体" w:cs="宋体"/>
                <w:kern w:val="0"/>
                <w:sz w:val="21"/>
                <w:szCs w:val="21"/>
              </w:rPr>
              <w:t>Ⅲ</w:t>
            </w:r>
          </w:p>
        </w:tc>
        <w:tc>
          <w:tcPr>
            <w:tcW w:w="1680" w:type="dxa"/>
            <w:gridSpan w:val="2"/>
            <w:shd w:val="clear" w:color="auto" w:fill="auto"/>
            <w:vAlign w:val="center"/>
          </w:tcPr>
          <w:p>
            <w:pPr>
              <w:widowControl/>
              <w:snapToGrid/>
              <w:spacing w:line="240" w:lineRule="auto"/>
              <w:ind w:firstLine="0" w:firstLineChars="0"/>
              <w:jc w:val="center"/>
              <w:rPr>
                <w:kern w:val="0"/>
                <w:sz w:val="21"/>
                <w:szCs w:val="21"/>
              </w:rPr>
            </w:pPr>
            <w:r>
              <w:rPr>
                <w:rFonts w:hint="eastAsia"/>
                <w:kern w:val="0"/>
                <w:sz w:val="21"/>
                <w:szCs w:val="21"/>
              </w:rPr>
              <w:t>920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6304" w:type="dxa"/>
            <w:gridSpan w:val="10"/>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地表水环境敏感程度E值</w:t>
            </w:r>
          </w:p>
        </w:tc>
        <w:tc>
          <w:tcPr>
            <w:tcW w:w="1680" w:type="dxa"/>
            <w:gridSpan w:val="2"/>
            <w:shd w:val="clear" w:color="auto" w:fill="auto"/>
            <w:vAlign w:val="center"/>
          </w:tcPr>
          <w:p>
            <w:pPr>
              <w:widowControl/>
              <w:snapToGrid/>
              <w:spacing w:line="240" w:lineRule="auto"/>
              <w:ind w:firstLine="0" w:firstLineChars="0"/>
              <w:jc w:val="center"/>
              <w:rPr>
                <w:kern w:val="0"/>
                <w:sz w:val="21"/>
                <w:szCs w:val="21"/>
              </w:rPr>
            </w:pPr>
            <w:r>
              <w:rPr>
                <w:kern w:val="0"/>
                <w:sz w:val="21"/>
                <w:szCs w:val="21"/>
              </w:rPr>
              <w:t>E1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056" w:type="dxa"/>
            <w:vMerge w:val="restart"/>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地下水</w:t>
            </w:r>
          </w:p>
        </w:tc>
        <w:tc>
          <w:tcPr>
            <w:tcW w:w="737" w:type="dxa"/>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序号</w:t>
            </w:r>
          </w:p>
        </w:tc>
        <w:tc>
          <w:tcPr>
            <w:tcW w:w="2291" w:type="dxa"/>
            <w:gridSpan w:val="3"/>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环境敏感区名称</w:t>
            </w:r>
          </w:p>
        </w:tc>
        <w:tc>
          <w:tcPr>
            <w:tcW w:w="1662" w:type="dxa"/>
            <w:gridSpan w:val="3"/>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环境敏感特征</w:t>
            </w:r>
          </w:p>
        </w:tc>
        <w:tc>
          <w:tcPr>
            <w:tcW w:w="1614" w:type="dxa"/>
            <w:gridSpan w:val="3"/>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包气带防污性能</w:t>
            </w:r>
          </w:p>
        </w:tc>
        <w:tc>
          <w:tcPr>
            <w:tcW w:w="1680" w:type="dxa"/>
            <w:gridSpan w:val="2"/>
            <w:shd w:val="clear" w:color="auto" w:fill="auto"/>
            <w:vAlign w:val="center"/>
          </w:tcPr>
          <w:p>
            <w:pPr>
              <w:widowControl/>
              <w:snapToGrid/>
              <w:spacing w:line="240" w:lineRule="auto"/>
              <w:ind w:firstLine="0" w:firstLineChars="0"/>
              <w:jc w:val="center"/>
              <w:rPr>
                <w:b/>
                <w:kern w:val="0"/>
                <w:sz w:val="21"/>
                <w:szCs w:val="21"/>
              </w:rPr>
            </w:pPr>
            <w:r>
              <w:rPr>
                <w:b/>
                <w:kern w:val="0"/>
                <w:sz w:val="21"/>
                <w:szCs w:val="21"/>
              </w:rPr>
              <w:t>与下游厂界距离/m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737" w:type="dxa"/>
            <w:shd w:val="clear" w:color="auto" w:fill="auto"/>
            <w:vAlign w:val="center"/>
          </w:tcPr>
          <w:p>
            <w:pPr>
              <w:snapToGrid/>
              <w:spacing w:line="240" w:lineRule="auto"/>
              <w:ind w:firstLine="0" w:firstLineChars="0"/>
              <w:jc w:val="center"/>
              <w:rPr>
                <w:kern w:val="0"/>
                <w:sz w:val="21"/>
                <w:szCs w:val="21"/>
              </w:rPr>
            </w:pPr>
            <w:r>
              <w:rPr>
                <w:kern w:val="0"/>
                <w:sz w:val="21"/>
                <w:szCs w:val="21"/>
              </w:rPr>
              <w:t>1</w:t>
            </w:r>
          </w:p>
        </w:tc>
        <w:tc>
          <w:tcPr>
            <w:tcW w:w="2291" w:type="dxa"/>
            <w:gridSpan w:val="3"/>
            <w:shd w:val="clear" w:color="auto" w:fill="auto"/>
            <w:vAlign w:val="center"/>
          </w:tcPr>
          <w:p>
            <w:pPr>
              <w:snapToGrid/>
              <w:spacing w:line="240" w:lineRule="auto"/>
              <w:ind w:firstLine="0" w:firstLineChars="0"/>
              <w:jc w:val="center"/>
              <w:rPr>
                <w:kern w:val="0"/>
                <w:sz w:val="21"/>
                <w:szCs w:val="21"/>
              </w:rPr>
            </w:pPr>
            <w:r>
              <w:rPr>
                <w:kern w:val="0"/>
                <w:sz w:val="21"/>
                <w:szCs w:val="21"/>
              </w:rPr>
              <w:t>评价区潜水含水层水质</w:t>
            </w:r>
          </w:p>
        </w:tc>
        <w:tc>
          <w:tcPr>
            <w:tcW w:w="1662" w:type="dxa"/>
            <w:gridSpan w:val="3"/>
            <w:shd w:val="clear" w:color="auto" w:fill="auto"/>
            <w:vAlign w:val="center"/>
          </w:tcPr>
          <w:p>
            <w:pPr>
              <w:snapToGrid/>
              <w:spacing w:line="240" w:lineRule="auto"/>
              <w:ind w:firstLine="0" w:firstLineChars="0"/>
              <w:jc w:val="center"/>
              <w:rPr>
                <w:kern w:val="0"/>
                <w:sz w:val="21"/>
                <w:szCs w:val="21"/>
              </w:rPr>
            </w:pPr>
            <w:r>
              <w:rPr>
                <w:kern w:val="0"/>
                <w:sz w:val="21"/>
                <w:szCs w:val="21"/>
              </w:rPr>
              <w:t>G3</w:t>
            </w:r>
          </w:p>
        </w:tc>
        <w:tc>
          <w:tcPr>
            <w:tcW w:w="1614" w:type="dxa"/>
            <w:gridSpan w:val="3"/>
            <w:shd w:val="clear" w:color="auto" w:fill="auto"/>
            <w:vAlign w:val="center"/>
          </w:tcPr>
          <w:p>
            <w:pPr>
              <w:snapToGrid/>
              <w:spacing w:line="240" w:lineRule="auto"/>
              <w:ind w:firstLine="0" w:firstLineChars="0"/>
              <w:jc w:val="center"/>
              <w:rPr>
                <w:kern w:val="0"/>
                <w:sz w:val="21"/>
                <w:szCs w:val="21"/>
              </w:rPr>
            </w:pPr>
            <w:r>
              <w:rPr>
                <w:kern w:val="0"/>
                <w:sz w:val="21"/>
                <w:szCs w:val="21"/>
              </w:rPr>
              <w:t>D1</w:t>
            </w:r>
          </w:p>
        </w:tc>
        <w:tc>
          <w:tcPr>
            <w:tcW w:w="1680" w:type="dxa"/>
            <w:gridSpan w:val="2"/>
            <w:shd w:val="clear" w:color="auto" w:fill="auto"/>
            <w:vAlign w:val="center"/>
          </w:tcPr>
          <w:p>
            <w:pPr>
              <w:snapToGrid/>
              <w:spacing w:line="240" w:lineRule="auto"/>
              <w:ind w:firstLine="0" w:firstLineChars="0"/>
              <w:jc w:val="center"/>
              <w:rPr>
                <w:kern w:val="0"/>
                <w:sz w:val="21"/>
                <w:szCs w:val="21"/>
              </w:rPr>
            </w:pPr>
            <w:r>
              <w:rPr>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056" w:type="dxa"/>
            <w:vMerge w:val="continue"/>
            <w:shd w:val="clear" w:color="auto" w:fill="auto"/>
            <w:vAlign w:val="center"/>
          </w:tcPr>
          <w:p>
            <w:pPr>
              <w:widowControl/>
              <w:snapToGrid/>
              <w:spacing w:line="240" w:lineRule="auto"/>
              <w:ind w:firstLine="0" w:firstLineChars="0"/>
              <w:jc w:val="center"/>
              <w:rPr>
                <w:kern w:val="0"/>
                <w:sz w:val="21"/>
                <w:szCs w:val="21"/>
              </w:rPr>
            </w:pPr>
          </w:p>
        </w:tc>
        <w:tc>
          <w:tcPr>
            <w:tcW w:w="6304" w:type="dxa"/>
            <w:gridSpan w:val="10"/>
            <w:shd w:val="clear" w:color="auto" w:fill="auto"/>
            <w:vAlign w:val="center"/>
          </w:tcPr>
          <w:p>
            <w:pPr>
              <w:widowControl/>
              <w:snapToGrid/>
              <w:spacing w:line="240" w:lineRule="auto"/>
              <w:ind w:firstLine="0" w:firstLineChars="0"/>
              <w:jc w:val="center"/>
              <w:rPr>
                <w:kern w:val="0"/>
                <w:sz w:val="21"/>
                <w:szCs w:val="21"/>
              </w:rPr>
            </w:pPr>
            <w:r>
              <w:rPr>
                <w:kern w:val="0"/>
                <w:sz w:val="21"/>
                <w:szCs w:val="21"/>
              </w:rPr>
              <w:t>地下水环境敏感程度E值</w:t>
            </w:r>
          </w:p>
        </w:tc>
        <w:tc>
          <w:tcPr>
            <w:tcW w:w="1680" w:type="dxa"/>
            <w:gridSpan w:val="2"/>
            <w:shd w:val="clear" w:color="auto" w:fill="auto"/>
            <w:vAlign w:val="center"/>
          </w:tcPr>
          <w:p>
            <w:pPr>
              <w:widowControl/>
              <w:snapToGrid/>
              <w:spacing w:line="240" w:lineRule="auto"/>
              <w:ind w:firstLine="0" w:firstLineChars="0"/>
              <w:jc w:val="center"/>
              <w:rPr>
                <w:kern w:val="0"/>
                <w:sz w:val="21"/>
                <w:szCs w:val="21"/>
              </w:rPr>
            </w:pPr>
            <w:r>
              <w:rPr>
                <w:kern w:val="0"/>
                <w:sz w:val="21"/>
                <w:szCs w:val="21"/>
              </w:rPr>
              <w:t>E2</w:t>
            </w:r>
          </w:p>
        </w:tc>
      </w:tr>
    </w:tbl>
    <w:p>
      <w:pPr>
        <w:spacing w:line="240" w:lineRule="auto"/>
        <w:ind w:firstLine="0" w:firstLineChars="0"/>
        <w:jc w:val="center"/>
        <w:rPr>
          <w:b/>
          <w:sz w:val="21"/>
          <w:szCs w:val="24"/>
        </w:rPr>
      </w:pPr>
    </w:p>
    <w:p>
      <w:pPr>
        <w:pStyle w:val="3"/>
      </w:pPr>
      <w:bookmarkStart w:id="156" w:name="_Toc82502962"/>
      <w:r>
        <w:rPr>
          <w:rFonts w:hint="eastAsia"/>
        </w:rPr>
        <w:t>风险</w:t>
      </w:r>
      <w:r>
        <w:t>潜势</w:t>
      </w:r>
      <w:r>
        <w:rPr>
          <w:rFonts w:hint="eastAsia"/>
        </w:rPr>
        <w:t>初</w:t>
      </w:r>
      <w:r>
        <w:t>判</w:t>
      </w:r>
      <w:bookmarkEnd w:id="156"/>
    </w:p>
    <w:p>
      <w:pPr>
        <w:pStyle w:val="4"/>
      </w:pPr>
      <w:r>
        <w:rPr>
          <w:rFonts w:hint="eastAsia"/>
        </w:rPr>
        <w:t>Q</w:t>
      </w:r>
      <w:r>
        <w:t>值计算</w:t>
      </w:r>
    </w:p>
    <w:p>
      <w:pPr>
        <w:pStyle w:val="87"/>
        <w:ind w:firstLine="480"/>
        <w:rPr>
          <w:rFonts w:cs="Times New Roman"/>
        </w:rPr>
      </w:pPr>
      <w:r>
        <w:rPr>
          <w:rFonts w:cs="Times New Roman"/>
        </w:rPr>
        <w:t>根据《建设项目环境风险评价技术导则》（HJ 169-2018）附录B 突发环境事件风险物质及临界量表</w:t>
      </w:r>
      <w:r>
        <w:rPr>
          <w:rFonts w:hint="eastAsia" w:cs="Times New Roman"/>
        </w:rPr>
        <w:t>及</w:t>
      </w:r>
      <w:r>
        <w:rPr>
          <w:rFonts w:cs="Times New Roman"/>
        </w:rPr>
        <w:t>附录C 计算物质总量与其临界量比值（Q）：</w:t>
      </w:r>
    </w:p>
    <w:p>
      <w:pPr>
        <w:ind w:firstLine="480"/>
        <w:jc w:val="center"/>
      </w:pPr>
      <m:oMathPara>
        <m:oMath>
          <m:r>
            <m:rPr>
              <m:sty m:val="p"/>
            </m:rPr>
            <w:rPr>
              <w:rFonts w:ascii="Cambria Math" w:hAnsi="Cambria Math"/>
            </w:rPr>
            <m:t>Q=</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1</m:t>
                  </m:r>
                  <m:ctrlPr>
                    <w:rPr>
                      <w:rFonts w:ascii="Cambria Math" w:hAnsi="Cambria Math"/>
                      <w:i/>
                    </w:rPr>
                  </m:ctrlPr>
                </m:sub>
              </m:sSub>
              <m:ctrlPr>
                <w:rPr>
                  <w:rFonts w:ascii="Cambria Math" w:hAnsi="Cambria Math"/>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rPr>
              </m:ctrlPr>
            </m:den>
          </m:f>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n</m:t>
                  </m:r>
                  <m:ctrlPr>
                    <w:rPr>
                      <w:rFonts w:ascii="Cambria Math" w:hAnsi="Cambria Math"/>
                      <w:i/>
                    </w:rPr>
                  </m:ctrlPr>
                </m:sub>
              </m:sSub>
              <m:ctrlPr>
                <w:rPr>
                  <w:rFonts w:ascii="Cambria Math" w:hAnsi="Cambria Math"/>
                </w:rPr>
              </m:ctrlPr>
            </m:num>
            <m:den>
              <m:sSub>
                <m:sSubPr>
                  <m:ctrlPr>
                    <w:rPr>
                      <w:rFonts w:ascii="Cambria Math" w:hAnsi="Cambria Math"/>
                      <w:i/>
                    </w:rPr>
                  </m:ctrlPr>
                </m:sSubPr>
                <m:e>
                  <m:r>
                    <w:rPr>
                      <w:rFonts w:ascii="Cambria Math" w:hAnsi="Cambria Math"/>
                    </w:rPr>
                    <m:t>Q</m:t>
                  </m:r>
                  <m:ctrlPr>
                    <w:rPr>
                      <w:rFonts w:ascii="Cambria Math" w:hAnsi="Cambria Math"/>
                      <w:i/>
                    </w:rPr>
                  </m:ctrlPr>
                </m:e>
                <m:sub>
                  <m:r>
                    <w:rPr>
                      <w:rFonts w:ascii="Cambria Math" w:hAnsi="Cambria Math"/>
                    </w:rPr>
                    <m:t>n</m:t>
                  </m:r>
                  <m:ctrlPr>
                    <w:rPr>
                      <w:rFonts w:ascii="Cambria Math" w:hAnsi="Cambria Math"/>
                      <w:i/>
                    </w:rPr>
                  </m:ctrlPr>
                </m:sub>
              </m:sSub>
              <m:ctrlPr>
                <w:rPr>
                  <w:rFonts w:ascii="Cambria Math" w:hAnsi="Cambria Math"/>
                </w:rPr>
              </m:ctrlPr>
            </m:den>
          </m:f>
        </m:oMath>
      </m:oMathPara>
    </w:p>
    <w:p>
      <w:pPr>
        <w:pStyle w:val="87"/>
        <w:ind w:firstLine="0" w:firstLineChars="0"/>
        <w:rPr>
          <w:rFonts w:cs="Times New Roman"/>
        </w:rPr>
      </w:pPr>
      <w:r>
        <w:rPr>
          <w:rFonts w:cs="Times New Roman"/>
        </w:rPr>
        <w:t>式中：q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 xml:space="preserve"> — 每种危险物质实际存在量，t；</w:t>
      </w:r>
    </w:p>
    <w:p>
      <w:pPr>
        <w:pStyle w:val="87"/>
        <w:ind w:firstLine="600" w:firstLineChars="25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 xml:space="preserve"> — 与各危险物质相对应的临界量，t。</w:t>
      </w:r>
    </w:p>
    <w:p>
      <w:pPr>
        <w:pStyle w:val="87"/>
        <w:ind w:firstLine="480"/>
        <w:rPr>
          <w:rFonts w:cs="Times New Roman"/>
        </w:rPr>
      </w:pPr>
      <w:r>
        <w:rPr>
          <w:rFonts w:cs="Times New Roman"/>
        </w:rPr>
        <w:t>当Q＜1，该项目环境风险潜势为</w:t>
      </w:r>
      <w:r>
        <w:rPr>
          <w:rFonts w:hint="eastAsia" w:ascii="宋体" w:hAnsi="宋体" w:cs="宋体"/>
        </w:rPr>
        <w:t>Ⅰ</w:t>
      </w:r>
      <w:r>
        <w:rPr>
          <w:rFonts w:cs="Times New Roman"/>
        </w:rPr>
        <w:t>。</w:t>
      </w:r>
    </w:p>
    <w:p>
      <w:pPr>
        <w:pStyle w:val="87"/>
        <w:ind w:firstLine="480"/>
        <w:rPr>
          <w:rFonts w:cs="Times New Roman"/>
        </w:rPr>
      </w:pPr>
      <w:r>
        <w:rPr>
          <w:rFonts w:hint="eastAsia" w:cs="Times New Roman"/>
        </w:rPr>
        <w:t>当Q≥1时，将Q值划分为：（1）1≤Q＜10；（2）10≤Q＜100；（3）Q≥100。</w:t>
      </w:r>
    </w:p>
    <w:p>
      <w:pPr>
        <w:pStyle w:val="87"/>
        <w:ind w:firstLine="480"/>
        <w:rPr>
          <w:rFonts w:cs="Times New Roman"/>
        </w:rPr>
      </w:pPr>
      <w:r>
        <w:rPr>
          <w:rFonts w:cs="Times New Roman"/>
        </w:rPr>
        <w:t>本项目危险物质数量与临界量比值（Q）计算结果见</w:t>
      </w:r>
      <w:r>
        <w:rPr>
          <w:rFonts w:cs="Times New Roman"/>
        </w:rPr>
        <w:fldChar w:fldCharType="begin"/>
      </w:r>
      <w:r>
        <w:rPr>
          <w:rFonts w:cs="Times New Roman"/>
        </w:rPr>
        <w:instrText xml:space="preserve"> REF _Ref25758322 \h  \* MERGEFORMAT </w:instrText>
      </w:r>
      <w:r>
        <w:rPr>
          <w:rFonts w:cs="Times New Roman"/>
        </w:rPr>
        <w:fldChar w:fldCharType="separate"/>
      </w:r>
      <w:r>
        <w:rPr>
          <w:rFonts w:cs="Times New Roman"/>
        </w:rPr>
        <w:t>表6.4</w:t>
      </w:r>
      <w:r>
        <w:rPr>
          <w:rFonts w:cs="Times New Roman"/>
        </w:rPr>
        <w:noBreakHyphen/>
      </w:r>
      <w:r>
        <w:rPr>
          <w:rFonts w:cs="Times New Roman"/>
        </w:rPr>
        <w:t>1</w:t>
      </w:r>
      <w:r>
        <w:rPr>
          <w:rFonts w:cs="Times New Roman"/>
        </w:rPr>
        <w:fldChar w:fldCharType="end"/>
      </w:r>
      <w:r>
        <w:rPr>
          <w:rFonts w:cs="Times New Roman"/>
        </w:rPr>
        <w:t>。</w:t>
      </w:r>
    </w:p>
    <w:p>
      <w:pPr>
        <w:spacing w:line="240" w:lineRule="auto"/>
        <w:ind w:firstLine="0" w:firstLineChars="0"/>
        <w:jc w:val="center"/>
        <w:rPr>
          <w:b/>
          <w:sz w:val="21"/>
          <w:szCs w:val="24"/>
        </w:rPr>
      </w:pPr>
      <w:bookmarkStart w:id="157" w:name="_Ref25758322"/>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6.4</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157"/>
      <w:r>
        <w:rPr>
          <w:b/>
          <w:sz w:val="21"/>
          <w:szCs w:val="24"/>
        </w:rPr>
        <w:t xml:space="preserve">  项目Q值确定表</w:t>
      </w:r>
    </w:p>
    <w:tbl>
      <w:tblPr>
        <w:tblStyle w:val="106"/>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700"/>
        <w:gridCol w:w="1700"/>
        <w:gridCol w:w="1698"/>
        <w:gridCol w:w="1392"/>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危险物质名称</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CAS号</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最大存在总量（t）</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临界量（t）</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该种物质Q值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甲醇</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67-56-1</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46.62</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10</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硫酸</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7664-</w:t>
            </w:r>
            <w:r>
              <w:rPr>
                <w:kern w:val="0"/>
                <w:sz w:val="21"/>
                <w:szCs w:val="20"/>
              </w:rPr>
              <w:t>93-9</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1</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10</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66"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石油醚</w:t>
            </w:r>
          </w:p>
        </w:tc>
        <w:tc>
          <w:tcPr>
            <w:tcW w:w="170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8032-32-4</w:t>
            </w:r>
          </w:p>
        </w:tc>
        <w:tc>
          <w:tcPr>
            <w:tcW w:w="169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39</w:t>
            </w:r>
          </w:p>
        </w:tc>
        <w:tc>
          <w:tcPr>
            <w:tcW w:w="1392"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10</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56" w:type="dxa"/>
            <w:gridSpan w:val="5"/>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项目Q值∑</w:t>
            </w:r>
          </w:p>
        </w:tc>
        <w:tc>
          <w:tcPr>
            <w:tcW w:w="178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8.66</w:t>
            </w:r>
          </w:p>
        </w:tc>
      </w:tr>
    </w:tbl>
    <w:p>
      <w:pPr>
        <w:ind w:firstLine="480"/>
      </w:pPr>
      <w:r>
        <w:t>由</w:t>
      </w:r>
      <w:r>
        <w:fldChar w:fldCharType="begin"/>
      </w:r>
      <w:r>
        <w:instrText xml:space="preserve"> REF _Ref25758322 \h  \* MERGEFORMAT </w:instrText>
      </w:r>
      <w:r>
        <w:fldChar w:fldCharType="separate"/>
      </w:r>
      <w:r>
        <w:t>表6.4</w:t>
      </w:r>
      <w:r>
        <w:noBreakHyphen/>
      </w:r>
      <w:r>
        <w:t>1</w:t>
      </w:r>
      <w:r>
        <w:fldChar w:fldCharType="end"/>
      </w:r>
      <w:r>
        <w:t>可知项目Q值=8.65，</w:t>
      </w:r>
      <w:r>
        <w:rPr>
          <w:rFonts w:hint="eastAsia"/>
        </w:rPr>
        <w:t>Q属于1≤</w:t>
      </w:r>
      <w:r>
        <w:t>Q＜</w:t>
      </w:r>
      <w:r>
        <w:rPr>
          <w:rFonts w:hint="eastAsia"/>
        </w:rPr>
        <w:t>10范围。</w:t>
      </w:r>
    </w:p>
    <w:p>
      <w:pPr>
        <w:pStyle w:val="4"/>
      </w:pPr>
      <w:r>
        <w:rPr>
          <w:rFonts w:hint="eastAsia"/>
        </w:rPr>
        <w:t>行业</w:t>
      </w:r>
      <w:r>
        <w:t>及生产工艺（</w:t>
      </w:r>
      <w:r>
        <w:rPr>
          <w:rFonts w:hint="eastAsia"/>
        </w:rPr>
        <w:t>M</w:t>
      </w:r>
      <w:r>
        <w:t>）的确定</w:t>
      </w:r>
    </w:p>
    <w:p>
      <w:pPr>
        <w:ind w:firstLine="480"/>
      </w:pPr>
      <w:r>
        <w:rPr>
          <w:rFonts w:hint="eastAsia"/>
        </w:rPr>
        <w:t>根据《建设项目环境风险评价技术导则》（HJ 169-2018）附录C，具有多套工艺单元的项目，对每套生产工艺分别评分并求和。将M划分为（1）M＞20；（2）10＜M≤20；（3）5＜M≤10；（4）M=5，分别以M1、M2、M3和M4表示。</w:t>
      </w:r>
    </w:p>
    <w:p>
      <w:pPr>
        <w:ind w:firstLine="480"/>
      </w:pPr>
      <w:r>
        <w:rPr>
          <w:rFonts w:hint="eastAsia"/>
        </w:rPr>
        <w:t>本项目M值</w:t>
      </w:r>
      <w:r>
        <w:t>确定表见表</w:t>
      </w:r>
      <w:r>
        <w:rPr>
          <w:rFonts w:hint="eastAsia"/>
        </w:rPr>
        <w:t>6.4-2。</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项目</w:t>
      </w:r>
      <w:r>
        <w:rPr>
          <w:rStyle w:val="94"/>
          <w:b/>
        </w:rPr>
        <w:t>行业及生产工艺（</w:t>
      </w:r>
      <w:r>
        <w:rPr>
          <w:rStyle w:val="94"/>
          <w:rFonts w:hint="eastAsia"/>
          <w:b/>
        </w:rPr>
        <w:t>M</w:t>
      </w:r>
      <w:r>
        <w:rPr>
          <w:rStyle w:val="94"/>
          <w:b/>
        </w:rPr>
        <w:t>）</w:t>
      </w:r>
      <w:r>
        <w:rPr>
          <w:rStyle w:val="94"/>
          <w:rFonts w:hint="eastAsia"/>
          <w:b/>
        </w:rPr>
        <w:t>值</w:t>
      </w:r>
      <w:r>
        <w:rPr>
          <w:rStyle w:val="94"/>
          <w:b/>
        </w:rPr>
        <w:t>确定</w:t>
      </w:r>
    </w:p>
    <w:tbl>
      <w:tblPr>
        <w:tblStyle w:val="36"/>
        <w:tblW w:w="9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4527"/>
        <w:gridCol w:w="1130"/>
        <w:gridCol w:w="1425"/>
        <w:gridCol w:w="6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行业</w:t>
            </w:r>
          </w:p>
        </w:tc>
        <w:tc>
          <w:tcPr>
            <w:tcW w:w="4527" w:type="dxa"/>
            <w:vMerge w:val="restart"/>
            <w:vAlign w:val="center"/>
          </w:tcPr>
          <w:p>
            <w:pPr>
              <w:pStyle w:val="97"/>
            </w:pPr>
            <w:r>
              <w:rPr>
                <w:rFonts w:hint="eastAsia"/>
              </w:rPr>
              <w:t>评估</w:t>
            </w:r>
            <w:r>
              <w:t>依据</w:t>
            </w:r>
          </w:p>
        </w:tc>
        <w:tc>
          <w:tcPr>
            <w:tcW w:w="1130" w:type="dxa"/>
            <w:vMerge w:val="restart"/>
            <w:vAlign w:val="center"/>
          </w:tcPr>
          <w:p>
            <w:pPr>
              <w:pStyle w:val="97"/>
            </w:pPr>
            <w:r>
              <w:rPr>
                <w:rFonts w:hint="eastAsia"/>
              </w:rPr>
              <w:t>分值</w:t>
            </w:r>
          </w:p>
        </w:tc>
        <w:tc>
          <w:tcPr>
            <w:tcW w:w="2104" w:type="dxa"/>
            <w:gridSpan w:val="2"/>
            <w:vAlign w:val="center"/>
          </w:tcPr>
          <w:p>
            <w:pPr>
              <w:pStyle w:val="97"/>
            </w:pPr>
            <w:r>
              <w:rPr>
                <w:rFonts w:hint="eastAsia"/>
              </w:rPr>
              <w:t>本项目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4527" w:type="dxa"/>
            <w:vMerge w:val="continue"/>
            <w:vAlign w:val="center"/>
          </w:tcPr>
          <w:p>
            <w:pPr>
              <w:pStyle w:val="97"/>
            </w:pPr>
          </w:p>
        </w:tc>
        <w:tc>
          <w:tcPr>
            <w:tcW w:w="1130" w:type="dxa"/>
            <w:vMerge w:val="continue"/>
            <w:vAlign w:val="center"/>
          </w:tcPr>
          <w:p>
            <w:pPr>
              <w:pStyle w:val="97"/>
            </w:pPr>
          </w:p>
        </w:tc>
        <w:tc>
          <w:tcPr>
            <w:tcW w:w="1425" w:type="dxa"/>
            <w:vAlign w:val="center"/>
          </w:tcPr>
          <w:p>
            <w:pPr>
              <w:pStyle w:val="97"/>
            </w:pPr>
            <w:r>
              <w:rPr>
                <w:rFonts w:hint="eastAsia"/>
              </w:rPr>
              <w:t>依据</w:t>
            </w:r>
          </w:p>
        </w:tc>
        <w:tc>
          <w:tcPr>
            <w:tcW w:w="679" w:type="dxa"/>
            <w:vAlign w:val="center"/>
          </w:tcPr>
          <w:p>
            <w:pPr>
              <w:pStyle w:val="97"/>
            </w:pPr>
            <w:r>
              <w:rPr>
                <w:rFonts w:hint="eastAsia"/>
              </w:rPr>
              <w:t>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石化</w:t>
            </w:r>
            <w:r>
              <w:t>、化工、医药、轻工、化纤、有色冶炼等</w:t>
            </w:r>
          </w:p>
        </w:tc>
        <w:tc>
          <w:tcPr>
            <w:tcW w:w="4527" w:type="dxa"/>
            <w:vAlign w:val="center"/>
          </w:tcPr>
          <w:p>
            <w:pPr>
              <w:pStyle w:val="97"/>
              <w:jc w:val="both"/>
            </w:pPr>
            <w:r>
              <w:rPr>
                <w:rFonts w:hint="eastAsi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30" w:type="dxa"/>
            <w:vAlign w:val="center"/>
          </w:tcPr>
          <w:p>
            <w:pPr>
              <w:pStyle w:val="97"/>
            </w:pPr>
            <w:r>
              <w:rPr>
                <w:rFonts w:hint="eastAsia"/>
              </w:rPr>
              <w:t>10/套</w:t>
            </w:r>
          </w:p>
        </w:tc>
        <w:tc>
          <w:tcPr>
            <w:tcW w:w="1425" w:type="dxa"/>
            <w:vAlign w:val="center"/>
          </w:tcPr>
          <w:p>
            <w:pPr>
              <w:pStyle w:val="97"/>
            </w:pPr>
            <w:r>
              <w:rPr>
                <w:rFonts w:hint="eastAsia"/>
              </w:rPr>
              <w:t>/</w:t>
            </w:r>
          </w:p>
        </w:tc>
        <w:tc>
          <w:tcPr>
            <w:tcW w:w="679"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4527" w:type="dxa"/>
            <w:vAlign w:val="center"/>
          </w:tcPr>
          <w:p>
            <w:pPr>
              <w:pStyle w:val="97"/>
            </w:pPr>
            <w:r>
              <w:rPr>
                <w:rFonts w:hint="eastAsia"/>
              </w:rPr>
              <w:t>无机酸制酸工艺、焦化工艺</w:t>
            </w:r>
          </w:p>
        </w:tc>
        <w:tc>
          <w:tcPr>
            <w:tcW w:w="1130" w:type="dxa"/>
            <w:vAlign w:val="center"/>
          </w:tcPr>
          <w:p>
            <w:pPr>
              <w:pStyle w:val="97"/>
            </w:pPr>
            <w:r>
              <w:rPr>
                <w:rFonts w:hint="eastAsia"/>
              </w:rPr>
              <w:t>5</w:t>
            </w:r>
            <w:r>
              <w:t>/</w:t>
            </w:r>
            <w:r>
              <w:rPr>
                <w:rFonts w:hint="eastAsia"/>
              </w:rPr>
              <w:t>套</w:t>
            </w:r>
          </w:p>
        </w:tc>
        <w:tc>
          <w:tcPr>
            <w:tcW w:w="1425" w:type="dxa"/>
            <w:vAlign w:val="center"/>
          </w:tcPr>
          <w:p>
            <w:pPr>
              <w:pStyle w:val="97"/>
            </w:pPr>
            <w:r>
              <w:rPr>
                <w:rFonts w:hint="eastAsia"/>
              </w:rPr>
              <w:t>/</w:t>
            </w:r>
          </w:p>
        </w:tc>
        <w:tc>
          <w:tcPr>
            <w:tcW w:w="679"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4527" w:type="dxa"/>
            <w:vAlign w:val="center"/>
          </w:tcPr>
          <w:p>
            <w:pPr>
              <w:pStyle w:val="97"/>
            </w:pPr>
            <w:r>
              <w:rPr>
                <w:rFonts w:hint="eastAsia"/>
              </w:rPr>
              <w:t>其他高温或高压，且涉及危险物质的工艺过程</w:t>
            </w:r>
            <w:r>
              <w:rPr>
                <w:rFonts w:hint="eastAsia"/>
                <w:vertAlign w:val="superscript"/>
              </w:rPr>
              <w:t>a</w:t>
            </w:r>
            <w:r>
              <w:rPr>
                <w:rFonts w:hint="eastAsia"/>
              </w:rPr>
              <w:t>、危险物质贮存罐区</w:t>
            </w:r>
          </w:p>
        </w:tc>
        <w:tc>
          <w:tcPr>
            <w:tcW w:w="1130" w:type="dxa"/>
            <w:vAlign w:val="center"/>
          </w:tcPr>
          <w:p>
            <w:pPr>
              <w:pStyle w:val="97"/>
            </w:pPr>
            <w:r>
              <w:rPr>
                <w:rFonts w:hint="eastAsia"/>
              </w:rPr>
              <w:t>5/套</w:t>
            </w:r>
            <w:r>
              <w:t>（</w:t>
            </w:r>
            <w:r>
              <w:rPr>
                <w:rFonts w:hint="eastAsia"/>
              </w:rPr>
              <w:t>罐区</w:t>
            </w:r>
            <w:r>
              <w:t>）</w:t>
            </w:r>
          </w:p>
        </w:tc>
        <w:tc>
          <w:tcPr>
            <w:tcW w:w="1425" w:type="dxa"/>
            <w:vAlign w:val="center"/>
          </w:tcPr>
          <w:p>
            <w:pPr>
              <w:pStyle w:val="97"/>
            </w:pPr>
            <w:r>
              <w:rPr>
                <w:rFonts w:hint="eastAsia"/>
              </w:rPr>
              <w:t>危险</w:t>
            </w:r>
            <w:r>
              <w:t>物质贮存罐区</w:t>
            </w:r>
            <w:r>
              <w:rPr>
                <w:rFonts w:hint="eastAsia"/>
              </w:rPr>
              <w:t>1个</w:t>
            </w:r>
          </w:p>
        </w:tc>
        <w:tc>
          <w:tcPr>
            <w:tcW w:w="679" w:type="dxa"/>
            <w:vAlign w:val="center"/>
          </w:tcPr>
          <w:p>
            <w:pPr>
              <w:pStyle w:val="97"/>
            </w:pPr>
            <w:r>
              <w:rPr>
                <w:rFonts w:hint="eastAsia"/>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Align w:val="center"/>
          </w:tcPr>
          <w:p>
            <w:pPr>
              <w:pStyle w:val="97"/>
            </w:pPr>
            <w:r>
              <w:rPr>
                <w:rFonts w:hint="eastAsia"/>
              </w:rPr>
              <w:t>管道</w:t>
            </w:r>
            <w:r>
              <w:t>、港口</w:t>
            </w:r>
            <w:r>
              <w:rPr>
                <w:rFonts w:hint="eastAsia"/>
              </w:rPr>
              <w:t>/码头</w:t>
            </w:r>
            <w:r>
              <w:t>等</w:t>
            </w:r>
          </w:p>
        </w:tc>
        <w:tc>
          <w:tcPr>
            <w:tcW w:w="4527" w:type="dxa"/>
            <w:vAlign w:val="center"/>
          </w:tcPr>
          <w:p>
            <w:pPr>
              <w:pStyle w:val="97"/>
            </w:pPr>
            <w:r>
              <w:rPr>
                <w:rFonts w:hint="eastAsia"/>
              </w:rPr>
              <w:t>涉及危险物质管道运输项目、港口/码头等</w:t>
            </w:r>
          </w:p>
        </w:tc>
        <w:tc>
          <w:tcPr>
            <w:tcW w:w="1130" w:type="dxa"/>
            <w:vAlign w:val="center"/>
          </w:tcPr>
          <w:p>
            <w:pPr>
              <w:pStyle w:val="97"/>
            </w:pPr>
            <w:r>
              <w:rPr>
                <w:rFonts w:hint="eastAsia"/>
              </w:rPr>
              <w:t>10</w:t>
            </w:r>
          </w:p>
        </w:tc>
        <w:tc>
          <w:tcPr>
            <w:tcW w:w="1425" w:type="dxa"/>
            <w:vAlign w:val="center"/>
          </w:tcPr>
          <w:p>
            <w:pPr>
              <w:pStyle w:val="97"/>
            </w:pPr>
            <w:r>
              <w:rPr>
                <w:rFonts w:hint="eastAsia"/>
              </w:rPr>
              <w:t>/</w:t>
            </w:r>
          </w:p>
        </w:tc>
        <w:tc>
          <w:tcPr>
            <w:tcW w:w="679"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Align w:val="center"/>
          </w:tcPr>
          <w:p>
            <w:pPr>
              <w:pStyle w:val="97"/>
            </w:pPr>
            <w:r>
              <w:rPr>
                <w:rFonts w:hint="eastAsia"/>
              </w:rPr>
              <w:t>石油</w:t>
            </w:r>
            <w:r>
              <w:t>天然气</w:t>
            </w:r>
          </w:p>
        </w:tc>
        <w:tc>
          <w:tcPr>
            <w:tcW w:w="4527" w:type="dxa"/>
            <w:vAlign w:val="center"/>
          </w:tcPr>
          <w:p>
            <w:pPr>
              <w:pStyle w:val="97"/>
              <w:jc w:val="both"/>
            </w:pPr>
            <w:r>
              <w:rPr>
                <w:szCs w:val="24"/>
                <w:lang w:val="zh-CN"/>
              </w:rPr>
              <w:t>石油、天然气、页岩气开采（含净化），气库（不含加气站的气库），油库（不含加气站的油库）、油气管线（不含城镇燃气管线）</w:t>
            </w:r>
          </w:p>
        </w:tc>
        <w:tc>
          <w:tcPr>
            <w:tcW w:w="1130" w:type="dxa"/>
            <w:vAlign w:val="center"/>
          </w:tcPr>
          <w:p>
            <w:pPr>
              <w:pStyle w:val="97"/>
            </w:pPr>
            <w:r>
              <w:rPr>
                <w:rFonts w:hint="eastAsia"/>
              </w:rPr>
              <w:t>10</w:t>
            </w:r>
          </w:p>
        </w:tc>
        <w:tc>
          <w:tcPr>
            <w:tcW w:w="1425" w:type="dxa"/>
            <w:vAlign w:val="center"/>
          </w:tcPr>
          <w:p>
            <w:pPr>
              <w:pStyle w:val="97"/>
            </w:pPr>
            <w:r>
              <w:rPr>
                <w:rFonts w:hint="eastAsia"/>
              </w:rPr>
              <w:t>/</w:t>
            </w:r>
          </w:p>
        </w:tc>
        <w:tc>
          <w:tcPr>
            <w:tcW w:w="679"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Align w:val="center"/>
          </w:tcPr>
          <w:p>
            <w:pPr>
              <w:pStyle w:val="97"/>
            </w:pPr>
            <w:r>
              <w:rPr>
                <w:rFonts w:hint="eastAsia"/>
              </w:rPr>
              <w:t>其他</w:t>
            </w:r>
          </w:p>
        </w:tc>
        <w:tc>
          <w:tcPr>
            <w:tcW w:w="4527" w:type="dxa"/>
            <w:vAlign w:val="center"/>
          </w:tcPr>
          <w:p>
            <w:pPr>
              <w:pStyle w:val="97"/>
            </w:pPr>
            <w:r>
              <w:rPr>
                <w:rFonts w:hint="eastAsia"/>
              </w:rPr>
              <w:t>涉及危险物质使用、贮存的项目</w:t>
            </w:r>
          </w:p>
        </w:tc>
        <w:tc>
          <w:tcPr>
            <w:tcW w:w="1130" w:type="dxa"/>
            <w:vAlign w:val="center"/>
          </w:tcPr>
          <w:p>
            <w:pPr>
              <w:pStyle w:val="97"/>
            </w:pPr>
            <w:r>
              <w:rPr>
                <w:rFonts w:hint="eastAsia"/>
              </w:rPr>
              <w:t>5</w:t>
            </w:r>
          </w:p>
        </w:tc>
        <w:tc>
          <w:tcPr>
            <w:tcW w:w="1425" w:type="dxa"/>
            <w:vAlign w:val="center"/>
          </w:tcPr>
          <w:p>
            <w:pPr>
              <w:pStyle w:val="97"/>
            </w:pPr>
            <w:r>
              <w:rPr>
                <w:rFonts w:hint="eastAsia"/>
              </w:rPr>
              <w:t>/</w:t>
            </w:r>
          </w:p>
        </w:tc>
        <w:tc>
          <w:tcPr>
            <w:tcW w:w="679" w:type="dxa"/>
            <w:vAlign w:val="center"/>
          </w:tcPr>
          <w:p>
            <w:pPr>
              <w:pStyle w:val="9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350" w:type="dxa"/>
            <w:gridSpan w:val="4"/>
            <w:vAlign w:val="center"/>
          </w:tcPr>
          <w:p>
            <w:pPr>
              <w:pStyle w:val="97"/>
            </w:pPr>
            <w:r>
              <w:t xml:space="preserve">a </w:t>
            </w:r>
            <w:r>
              <w:rPr>
                <w:rFonts w:hint="eastAsia"/>
              </w:rPr>
              <w:t>高温指工艺温度≥</w:t>
            </w:r>
            <w:r>
              <w:t xml:space="preserve">300 </w:t>
            </w:r>
            <w:r>
              <w:rPr>
                <w:rFonts w:hint="eastAsia"/>
              </w:rPr>
              <w:t>℃，高压指压力容器的设计压力（</w:t>
            </w:r>
            <w:r>
              <w:rPr>
                <w:i/>
                <w:iCs/>
              </w:rPr>
              <w:t>P</w:t>
            </w:r>
            <w:r>
              <w:rPr>
                <w:rFonts w:hint="eastAsia"/>
              </w:rPr>
              <w:t>）≥</w:t>
            </w:r>
            <w:r>
              <w:t>10.0 MPa</w:t>
            </w:r>
            <w:r>
              <w:rPr>
                <w:rFonts w:hint="eastAsia"/>
              </w:rPr>
              <w:t>；</w:t>
            </w:r>
          </w:p>
          <w:p>
            <w:pPr>
              <w:pStyle w:val="97"/>
            </w:pPr>
            <w:r>
              <w:t xml:space="preserve">b </w:t>
            </w:r>
            <w:r>
              <w:rPr>
                <w:rFonts w:hint="eastAsia"/>
              </w:rPr>
              <w:t>长输管道运输项目应按站场、管线分段进行评价。</w:t>
            </w:r>
          </w:p>
        </w:tc>
        <w:tc>
          <w:tcPr>
            <w:tcW w:w="679" w:type="dxa"/>
            <w:vAlign w:val="center"/>
          </w:tcPr>
          <w:p>
            <w:pPr>
              <w:pStyle w:val="97"/>
            </w:pPr>
            <w:r>
              <w:t>M4</w:t>
            </w:r>
          </w:p>
        </w:tc>
      </w:tr>
    </w:tbl>
    <w:p>
      <w:pPr>
        <w:pStyle w:val="87"/>
        <w:ind w:firstLine="480"/>
      </w:pPr>
      <w:r>
        <w:rPr>
          <w:rFonts w:hint="eastAsia"/>
        </w:rPr>
        <w:t>本项目</w:t>
      </w:r>
      <w:r>
        <w:t>行业为医药，依据</w:t>
      </w:r>
      <w:r>
        <w:rPr>
          <w:rFonts w:hint="eastAsia"/>
        </w:rPr>
        <w:t>划分</w:t>
      </w:r>
      <w:r>
        <w:t>依据，项目M=5</w:t>
      </w:r>
      <w:r>
        <w:rPr>
          <w:rFonts w:hint="eastAsia"/>
        </w:rPr>
        <w:t>，</w:t>
      </w:r>
      <w:r>
        <w:t>属于划分的M4。</w:t>
      </w:r>
    </w:p>
    <w:p>
      <w:pPr>
        <w:pStyle w:val="4"/>
      </w:pPr>
      <w:r>
        <w:rPr>
          <w:rFonts w:hint="eastAsia"/>
        </w:rPr>
        <w:t>危险</w:t>
      </w:r>
      <w:r>
        <w:t>物质及工艺系统危害性等级判断（</w:t>
      </w:r>
      <w:r>
        <w:rPr>
          <w:rFonts w:hint="eastAsia"/>
        </w:rPr>
        <w:t>P</w:t>
      </w:r>
      <w:r>
        <w:t>）</w:t>
      </w:r>
      <w:r>
        <w:rPr>
          <w:rFonts w:hint="eastAsia"/>
        </w:rPr>
        <w:t>的</w:t>
      </w:r>
      <w:r>
        <w:t>确定</w:t>
      </w:r>
    </w:p>
    <w:p>
      <w:pPr>
        <w:ind w:firstLine="480"/>
        <w:rPr>
          <w:szCs w:val="20"/>
        </w:rPr>
      </w:pPr>
      <w:r>
        <w:rPr>
          <w:szCs w:val="20"/>
        </w:rPr>
        <w:t>项目危险物质及工艺系统危害见表6.4-3。</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危险物质及工艺系统危害性等级判断（P）</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1808"/>
        <w:gridCol w:w="1808"/>
        <w:gridCol w:w="1808"/>
        <w:gridCol w:w="1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vMerge w:val="restart"/>
            <w:shd w:val="clear" w:color="auto" w:fill="auto"/>
            <w:vAlign w:val="center"/>
          </w:tcPr>
          <w:p>
            <w:pPr>
              <w:pStyle w:val="97"/>
            </w:pPr>
            <w:r>
              <w:t>危险物质数量与临界量比值（Q）</w:t>
            </w:r>
          </w:p>
        </w:tc>
        <w:tc>
          <w:tcPr>
            <w:tcW w:w="7232" w:type="dxa"/>
            <w:gridSpan w:val="4"/>
            <w:shd w:val="clear" w:color="auto" w:fill="auto"/>
            <w:vAlign w:val="center"/>
          </w:tcPr>
          <w:p>
            <w:pPr>
              <w:pStyle w:val="97"/>
            </w:pPr>
            <w:r>
              <w:t>行业及生产工艺（M）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vMerge w:val="continue"/>
            <w:shd w:val="clear" w:color="auto" w:fill="auto"/>
            <w:vAlign w:val="center"/>
          </w:tcPr>
          <w:p>
            <w:pPr>
              <w:pStyle w:val="97"/>
            </w:pPr>
          </w:p>
        </w:tc>
        <w:tc>
          <w:tcPr>
            <w:tcW w:w="1808" w:type="dxa"/>
            <w:shd w:val="clear" w:color="auto" w:fill="auto"/>
            <w:vAlign w:val="center"/>
          </w:tcPr>
          <w:p>
            <w:pPr>
              <w:pStyle w:val="97"/>
            </w:pPr>
            <w:r>
              <w:t>M1</w:t>
            </w:r>
          </w:p>
        </w:tc>
        <w:tc>
          <w:tcPr>
            <w:tcW w:w="1808" w:type="dxa"/>
            <w:shd w:val="clear" w:color="auto" w:fill="auto"/>
            <w:vAlign w:val="center"/>
          </w:tcPr>
          <w:p>
            <w:pPr>
              <w:pStyle w:val="97"/>
            </w:pPr>
            <w:r>
              <w:t>M2</w:t>
            </w:r>
          </w:p>
        </w:tc>
        <w:tc>
          <w:tcPr>
            <w:tcW w:w="1808" w:type="dxa"/>
            <w:shd w:val="clear" w:color="auto" w:fill="auto"/>
            <w:vAlign w:val="center"/>
          </w:tcPr>
          <w:p>
            <w:pPr>
              <w:pStyle w:val="97"/>
            </w:pPr>
            <w:r>
              <w:t>M3</w:t>
            </w:r>
          </w:p>
        </w:tc>
        <w:tc>
          <w:tcPr>
            <w:tcW w:w="1808" w:type="dxa"/>
            <w:shd w:val="clear" w:color="auto" w:fill="auto"/>
            <w:vAlign w:val="center"/>
          </w:tcPr>
          <w:p>
            <w:pPr>
              <w:pStyle w:val="97"/>
            </w:pPr>
            <w:r>
              <w:t xml:space="preserve">M4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shd w:val="clear" w:color="auto" w:fill="auto"/>
            <w:vAlign w:val="center"/>
          </w:tcPr>
          <w:p>
            <w:pPr>
              <w:pStyle w:val="97"/>
            </w:pPr>
            <w:r>
              <w:rPr>
                <w:i/>
              </w:rPr>
              <w:t>Q</w:t>
            </w:r>
            <w:r>
              <w:t>≥100</w:t>
            </w:r>
          </w:p>
        </w:tc>
        <w:tc>
          <w:tcPr>
            <w:tcW w:w="1808" w:type="dxa"/>
            <w:shd w:val="clear" w:color="auto" w:fill="auto"/>
            <w:vAlign w:val="center"/>
          </w:tcPr>
          <w:p>
            <w:pPr>
              <w:pStyle w:val="97"/>
            </w:pPr>
            <w:r>
              <w:t>P1</w:t>
            </w:r>
          </w:p>
        </w:tc>
        <w:tc>
          <w:tcPr>
            <w:tcW w:w="1808" w:type="dxa"/>
            <w:shd w:val="clear" w:color="auto" w:fill="auto"/>
            <w:vAlign w:val="center"/>
          </w:tcPr>
          <w:p>
            <w:pPr>
              <w:pStyle w:val="97"/>
            </w:pPr>
            <w:r>
              <w:t>P1</w:t>
            </w:r>
          </w:p>
        </w:tc>
        <w:tc>
          <w:tcPr>
            <w:tcW w:w="1808" w:type="dxa"/>
            <w:shd w:val="clear" w:color="auto" w:fill="auto"/>
            <w:vAlign w:val="center"/>
          </w:tcPr>
          <w:p>
            <w:pPr>
              <w:pStyle w:val="97"/>
            </w:pPr>
            <w:r>
              <w:t>P2</w:t>
            </w:r>
          </w:p>
        </w:tc>
        <w:tc>
          <w:tcPr>
            <w:tcW w:w="1808" w:type="dxa"/>
            <w:shd w:val="clear" w:color="auto" w:fill="auto"/>
            <w:vAlign w:val="center"/>
          </w:tcPr>
          <w:p>
            <w:pPr>
              <w:pStyle w:val="97"/>
            </w:pPr>
            <w:r>
              <w:t>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shd w:val="clear" w:color="auto" w:fill="auto"/>
            <w:vAlign w:val="center"/>
          </w:tcPr>
          <w:p>
            <w:pPr>
              <w:pStyle w:val="97"/>
            </w:pPr>
            <w:r>
              <w:t>10≤</w:t>
            </w:r>
            <w:r>
              <w:rPr>
                <w:i/>
              </w:rPr>
              <w:t>Q</w:t>
            </w:r>
            <w:r>
              <w:t>＜100</w:t>
            </w:r>
          </w:p>
        </w:tc>
        <w:tc>
          <w:tcPr>
            <w:tcW w:w="1808" w:type="dxa"/>
            <w:shd w:val="clear" w:color="auto" w:fill="auto"/>
            <w:vAlign w:val="center"/>
          </w:tcPr>
          <w:p>
            <w:pPr>
              <w:pStyle w:val="97"/>
            </w:pPr>
            <w:r>
              <w:rPr>
                <w:bCs/>
              </w:rPr>
              <w:t>P1</w:t>
            </w:r>
          </w:p>
        </w:tc>
        <w:tc>
          <w:tcPr>
            <w:tcW w:w="1808" w:type="dxa"/>
            <w:shd w:val="clear" w:color="auto" w:fill="auto"/>
            <w:vAlign w:val="center"/>
          </w:tcPr>
          <w:p>
            <w:pPr>
              <w:pStyle w:val="97"/>
            </w:pPr>
            <w:r>
              <w:rPr>
                <w:bCs/>
              </w:rPr>
              <w:t>P2</w:t>
            </w:r>
          </w:p>
        </w:tc>
        <w:tc>
          <w:tcPr>
            <w:tcW w:w="1808" w:type="dxa"/>
            <w:shd w:val="clear" w:color="auto" w:fill="auto"/>
            <w:vAlign w:val="center"/>
          </w:tcPr>
          <w:p>
            <w:pPr>
              <w:pStyle w:val="97"/>
            </w:pPr>
            <w:r>
              <w:t>P3</w:t>
            </w:r>
          </w:p>
        </w:tc>
        <w:tc>
          <w:tcPr>
            <w:tcW w:w="1808" w:type="dxa"/>
            <w:shd w:val="clear" w:color="auto" w:fill="auto"/>
            <w:vAlign w:val="center"/>
          </w:tcPr>
          <w:p>
            <w:pPr>
              <w:pStyle w:val="97"/>
            </w:pPr>
            <w:r>
              <w:t>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808" w:type="dxa"/>
            <w:shd w:val="clear" w:color="auto" w:fill="auto"/>
            <w:vAlign w:val="center"/>
          </w:tcPr>
          <w:p>
            <w:pPr>
              <w:pStyle w:val="97"/>
            </w:pPr>
            <w:r>
              <w:t>1≤</w:t>
            </w:r>
            <w:r>
              <w:rPr>
                <w:i/>
              </w:rPr>
              <w:t>Q</w:t>
            </w:r>
            <w:r>
              <w:t>＜10</w:t>
            </w:r>
          </w:p>
        </w:tc>
        <w:tc>
          <w:tcPr>
            <w:tcW w:w="1808" w:type="dxa"/>
            <w:shd w:val="clear" w:color="auto" w:fill="auto"/>
            <w:vAlign w:val="center"/>
          </w:tcPr>
          <w:p>
            <w:pPr>
              <w:pStyle w:val="97"/>
            </w:pPr>
            <w:r>
              <w:t>P2</w:t>
            </w:r>
          </w:p>
        </w:tc>
        <w:tc>
          <w:tcPr>
            <w:tcW w:w="1808" w:type="dxa"/>
            <w:shd w:val="clear" w:color="auto" w:fill="auto"/>
            <w:vAlign w:val="center"/>
          </w:tcPr>
          <w:p>
            <w:pPr>
              <w:pStyle w:val="97"/>
            </w:pPr>
            <w:r>
              <w:t>P3</w:t>
            </w:r>
          </w:p>
        </w:tc>
        <w:tc>
          <w:tcPr>
            <w:tcW w:w="1808" w:type="dxa"/>
            <w:shd w:val="clear" w:color="auto" w:fill="auto"/>
            <w:vAlign w:val="center"/>
          </w:tcPr>
          <w:p>
            <w:pPr>
              <w:pStyle w:val="97"/>
            </w:pPr>
            <w:r>
              <w:t>P4</w:t>
            </w:r>
          </w:p>
        </w:tc>
        <w:tc>
          <w:tcPr>
            <w:tcW w:w="1808" w:type="dxa"/>
            <w:shd w:val="clear" w:color="auto" w:fill="auto"/>
            <w:vAlign w:val="center"/>
          </w:tcPr>
          <w:p>
            <w:pPr>
              <w:pStyle w:val="97"/>
            </w:pPr>
            <w:r>
              <w:t>P4</w:t>
            </w:r>
          </w:p>
        </w:tc>
      </w:tr>
    </w:tbl>
    <w:p>
      <w:pPr>
        <w:ind w:firstLine="480"/>
        <w:rPr>
          <w:szCs w:val="20"/>
        </w:rPr>
      </w:pPr>
      <w:r>
        <w:rPr>
          <w:szCs w:val="20"/>
        </w:rPr>
        <w:t>根据《建设项目环境风险评价技术导则》（HJ 169-2018）附录C中P的确定依据，项目危险物质及工艺系统危害性（P）的等级为P4。</w:t>
      </w:r>
    </w:p>
    <w:p>
      <w:pPr>
        <w:pStyle w:val="4"/>
      </w:pPr>
      <w:r>
        <w:rPr>
          <w:rFonts w:hint="eastAsia"/>
        </w:rPr>
        <w:t>环境敏感</w:t>
      </w:r>
      <w:r>
        <w:t>程度（</w:t>
      </w:r>
      <w:r>
        <w:rPr>
          <w:rFonts w:hint="eastAsia"/>
        </w:rPr>
        <w:t>E</w:t>
      </w:r>
      <w:r>
        <w:t>）</w:t>
      </w:r>
      <w:r>
        <w:rPr>
          <w:rFonts w:hint="eastAsia"/>
        </w:rPr>
        <w:t>的</w:t>
      </w:r>
      <w:r>
        <w:t>确定</w:t>
      </w:r>
    </w:p>
    <w:p>
      <w:pPr>
        <w:pStyle w:val="87"/>
        <w:ind w:firstLine="480"/>
      </w:pPr>
      <w:r>
        <w:t>1</w:t>
      </w:r>
      <w:r>
        <w:rPr>
          <w:rFonts w:hint="eastAsia"/>
        </w:rPr>
        <w:t>、</w:t>
      </w:r>
      <w:r>
        <w:t>大气环境</w:t>
      </w:r>
    </w:p>
    <w:p>
      <w:pPr>
        <w:pStyle w:val="87"/>
        <w:ind w:firstLine="480"/>
      </w:pPr>
      <w:r>
        <w:rPr>
          <w:rFonts w:hint="eastAsia"/>
        </w:rPr>
        <w:t>根据导则附录D大气环境敏感程度分级表，本项目厂址周边500m范围内，经调查人口大于500人，小于1000人，因此，本项目大气环境敏感程度为E2。</w:t>
      </w:r>
    </w:p>
    <w:p>
      <w:pPr>
        <w:pStyle w:val="87"/>
        <w:ind w:firstLine="480"/>
      </w:pPr>
      <w:r>
        <w:rPr>
          <w:rFonts w:hint="eastAsia"/>
        </w:rPr>
        <w:t>2、</w:t>
      </w:r>
      <w:r>
        <w:t>地表水</w:t>
      </w:r>
    </w:p>
    <w:p>
      <w:pPr>
        <w:pStyle w:val="87"/>
        <w:ind w:firstLine="480"/>
        <w:rPr>
          <w:szCs w:val="20"/>
        </w:rPr>
      </w:pPr>
      <w:r>
        <w:rPr>
          <w:szCs w:val="20"/>
        </w:rPr>
        <w:t>根据导则附录D，地表水环境敏感程度分级见表6.4-4。</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6.4</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地表水环境敏感程度分级表</w:t>
      </w:r>
    </w:p>
    <w:tbl>
      <w:tblPr>
        <w:tblStyle w:val="115"/>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blHeader/>
        </w:trPr>
        <w:tc>
          <w:tcPr>
            <w:tcW w:w="2321" w:type="dxa"/>
            <w:vMerge w:val="restart"/>
            <w:shd w:val="clear" w:color="auto" w:fill="auto"/>
            <w:vAlign w:val="center"/>
          </w:tcPr>
          <w:p>
            <w:pPr>
              <w:adjustRightInd/>
              <w:snapToGrid/>
              <w:spacing w:line="240" w:lineRule="auto"/>
              <w:ind w:firstLine="0" w:firstLineChars="0"/>
              <w:jc w:val="center"/>
              <w:rPr>
                <w:b/>
                <w:sz w:val="21"/>
                <w:szCs w:val="21"/>
              </w:rPr>
            </w:pPr>
            <w:r>
              <w:rPr>
                <w:b/>
                <w:sz w:val="21"/>
                <w:szCs w:val="21"/>
              </w:rPr>
              <w:t>环境敏感目标</w:t>
            </w:r>
          </w:p>
        </w:tc>
        <w:tc>
          <w:tcPr>
            <w:tcW w:w="6965" w:type="dxa"/>
            <w:gridSpan w:val="3"/>
            <w:shd w:val="clear" w:color="auto" w:fill="auto"/>
            <w:vAlign w:val="center"/>
          </w:tcPr>
          <w:p>
            <w:pPr>
              <w:adjustRightInd/>
              <w:snapToGrid/>
              <w:spacing w:line="240" w:lineRule="auto"/>
              <w:ind w:firstLine="0" w:firstLineChars="0"/>
              <w:jc w:val="center"/>
              <w:rPr>
                <w:b/>
                <w:sz w:val="21"/>
                <w:szCs w:val="21"/>
              </w:rPr>
            </w:pPr>
            <w:r>
              <w:rPr>
                <w:b/>
                <w:sz w:val="21"/>
                <w:szCs w:val="21"/>
              </w:rPr>
              <w:t>地表水功能敏感性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blHeader/>
        </w:trPr>
        <w:tc>
          <w:tcPr>
            <w:tcW w:w="2321" w:type="dxa"/>
            <w:vMerge w:val="continue"/>
            <w:shd w:val="clear" w:color="auto" w:fill="auto"/>
            <w:vAlign w:val="center"/>
          </w:tcPr>
          <w:p>
            <w:pPr>
              <w:adjustRightInd/>
              <w:snapToGrid/>
              <w:spacing w:line="240" w:lineRule="auto"/>
              <w:ind w:firstLine="0" w:firstLineChars="0"/>
              <w:jc w:val="center"/>
              <w:rPr>
                <w:sz w:val="21"/>
                <w:szCs w:val="21"/>
              </w:rPr>
            </w:pP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F1</w:t>
            </w:r>
          </w:p>
        </w:tc>
        <w:tc>
          <w:tcPr>
            <w:tcW w:w="2322" w:type="dxa"/>
            <w:shd w:val="clear" w:color="auto" w:fill="auto"/>
            <w:vAlign w:val="center"/>
          </w:tcPr>
          <w:p>
            <w:pPr>
              <w:adjustRightInd/>
              <w:snapToGrid/>
              <w:spacing w:line="240" w:lineRule="auto"/>
              <w:ind w:firstLine="0" w:firstLineChars="0"/>
              <w:jc w:val="center"/>
              <w:rPr>
                <w:b/>
                <w:sz w:val="21"/>
                <w:szCs w:val="21"/>
              </w:rPr>
            </w:pPr>
            <w:r>
              <w:rPr>
                <w:b/>
                <w:sz w:val="21"/>
                <w:szCs w:val="21"/>
              </w:rPr>
              <w:t>F2</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F3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S1</w:t>
            </w: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E1</w:t>
            </w:r>
          </w:p>
        </w:tc>
        <w:tc>
          <w:tcPr>
            <w:tcW w:w="2322" w:type="dxa"/>
            <w:shd w:val="clear" w:color="auto" w:fill="auto"/>
            <w:vAlign w:val="center"/>
          </w:tcPr>
          <w:p>
            <w:pPr>
              <w:adjustRightInd/>
              <w:snapToGrid/>
              <w:spacing w:line="240" w:lineRule="auto"/>
              <w:ind w:firstLine="0" w:firstLineChars="0"/>
              <w:jc w:val="center"/>
              <w:rPr>
                <w:b/>
                <w:sz w:val="21"/>
                <w:szCs w:val="21"/>
              </w:rPr>
            </w:pPr>
            <w:r>
              <w:rPr>
                <w:b/>
                <w:bCs/>
                <w:sz w:val="21"/>
                <w:szCs w:val="21"/>
              </w:rPr>
              <w:t>E1</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S2</w:t>
            </w: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E1</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E2</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shd w:val="clear" w:color="auto" w:fill="auto"/>
            <w:vAlign w:val="center"/>
          </w:tcPr>
          <w:p>
            <w:pPr>
              <w:adjustRightInd/>
              <w:snapToGrid/>
              <w:spacing w:line="240" w:lineRule="auto"/>
              <w:ind w:firstLine="0" w:firstLineChars="0"/>
              <w:jc w:val="center"/>
              <w:rPr>
                <w:b/>
                <w:sz w:val="21"/>
                <w:szCs w:val="21"/>
              </w:rPr>
            </w:pPr>
            <w:r>
              <w:rPr>
                <w:bCs/>
                <w:sz w:val="21"/>
                <w:szCs w:val="21"/>
              </w:rPr>
              <w:t>S3</w:t>
            </w: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E1</w:t>
            </w:r>
          </w:p>
        </w:tc>
        <w:tc>
          <w:tcPr>
            <w:tcW w:w="2322" w:type="dxa"/>
            <w:shd w:val="clear" w:color="auto" w:fill="auto"/>
            <w:vAlign w:val="center"/>
          </w:tcPr>
          <w:p>
            <w:pPr>
              <w:adjustRightInd/>
              <w:snapToGrid/>
              <w:spacing w:line="240" w:lineRule="auto"/>
              <w:ind w:firstLine="0" w:firstLineChars="0"/>
              <w:jc w:val="center"/>
              <w:rPr>
                <w:b/>
                <w:sz w:val="21"/>
                <w:szCs w:val="21"/>
              </w:rPr>
            </w:pPr>
            <w:r>
              <w:rPr>
                <w:bCs/>
                <w:sz w:val="21"/>
                <w:szCs w:val="21"/>
              </w:rPr>
              <w:t>E2</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E3</w:t>
            </w:r>
          </w:p>
        </w:tc>
      </w:tr>
    </w:tbl>
    <w:p>
      <w:pPr>
        <w:pStyle w:val="87"/>
        <w:ind w:firstLine="480"/>
      </w:pPr>
      <w:r>
        <w:t>本项目所在地水环境功能为</w:t>
      </w:r>
      <w:r>
        <w:rPr>
          <w:rFonts w:hAnsi="宋体"/>
        </w:rPr>
        <w:t>Ⅲ</w:t>
      </w:r>
      <w:r>
        <w:t>类，属于F2敏感；排放点下游（顺水流向）10km范围涉及</w:t>
      </w:r>
      <w:r>
        <w:rPr>
          <w:rFonts w:hint="eastAsia"/>
        </w:rPr>
        <w:t>汉江</w:t>
      </w:r>
      <w:r>
        <w:t>湿地，环境敏感目标分级属于S1，因此本项目地表水敏感程度为E1。</w:t>
      </w:r>
    </w:p>
    <w:p>
      <w:pPr>
        <w:pStyle w:val="87"/>
        <w:ind w:firstLine="480"/>
      </w:pPr>
      <w:r>
        <w:t>3．地下水</w:t>
      </w:r>
    </w:p>
    <w:p>
      <w:pPr>
        <w:pStyle w:val="87"/>
        <w:ind w:firstLine="480"/>
      </w:pPr>
      <w:r>
        <w:rPr>
          <w:szCs w:val="21"/>
        </w:rPr>
        <w:t>项目评价范围内无饮用水水源井，地下水功能敏感性为G3；包气带防污性能见判断为D1。因此地下水环境敏感程度判别为环境高敏感区E2。</w:t>
      </w:r>
      <w:r>
        <w:t>根据导则附录D，地下水环境敏感程度分级见表6.4-5。</w:t>
      </w:r>
    </w:p>
    <w:p>
      <w:pPr>
        <w:pStyle w:val="93"/>
      </w:pPr>
      <w:r>
        <w:rPr>
          <w:rStyle w:val="94"/>
          <w:b/>
        </w:rPr>
        <w:br w:type="column"/>
      </w:r>
      <w:r>
        <w:rPr>
          <w:rStyle w:val="94"/>
          <w:rFonts w:hint="eastAsia"/>
          <w:b/>
        </w:rPr>
        <w:t>表</w:t>
      </w:r>
      <w:r>
        <w:rPr>
          <w:rStyle w:val="94"/>
          <w:b/>
        </w:rPr>
        <w:fldChar w:fldCharType="begin"/>
      </w:r>
      <w:r>
        <w:rPr>
          <w:rStyle w:val="94"/>
          <w:b/>
        </w:rPr>
        <w:instrText xml:space="preserve"> </w:instrText>
      </w:r>
      <w:r>
        <w:rPr>
          <w:rStyle w:val="94"/>
          <w:rFonts w:hint="eastAsia"/>
          <w:b/>
        </w:rPr>
        <w:instrText xml:space="preserve">STYLEREF 2 \s</w:instrText>
      </w:r>
      <w:r>
        <w:rPr>
          <w:rStyle w:val="94"/>
          <w:b/>
        </w:rPr>
        <w:instrText xml:space="preserve"> </w:instrText>
      </w:r>
      <w:r>
        <w:rPr>
          <w:rStyle w:val="94"/>
          <w:b/>
        </w:rPr>
        <w:fldChar w:fldCharType="separate"/>
      </w:r>
      <w:r>
        <w:rPr>
          <w:rStyle w:val="94"/>
          <w:b/>
        </w:rPr>
        <w:t>6.4</w:t>
      </w:r>
      <w:r>
        <w:rPr>
          <w:rStyle w:val="94"/>
          <w:b/>
        </w:rPr>
        <w:fldChar w:fldCharType="end"/>
      </w:r>
      <w:r>
        <w:rPr>
          <w:rStyle w:val="94"/>
          <w:b/>
        </w:rPr>
        <w:noBreakHyphen/>
      </w:r>
      <w:r>
        <w:rPr>
          <w:rStyle w:val="94"/>
          <w:b/>
        </w:rPr>
        <w:fldChar w:fldCharType="begin"/>
      </w:r>
      <w:r>
        <w:rPr>
          <w:rStyle w:val="94"/>
          <w:b/>
        </w:rPr>
        <w:instrText xml:space="preserve"> </w:instrText>
      </w:r>
      <w:r>
        <w:rPr>
          <w:rStyle w:val="94"/>
          <w:rFonts w:hint="eastAsia"/>
          <w:b/>
        </w:rPr>
        <w:instrText xml:space="preserve">SEQ 表 \* ARABIC \s 2</w:instrText>
      </w:r>
      <w:r>
        <w:rPr>
          <w:rStyle w:val="94"/>
          <w:b/>
        </w:rPr>
        <w:instrText xml:space="preserve"> </w:instrText>
      </w:r>
      <w:r>
        <w:rPr>
          <w:rStyle w:val="94"/>
          <w:b/>
        </w:rPr>
        <w:fldChar w:fldCharType="separate"/>
      </w:r>
      <w:r>
        <w:rPr>
          <w:rStyle w:val="94"/>
          <w:b/>
        </w:rPr>
        <w:t>5</w:t>
      </w:r>
      <w:r>
        <w:rPr>
          <w:rStyle w:val="94"/>
          <w:b/>
        </w:rPr>
        <w:fldChar w:fldCharType="end"/>
      </w:r>
      <w:r>
        <w:t xml:space="preserve">   地下水环境敏感程度分级表</w:t>
      </w:r>
    </w:p>
    <w:tbl>
      <w:tblPr>
        <w:tblStyle w:val="116"/>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vMerge w:val="restart"/>
            <w:shd w:val="clear" w:color="auto" w:fill="auto"/>
            <w:vAlign w:val="center"/>
          </w:tcPr>
          <w:p>
            <w:pPr>
              <w:adjustRightInd/>
              <w:snapToGrid/>
              <w:spacing w:line="240" w:lineRule="auto"/>
              <w:ind w:firstLine="0" w:firstLineChars="0"/>
              <w:jc w:val="center"/>
              <w:rPr>
                <w:b/>
                <w:sz w:val="21"/>
                <w:szCs w:val="21"/>
              </w:rPr>
            </w:pPr>
            <w:r>
              <w:rPr>
                <w:b/>
                <w:sz w:val="21"/>
                <w:szCs w:val="21"/>
              </w:rPr>
              <w:t>包气带防污水性能</w:t>
            </w:r>
          </w:p>
        </w:tc>
        <w:tc>
          <w:tcPr>
            <w:tcW w:w="6965" w:type="dxa"/>
            <w:gridSpan w:val="3"/>
            <w:shd w:val="clear" w:color="auto" w:fill="auto"/>
            <w:vAlign w:val="center"/>
          </w:tcPr>
          <w:p>
            <w:pPr>
              <w:adjustRightInd/>
              <w:snapToGrid/>
              <w:spacing w:line="240" w:lineRule="auto"/>
              <w:ind w:firstLine="0" w:firstLineChars="0"/>
              <w:jc w:val="center"/>
              <w:rPr>
                <w:b/>
                <w:sz w:val="21"/>
                <w:szCs w:val="21"/>
              </w:rPr>
            </w:pPr>
            <w:r>
              <w:rPr>
                <w:b/>
                <w:sz w:val="21"/>
                <w:szCs w:val="21"/>
              </w:rPr>
              <w:t>地下水功能敏感性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vMerge w:val="continue"/>
            <w:shd w:val="clear" w:color="auto" w:fill="auto"/>
            <w:vAlign w:val="center"/>
          </w:tcPr>
          <w:p>
            <w:pPr>
              <w:adjustRightInd/>
              <w:snapToGrid/>
              <w:spacing w:line="240" w:lineRule="auto"/>
              <w:ind w:firstLine="0" w:firstLineChars="0"/>
              <w:jc w:val="center"/>
              <w:rPr>
                <w:sz w:val="21"/>
                <w:szCs w:val="21"/>
              </w:rPr>
            </w:pP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G1</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G2</w:t>
            </w:r>
          </w:p>
        </w:tc>
        <w:tc>
          <w:tcPr>
            <w:tcW w:w="2322" w:type="dxa"/>
            <w:shd w:val="clear" w:color="auto" w:fill="auto"/>
            <w:vAlign w:val="center"/>
          </w:tcPr>
          <w:p>
            <w:pPr>
              <w:adjustRightInd/>
              <w:snapToGrid/>
              <w:spacing w:line="240" w:lineRule="auto"/>
              <w:ind w:firstLine="0" w:firstLineChars="0"/>
              <w:jc w:val="center"/>
              <w:rPr>
                <w:b/>
                <w:sz w:val="21"/>
                <w:szCs w:val="21"/>
              </w:rPr>
            </w:pPr>
            <w:r>
              <w:rPr>
                <w:b/>
                <w:sz w:val="21"/>
                <w:szCs w:val="21"/>
              </w:rPr>
              <w:t>G3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shd w:val="clear" w:color="auto" w:fill="auto"/>
            <w:vAlign w:val="center"/>
          </w:tcPr>
          <w:p>
            <w:pPr>
              <w:adjustRightInd/>
              <w:snapToGrid/>
              <w:spacing w:line="240" w:lineRule="auto"/>
              <w:ind w:firstLine="0" w:firstLineChars="0"/>
              <w:jc w:val="center"/>
              <w:rPr>
                <w:b/>
                <w:sz w:val="21"/>
                <w:szCs w:val="21"/>
              </w:rPr>
            </w:pPr>
            <w:r>
              <w:rPr>
                <w:b/>
                <w:sz w:val="21"/>
                <w:szCs w:val="21"/>
              </w:rPr>
              <w:t>D1</w:t>
            </w: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E1</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E1</w:t>
            </w:r>
          </w:p>
        </w:tc>
        <w:tc>
          <w:tcPr>
            <w:tcW w:w="2322" w:type="dxa"/>
            <w:shd w:val="clear" w:color="auto" w:fill="auto"/>
            <w:vAlign w:val="center"/>
          </w:tcPr>
          <w:p>
            <w:pPr>
              <w:adjustRightInd/>
              <w:snapToGrid/>
              <w:spacing w:line="240" w:lineRule="auto"/>
              <w:ind w:firstLine="0" w:firstLineChars="0"/>
              <w:jc w:val="center"/>
              <w:rPr>
                <w:b/>
                <w:sz w:val="21"/>
                <w:szCs w:val="21"/>
              </w:rPr>
            </w:pPr>
            <w:r>
              <w:rPr>
                <w:b/>
                <w:sz w:val="21"/>
                <w:szCs w:val="21"/>
              </w:rPr>
              <w:t>E2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D2</w:t>
            </w: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E1</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E2</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D3</w:t>
            </w:r>
          </w:p>
        </w:tc>
        <w:tc>
          <w:tcPr>
            <w:tcW w:w="2321" w:type="dxa"/>
            <w:shd w:val="clear" w:color="auto" w:fill="auto"/>
            <w:vAlign w:val="center"/>
          </w:tcPr>
          <w:p>
            <w:pPr>
              <w:adjustRightInd/>
              <w:snapToGrid/>
              <w:spacing w:line="240" w:lineRule="auto"/>
              <w:ind w:firstLine="0" w:firstLineChars="0"/>
              <w:jc w:val="center"/>
              <w:rPr>
                <w:sz w:val="21"/>
                <w:szCs w:val="21"/>
              </w:rPr>
            </w:pPr>
            <w:r>
              <w:rPr>
                <w:sz w:val="21"/>
                <w:szCs w:val="21"/>
              </w:rPr>
              <w:t>E2</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E3</w:t>
            </w:r>
          </w:p>
        </w:tc>
        <w:tc>
          <w:tcPr>
            <w:tcW w:w="2322" w:type="dxa"/>
            <w:shd w:val="clear" w:color="auto" w:fill="auto"/>
            <w:vAlign w:val="center"/>
          </w:tcPr>
          <w:p>
            <w:pPr>
              <w:adjustRightInd/>
              <w:snapToGrid/>
              <w:spacing w:line="240" w:lineRule="auto"/>
              <w:ind w:firstLine="0" w:firstLineChars="0"/>
              <w:jc w:val="center"/>
              <w:rPr>
                <w:sz w:val="21"/>
                <w:szCs w:val="21"/>
              </w:rPr>
            </w:pPr>
            <w:r>
              <w:rPr>
                <w:sz w:val="21"/>
                <w:szCs w:val="21"/>
              </w:rPr>
              <w:t>E3</w:t>
            </w:r>
          </w:p>
        </w:tc>
      </w:tr>
    </w:tbl>
    <w:p>
      <w:pPr>
        <w:pStyle w:val="4"/>
      </w:pPr>
      <w:r>
        <w:rPr>
          <w:rFonts w:hint="eastAsia"/>
        </w:rPr>
        <w:t>风险</w:t>
      </w:r>
      <w:r>
        <w:t>潜势初判</w:t>
      </w:r>
    </w:p>
    <w:p>
      <w:pPr>
        <w:ind w:firstLine="480"/>
        <w:rPr>
          <w:szCs w:val="20"/>
        </w:rPr>
      </w:pPr>
      <w:r>
        <w:rPr>
          <w:szCs w:val="20"/>
        </w:rPr>
        <w:t>根据《建设项目环境风险评价技术导则》（HJ 169-2018）表2划分依据，本项目大气环境风险潜势</w:t>
      </w:r>
      <w:r>
        <w:rPr>
          <w:rFonts w:hint="eastAsia" w:ascii="宋体" w:hAnsi="宋体" w:cs="宋体"/>
        </w:rPr>
        <w:t>Ⅱ</w:t>
      </w:r>
      <w:r>
        <w:rPr>
          <w:szCs w:val="20"/>
        </w:rPr>
        <w:t>、地表水环境风险潜势均为</w:t>
      </w:r>
      <w:r>
        <w:rPr>
          <w:rFonts w:hint="eastAsia" w:ascii="宋体" w:hAnsi="宋体" w:cs="宋体"/>
        </w:rPr>
        <w:t>Ⅲ</w:t>
      </w:r>
      <w:r>
        <w:rPr>
          <w:szCs w:val="20"/>
        </w:rPr>
        <w:t>、地下水环境风险潜势为</w:t>
      </w:r>
      <w:r>
        <w:rPr>
          <w:rFonts w:hint="eastAsia" w:ascii="宋体" w:hAnsi="宋体" w:cs="宋体"/>
        </w:rPr>
        <w:t>Ⅱ</w:t>
      </w:r>
      <w:r>
        <w:rPr>
          <w:szCs w:val="20"/>
        </w:rPr>
        <w:t>。环境风险潜势划分依据见表6.4-6。</w:t>
      </w:r>
    </w:p>
    <w:p>
      <w:pPr>
        <w:pStyle w:val="93"/>
      </w:pPr>
      <w:r>
        <w:rPr>
          <w:rStyle w:val="94"/>
          <w:rFonts w:hint="eastAsia"/>
          <w:b/>
        </w:rPr>
        <w:t>表</w:t>
      </w:r>
      <w:r>
        <w:rPr>
          <w:rStyle w:val="94"/>
          <w:b/>
        </w:rPr>
        <w:fldChar w:fldCharType="begin"/>
      </w:r>
      <w:r>
        <w:rPr>
          <w:rStyle w:val="94"/>
          <w:b/>
        </w:rPr>
        <w:instrText xml:space="preserve"> </w:instrText>
      </w:r>
      <w:r>
        <w:rPr>
          <w:rStyle w:val="94"/>
          <w:rFonts w:hint="eastAsia"/>
          <w:b/>
        </w:rPr>
        <w:instrText xml:space="preserve">STYLEREF 2 \s</w:instrText>
      </w:r>
      <w:r>
        <w:rPr>
          <w:rStyle w:val="94"/>
          <w:b/>
        </w:rPr>
        <w:instrText xml:space="preserve"> </w:instrText>
      </w:r>
      <w:r>
        <w:rPr>
          <w:rStyle w:val="94"/>
          <w:b/>
        </w:rPr>
        <w:fldChar w:fldCharType="separate"/>
      </w:r>
      <w:r>
        <w:rPr>
          <w:rStyle w:val="94"/>
          <w:b/>
        </w:rPr>
        <w:t>6.4</w:t>
      </w:r>
      <w:r>
        <w:rPr>
          <w:rStyle w:val="94"/>
          <w:b/>
        </w:rPr>
        <w:fldChar w:fldCharType="end"/>
      </w:r>
      <w:r>
        <w:rPr>
          <w:rStyle w:val="94"/>
          <w:b/>
        </w:rPr>
        <w:noBreakHyphen/>
      </w:r>
      <w:r>
        <w:rPr>
          <w:rStyle w:val="94"/>
          <w:b/>
        </w:rPr>
        <w:fldChar w:fldCharType="begin"/>
      </w:r>
      <w:r>
        <w:rPr>
          <w:rStyle w:val="94"/>
          <w:b/>
        </w:rPr>
        <w:instrText xml:space="preserve"> </w:instrText>
      </w:r>
      <w:r>
        <w:rPr>
          <w:rStyle w:val="94"/>
          <w:rFonts w:hint="eastAsia"/>
          <w:b/>
        </w:rPr>
        <w:instrText xml:space="preserve">SEQ 表 \* ARABIC \s 2</w:instrText>
      </w:r>
      <w:r>
        <w:rPr>
          <w:rStyle w:val="94"/>
          <w:b/>
        </w:rPr>
        <w:instrText xml:space="preserve"> </w:instrText>
      </w:r>
      <w:r>
        <w:rPr>
          <w:rStyle w:val="94"/>
          <w:b/>
        </w:rPr>
        <w:fldChar w:fldCharType="separate"/>
      </w:r>
      <w:r>
        <w:rPr>
          <w:rStyle w:val="94"/>
          <w:b/>
        </w:rPr>
        <w:t>6</w:t>
      </w:r>
      <w:r>
        <w:rPr>
          <w:rStyle w:val="94"/>
          <w:b/>
        </w:rPr>
        <w:fldChar w:fldCharType="end"/>
      </w:r>
      <w:r>
        <w:t xml:space="preserve">   本项目的环境风险潜势划分</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1659"/>
        <w:gridCol w:w="1659"/>
        <w:gridCol w:w="1524"/>
        <w:gridCol w:w="14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08" w:type="dxa"/>
            <w:vMerge w:val="restart"/>
            <w:shd w:val="clear" w:color="auto" w:fill="auto"/>
            <w:vAlign w:val="center"/>
          </w:tcPr>
          <w:p>
            <w:pPr>
              <w:pStyle w:val="97"/>
            </w:pPr>
            <w:r>
              <w:t>环境敏感程度（E）</w:t>
            </w:r>
          </w:p>
        </w:tc>
        <w:tc>
          <w:tcPr>
            <w:tcW w:w="6332" w:type="dxa"/>
            <w:gridSpan w:val="4"/>
            <w:shd w:val="clear" w:color="auto" w:fill="auto"/>
            <w:vAlign w:val="center"/>
          </w:tcPr>
          <w:p>
            <w:pPr>
              <w:pStyle w:val="97"/>
            </w:pPr>
            <w: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08" w:type="dxa"/>
            <w:vMerge w:val="continue"/>
            <w:shd w:val="clear" w:color="auto" w:fill="auto"/>
            <w:vAlign w:val="center"/>
          </w:tcPr>
          <w:p>
            <w:pPr>
              <w:pStyle w:val="97"/>
            </w:pPr>
          </w:p>
        </w:tc>
        <w:tc>
          <w:tcPr>
            <w:tcW w:w="1659" w:type="dxa"/>
            <w:shd w:val="clear" w:color="auto" w:fill="auto"/>
            <w:vAlign w:val="center"/>
          </w:tcPr>
          <w:p>
            <w:pPr>
              <w:pStyle w:val="97"/>
            </w:pPr>
            <w:r>
              <w:t>极高危害（P1）</w:t>
            </w:r>
          </w:p>
        </w:tc>
        <w:tc>
          <w:tcPr>
            <w:tcW w:w="1659" w:type="dxa"/>
            <w:shd w:val="clear" w:color="auto" w:fill="auto"/>
            <w:vAlign w:val="center"/>
          </w:tcPr>
          <w:p>
            <w:pPr>
              <w:pStyle w:val="97"/>
            </w:pPr>
            <w:r>
              <w:t>高度危害（P2）</w:t>
            </w:r>
          </w:p>
        </w:tc>
        <w:tc>
          <w:tcPr>
            <w:tcW w:w="1524" w:type="dxa"/>
            <w:shd w:val="clear" w:color="auto" w:fill="auto"/>
            <w:vAlign w:val="center"/>
          </w:tcPr>
          <w:p>
            <w:pPr>
              <w:pStyle w:val="97"/>
            </w:pPr>
            <w:r>
              <w:t>中度危害（P3）</w:t>
            </w:r>
          </w:p>
        </w:tc>
        <w:tc>
          <w:tcPr>
            <w:tcW w:w="1490" w:type="dxa"/>
            <w:shd w:val="clear" w:color="auto" w:fill="auto"/>
            <w:vAlign w:val="center"/>
          </w:tcPr>
          <w:p>
            <w:pPr>
              <w:pStyle w:val="97"/>
            </w:pPr>
            <w: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08" w:type="dxa"/>
            <w:shd w:val="clear" w:color="auto" w:fill="auto"/>
            <w:vAlign w:val="center"/>
          </w:tcPr>
          <w:p>
            <w:pPr>
              <w:pStyle w:val="97"/>
            </w:pPr>
            <w:r>
              <w:t>环境高度敏感区（E1）</w:t>
            </w:r>
          </w:p>
        </w:tc>
        <w:tc>
          <w:tcPr>
            <w:tcW w:w="1659" w:type="dxa"/>
            <w:shd w:val="clear" w:color="auto" w:fill="auto"/>
            <w:vAlign w:val="center"/>
          </w:tcPr>
          <w:p>
            <w:pPr>
              <w:pStyle w:val="97"/>
            </w:pPr>
            <w:r>
              <w:rPr>
                <w:rFonts w:hint="eastAsia" w:ascii="宋体" w:hAnsi="宋体" w:cs="宋体"/>
              </w:rPr>
              <w:t>Ⅳ</w:t>
            </w:r>
            <w:r>
              <w:rPr>
                <w:vertAlign w:val="superscript"/>
              </w:rPr>
              <w:t>+</w:t>
            </w:r>
          </w:p>
        </w:tc>
        <w:tc>
          <w:tcPr>
            <w:tcW w:w="1659" w:type="dxa"/>
            <w:shd w:val="clear" w:color="auto" w:fill="auto"/>
            <w:vAlign w:val="center"/>
          </w:tcPr>
          <w:p>
            <w:pPr>
              <w:pStyle w:val="97"/>
            </w:pPr>
            <w:r>
              <w:rPr>
                <w:rFonts w:hint="eastAsia" w:ascii="宋体" w:hAnsi="宋体" w:cs="宋体"/>
              </w:rPr>
              <w:t>Ⅳ</w:t>
            </w:r>
          </w:p>
        </w:tc>
        <w:tc>
          <w:tcPr>
            <w:tcW w:w="1524" w:type="dxa"/>
            <w:shd w:val="clear" w:color="auto" w:fill="auto"/>
            <w:vAlign w:val="center"/>
          </w:tcPr>
          <w:p>
            <w:pPr>
              <w:pStyle w:val="97"/>
            </w:pPr>
            <w:r>
              <w:rPr>
                <w:rFonts w:hint="eastAsia" w:ascii="宋体" w:hAnsi="宋体" w:cs="宋体"/>
              </w:rPr>
              <w:t>Ⅲ</w:t>
            </w:r>
          </w:p>
        </w:tc>
        <w:tc>
          <w:tcPr>
            <w:tcW w:w="1490" w:type="dxa"/>
            <w:shd w:val="clear" w:color="auto" w:fill="auto"/>
            <w:vAlign w:val="center"/>
          </w:tcPr>
          <w:p>
            <w:pPr>
              <w:pStyle w:val="97"/>
              <w:rPr>
                <w:b/>
              </w:rPr>
            </w:pPr>
            <w:r>
              <w:rPr>
                <w:rFonts w:hint="eastAsia" w:ascii="宋体" w:hAnsi="宋体" w:cs="宋体"/>
                <w:b/>
              </w:rPr>
              <w:t>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08" w:type="dxa"/>
            <w:shd w:val="clear" w:color="auto" w:fill="auto"/>
            <w:vAlign w:val="center"/>
          </w:tcPr>
          <w:p>
            <w:pPr>
              <w:pStyle w:val="97"/>
            </w:pPr>
            <w:r>
              <w:t>环境中度敏感区（E2）</w:t>
            </w:r>
          </w:p>
        </w:tc>
        <w:tc>
          <w:tcPr>
            <w:tcW w:w="1659" w:type="dxa"/>
            <w:shd w:val="clear" w:color="auto" w:fill="auto"/>
            <w:vAlign w:val="center"/>
          </w:tcPr>
          <w:p>
            <w:pPr>
              <w:pStyle w:val="97"/>
            </w:pPr>
            <w:r>
              <w:rPr>
                <w:rFonts w:hint="eastAsia" w:ascii="宋体" w:hAnsi="宋体" w:cs="宋体"/>
              </w:rPr>
              <w:t>Ⅳ</w:t>
            </w:r>
          </w:p>
        </w:tc>
        <w:tc>
          <w:tcPr>
            <w:tcW w:w="1659" w:type="dxa"/>
            <w:shd w:val="clear" w:color="auto" w:fill="auto"/>
            <w:vAlign w:val="center"/>
          </w:tcPr>
          <w:p>
            <w:pPr>
              <w:pStyle w:val="97"/>
            </w:pPr>
            <w:r>
              <w:rPr>
                <w:rFonts w:hint="eastAsia" w:ascii="宋体" w:hAnsi="宋体" w:cs="宋体"/>
              </w:rPr>
              <w:t>Ⅲ</w:t>
            </w:r>
          </w:p>
        </w:tc>
        <w:tc>
          <w:tcPr>
            <w:tcW w:w="1524" w:type="dxa"/>
            <w:shd w:val="clear" w:color="auto" w:fill="auto"/>
            <w:vAlign w:val="center"/>
          </w:tcPr>
          <w:p>
            <w:pPr>
              <w:pStyle w:val="97"/>
            </w:pPr>
            <w:r>
              <w:rPr>
                <w:rFonts w:hint="eastAsia" w:ascii="宋体" w:hAnsi="宋体" w:cs="宋体"/>
              </w:rPr>
              <w:t>Ⅲ</w:t>
            </w:r>
          </w:p>
        </w:tc>
        <w:tc>
          <w:tcPr>
            <w:tcW w:w="1490" w:type="dxa"/>
            <w:shd w:val="clear" w:color="auto" w:fill="auto"/>
            <w:vAlign w:val="center"/>
          </w:tcPr>
          <w:p>
            <w:pPr>
              <w:pStyle w:val="97"/>
              <w:rPr>
                <w:b/>
              </w:rPr>
            </w:pPr>
            <w:r>
              <w:rPr>
                <w:rFonts w:hint="eastAsia" w:ascii="宋体" w:hAnsi="宋体" w:cs="宋体"/>
                <w:b/>
              </w:rPr>
              <w:t>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08" w:type="dxa"/>
            <w:shd w:val="clear" w:color="auto" w:fill="auto"/>
            <w:vAlign w:val="center"/>
          </w:tcPr>
          <w:p>
            <w:pPr>
              <w:pStyle w:val="97"/>
            </w:pPr>
            <w:r>
              <w:t>环境低度敏感区（E3）</w:t>
            </w:r>
          </w:p>
        </w:tc>
        <w:tc>
          <w:tcPr>
            <w:tcW w:w="1659" w:type="dxa"/>
            <w:shd w:val="clear" w:color="auto" w:fill="auto"/>
            <w:vAlign w:val="center"/>
          </w:tcPr>
          <w:p>
            <w:pPr>
              <w:pStyle w:val="97"/>
            </w:pPr>
            <w:r>
              <w:rPr>
                <w:rFonts w:hint="eastAsia" w:ascii="宋体" w:hAnsi="宋体" w:cs="宋体"/>
              </w:rPr>
              <w:t>Ⅲ</w:t>
            </w:r>
          </w:p>
        </w:tc>
        <w:tc>
          <w:tcPr>
            <w:tcW w:w="1659" w:type="dxa"/>
            <w:shd w:val="clear" w:color="auto" w:fill="auto"/>
            <w:vAlign w:val="center"/>
          </w:tcPr>
          <w:p>
            <w:pPr>
              <w:pStyle w:val="97"/>
            </w:pPr>
            <w:r>
              <w:rPr>
                <w:rFonts w:hint="eastAsia" w:ascii="宋体" w:hAnsi="宋体" w:cs="宋体"/>
              </w:rPr>
              <w:t>Ⅲ</w:t>
            </w:r>
          </w:p>
        </w:tc>
        <w:tc>
          <w:tcPr>
            <w:tcW w:w="1524" w:type="dxa"/>
            <w:shd w:val="clear" w:color="auto" w:fill="auto"/>
            <w:vAlign w:val="center"/>
          </w:tcPr>
          <w:p>
            <w:pPr>
              <w:pStyle w:val="97"/>
            </w:pPr>
            <w:r>
              <w:rPr>
                <w:rFonts w:hint="eastAsia" w:ascii="宋体" w:hAnsi="宋体" w:cs="宋体"/>
              </w:rPr>
              <w:t>Ⅱ</w:t>
            </w:r>
          </w:p>
        </w:tc>
        <w:tc>
          <w:tcPr>
            <w:tcW w:w="1490" w:type="dxa"/>
            <w:shd w:val="clear" w:color="auto" w:fill="auto"/>
            <w:vAlign w:val="center"/>
          </w:tcPr>
          <w:p>
            <w:pPr>
              <w:pStyle w:val="97"/>
            </w:pPr>
            <w:r>
              <w:rPr>
                <w:rFonts w:hint="eastAsia" w:ascii="宋体" w:hAnsi="宋体" w:cs="宋体"/>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040" w:type="dxa"/>
            <w:gridSpan w:val="5"/>
            <w:shd w:val="clear" w:color="auto" w:fill="auto"/>
            <w:vAlign w:val="center"/>
          </w:tcPr>
          <w:p>
            <w:pPr>
              <w:pStyle w:val="97"/>
            </w:pPr>
            <w:r>
              <w:t>注：</w:t>
            </w:r>
            <w:r>
              <w:rPr>
                <w:rFonts w:hint="eastAsia" w:ascii="宋体" w:hAnsi="宋体" w:cs="宋体"/>
              </w:rPr>
              <w:t>Ⅳ</w:t>
            </w:r>
            <w:r>
              <w:rPr>
                <w:vertAlign w:val="superscript"/>
              </w:rPr>
              <w:t>+</w:t>
            </w:r>
            <w:r>
              <w:t>为极高环境风险。</w:t>
            </w:r>
          </w:p>
        </w:tc>
      </w:tr>
    </w:tbl>
    <w:p>
      <w:pPr>
        <w:ind w:firstLine="480"/>
      </w:pPr>
    </w:p>
    <w:p>
      <w:pPr>
        <w:pStyle w:val="3"/>
      </w:pPr>
      <w:bookmarkStart w:id="158" w:name="_Toc82502963"/>
      <w:bookmarkStart w:id="159" w:name="_Toc38629843"/>
      <w:r>
        <w:t>环境风险评价等级</w:t>
      </w:r>
      <w:bookmarkEnd w:id="158"/>
      <w:bookmarkEnd w:id="159"/>
    </w:p>
    <w:p>
      <w:pPr>
        <w:pStyle w:val="4"/>
      </w:pPr>
      <w:r>
        <w:t>评价等级判定</w:t>
      </w:r>
    </w:p>
    <w:p>
      <w:pPr>
        <w:ind w:firstLine="480"/>
      </w:pPr>
      <w:r>
        <w:t>按照《建设项目环境风险评价技术导则》（HJ 169-2018）中评价工作等级划分（</w:t>
      </w:r>
      <w:r>
        <w:fldChar w:fldCharType="begin"/>
      </w:r>
      <w:r>
        <w:instrText xml:space="preserve"> REF _Ref25759117 \h  \* MERGEFORMAT </w:instrText>
      </w:r>
      <w:r>
        <w:fldChar w:fldCharType="separate"/>
      </w:r>
      <w:r>
        <w:t>表6.5</w:t>
      </w:r>
      <w:r>
        <w:noBreakHyphen/>
      </w:r>
      <w:r>
        <w:t>1</w:t>
      </w:r>
      <w:r>
        <w:fldChar w:fldCharType="end"/>
      </w:r>
      <w:r>
        <w:t>），确定本项目环境风险评价等级。</w:t>
      </w:r>
    </w:p>
    <w:p>
      <w:pPr>
        <w:pStyle w:val="93"/>
        <w:ind w:firstLine="480"/>
        <w:rPr>
          <w:rFonts w:hAnsi="Times New Roman"/>
          <w:sz w:val="20"/>
          <w:szCs w:val="20"/>
        </w:rPr>
      </w:pPr>
      <w:bookmarkStart w:id="160" w:name="_Ref25759117"/>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6.5</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160"/>
      <w:r>
        <w:rPr>
          <w:rFonts w:hAnsi="Times New Roman"/>
          <w:sz w:val="24"/>
        </w:rPr>
        <w:t xml:space="preserve">  评价工作等级划分</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18"/>
        <w:gridCol w:w="1750"/>
        <w:gridCol w:w="1680"/>
        <w:gridCol w:w="1609"/>
        <w:gridCol w:w="1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318" w:type="dxa"/>
            <w:shd w:val="clear" w:color="auto" w:fill="auto"/>
            <w:vAlign w:val="center"/>
          </w:tcPr>
          <w:p>
            <w:pPr>
              <w:pStyle w:val="92"/>
              <w:snapToGrid/>
              <w:ind w:firstLine="480"/>
              <w:rPr>
                <w:rFonts w:hAnsi="Times New Roman"/>
              </w:rPr>
            </w:pPr>
            <w:r>
              <w:rPr>
                <w:rFonts w:hAnsi="Times New Roman"/>
              </w:rPr>
              <w:t>环境风险潜势</w:t>
            </w:r>
          </w:p>
        </w:tc>
        <w:tc>
          <w:tcPr>
            <w:tcW w:w="1750" w:type="dxa"/>
            <w:shd w:val="clear" w:color="auto" w:fill="auto"/>
            <w:vAlign w:val="center"/>
          </w:tcPr>
          <w:p>
            <w:pPr>
              <w:pStyle w:val="92"/>
              <w:snapToGrid/>
              <w:ind w:firstLine="480"/>
              <w:rPr>
                <w:rFonts w:hAnsi="Times New Roman"/>
              </w:rPr>
            </w:pPr>
            <w:r>
              <w:rPr>
                <w:rFonts w:hint="eastAsia" w:ascii="宋体" w:cs="宋体"/>
              </w:rPr>
              <w:t>Ⅳ</w:t>
            </w:r>
            <w:r>
              <w:rPr>
                <w:rFonts w:hAnsi="Times New Roman"/>
              </w:rPr>
              <w:t>、</w:t>
            </w:r>
            <w:r>
              <w:rPr>
                <w:rFonts w:hint="eastAsia" w:ascii="宋体" w:cs="宋体"/>
              </w:rPr>
              <w:t>Ⅳ</w:t>
            </w:r>
            <w:r>
              <w:rPr>
                <w:rFonts w:hAnsi="Times New Roman"/>
                <w:vertAlign w:val="superscript"/>
              </w:rPr>
              <w:t>+</w:t>
            </w:r>
          </w:p>
        </w:tc>
        <w:tc>
          <w:tcPr>
            <w:tcW w:w="1680" w:type="dxa"/>
            <w:shd w:val="clear" w:color="auto" w:fill="auto"/>
            <w:vAlign w:val="center"/>
          </w:tcPr>
          <w:p>
            <w:pPr>
              <w:pStyle w:val="92"/>
              <w:snapToGrid/>
              <w:ind w:firstLine="480"/>
              <w:rPr>
                <w:rFonts w:hAnsi="Times New Roman"/>
              </w:rPr>
            </w:pPr>
            <w:r>
              <w:rPr>
                <w:rFonts w:hint="eastAsia" w:ascii="宋体" w:cs="宋体"/>
              </w:rPr>
              <w:t>Ⅲ</w:t>
            </w:r>
          </w:p>
        </w:tc>
        <w:tc>
          <w:tcPr>
            <w:tcW w:w="1609" w:type="dxa"/>
            <w:shd w:val="clear" w:color="auto" w:fill="auto"/>
            <w:vAlign w:val="center"/>
          </w:tcPr>
          <w:p>
            <w:pPr>
              <w:pStyle w:val="92"/>
              <w:snapToGrid/>
              <w:ind w:firstLine="480"/>
              <w:rPr>
                <w:rFonts w:hAnsi="Times New Roman"/>
              </w:rPr>
            </w:pPr>
            <w:r>
              <w:rPr>
                <w:rFonts w:hint="eastAsia" w:ascii="宋体" w:cs="宋体"/>
              </w:rPr>
              <w:t>Ⅱ</w:t>
            </w:r>
          </w:p>
        </w:tc>
        <w:tc>
          <w:tcPr>
            <w:tcW w:w="1683" w:type="dxa"/>
            <w:shd w:val="clear" w:color="auto" w:fill="auto"/>
            <w:vAlign w:val="center"/>
          </w:tcPr>
          <w:p>
            <w:pPr>
              <w:pStyle w:val="92"/>
              <w:snapToGrid/>
              <w:ind w:firstLine="480"/>
              <w:rPr>
                <w:rFonts w:hAnsi="Times New Roman"/>
              </w:rPr>
            </w:pPr>
            <w:r>
              <w:rPr>
                <w:rFonts w:hint="eastAsia" w:ascii="宋体" w:cs="宋体"/>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318" w:type="dxa"/>
            <w:shd w:val="clear" w:color="auto" w:fill="auto"/>
            <w:vAlign w:val="center"/>
          </w:tcPr>
          <w:p>
            <w:pPr>
              <w:pStyle w:val="92"/>
              <w:snapToGrid/>
              <w:ind w:firstLine="480"/>
              <w:rPr>
                <w:rFonts w:hAnsi="Times New Roman"/>
              </w:rPr>
            </w:pPr>
            <w:r>
              <w:rPr>
                <w:rFonts w:hAnsi="Times New Roman"/>
              </w:rPr>
              <w:t>评价工作等级</w:t>
            </w:r>
          </w:p>
        </w:tc>
        <w:tc>
          <w:tcPr>
            <w:tcW w:w="1750" w:type="dxa"/>
            <w:shd w:val="clear" w:color="auto" w:fill="auto"/>
            <w:vAlign w:val="center"/>
          </w:tcPr>
          <w:p>
            <w:pPr>
              <w:pStyle w:val="92"/>
              <w:snapToGrid/>
              <w:ind w:firstLine="480"/>
              <w:rPr>
                <w:rFonts w:hAnsi="Times New Roman"/>
              </w:rPr>
            </w:pPr>
            <w:r>
              <w:rPr>
                <w:rFonts w:hAnsi="Times New Roman"/>
              </w:rPr>
              <w:t>一级</w:t>
            </w:r>
          </w:p>
        </w:tc>
        <w:tc>
          <w:tcPr>
            <w:tcW w:w="1680" w:type="dxa"/>
            <w:shd w:val="clear" w:color="auto" w:fill="auto"/>
            <w:vAlign w:val="center"/>
          </w:tcPr>
          <w:p>
            <w:pPr>
              <w:pStyle w:val="92"/>
              <w:snapToGrid/>
              <w:ind w:firstLine="480"/>
              <w:rPr>
                <w:rFonts w:hAnsi="Times New Roman"/>
              </w:rPr>
            </w:pPr>
            <w:r>
              <w:rPr>
                <w:rFonts w:hAnsi="Times New Roman"/>
              </w:rPr>
              <w:t>二级</w:t>
            </w:r>
          </w:p>
        </w:tc>
        <w:tc>
          <w:tcPr>
            <w:tcW w:w="1609" w:type="dxa"/>
            <w:shd w:val="clear" w:color="auto" w:fill="auto"/>
            <w:vAlign w:val="center"/>
          </w:tcPr>
          <w:p>
            <w:pPr>
              <w:pStyle w:val="92"/>
              <w:snapToGrid/>
              <w:ind w:firstLine="480"/>
              <w:rPr>
                <w:rFonts w:hAnsi="Times New Roman"/>
              </w:rPr>
            </w:pPr>
            <w:r>
              <w:rPr>
                <w:rFonts w:hAnsi="Times New Roman"/>
              </w:rPr>
              <w:t>三级</w:t>
            </w:r>
          </w:p>
        </w:tc>
        <w:tc>
          <w:tcPr>
            <w:tcW w:w="1683" w:type="dxa"/>
            <w:shd w:val="clear" w:color="auto" w:fill="auto"/>
            <w:vAlign w:val="center"/>
          </w:tcPr>
          <w:p>
            <w:pPr>
              <w:pStyle w:val="92"/>
              <w:snapToGrid/>
              <w:ind w:firstLine="480"/>
              <w:rPr>
                <w:rFonts w:hAnsi="Times New Roman"/>
              </w:rPr>
            </w:pPr>
            <w:r>
              <w:rPr>
                <w:rFonts w:hAnsi="Times New Roman"/>
              </w:rPr>
              <w:t>简单分析</w:t>
            </w:r>
            <w:r>
              <w:rPr>
                <w:rFonts w:hAnsi="Times New Roman"/>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9040" w:type="dxa"/>
            <w:gridSpan w:val="5"/>
            <w:shd w:val="clear" w:color="auto" w:fill="auto"/>
            <w:vAlign w:val="center"/>
          </w:tcPr>
          <w:p>
            <w:pPr>
              <w:pStyle w:val="92"/>
              <w:snapToGrid/>
              <w:ind w:left="210" w:hanging="210" w:hangingChars="100"/>
              <w:jc w:val="left"/>
              <w:rPr>
                <w:rFonts w:hAnsi="Times New Roman"/>
              </w:rPr>
            </w:pPr>
            <w:r>
              <w:rPr>
                <w:rFonts w:hAnsi="Times New Roman"/>
              </w:rPr>
              <w:t xml:space="preserve">a </w:t>
            </w:r>
            <w:r>
              <w:rPr>
                <w:rFonts w:hAnsi="Times New Roman"/>
                <w:sz w:val="18"/>
                <w:szCs w:val="18"/>
              </w:rPr>
              <w:t>是相对于详细评价工作内容而言，在描述危险物质、环境影响途径、环境危害后果、风险防范措施等方面给出定性的说明。见导则附录A。</w:t>
            </w:r>
          </w:p>
        </w:tc>
      </w:tr>
    </w:tbl>
    <w:p>
      <w:pPr>
        <w:pStyle w:val="101"/>
        <w:ind w:firstLine="480"/>
        <w:rPr>
          <w:rFonts w:ascii="宋体" w:hAnsi="宋体"/>
        </w:rPr>
      </w:pPr>
      <w:r>
        <w:rPr>
          <w:rFonts w:cs="Times New Roman"/>
        </w:rPr>
        <w:t>项目大气环境风险潜势</w:t>
      </w:r>
      <w:r>
        <w:rPr>
          <w:rFonts w:hint="eastAsia" w:ascii="宋体" w:hAnsi="宋体"/>
        </w:rPr>
        <w:t>Ⅱ</w:t>
      </w:r>
      <w:r>
        <w:rPr>
          <w:rFonts w:cs="Times New Roman"/>
        </w:rPr>
        <w:t>、地表水环境风险潜势均为</w:t>
      </w:r>
      <w:r>
        <w:rPr>
          <w:rFonts w:hint="eastAsia" w:ascii="宋体" w:hAnsi="宋体"/>
        </w:rPr>
        <w:t>Ⅲ</w:t>
      </w:r>
      <w:r>
        <w:rPr>
          <w:rFonts w:cs="Times New Roman"/>
        </w:rPr>
        <w:t>、地下水环境风险潜势为</w:t>
      </w:r>
      <w:r>
        <w:rPr>
          <w:rFonts w:hint="eastAsia" w:ascii="宋体" w:hAnsi="宋体"/>
        </w:rPr>
        <w:t>Ⅱ，则地表水</w:t>
      </w:r>
      <w:r>
        <w:rPr>
          <w:rFonts w:ascii="宋体" w:hAnsi="宋体"/>
        </w:rPr>
        <w:t>风险评价等级为二级，大气、地下水环境</w:t>
      </w:r>
      <w:r>
        <w:rPr>
          <w:rFonts w:hint="eastAsia" w:ascii="宋体" w:hAnsi="宋体"/>
        </w:rPr>
        <w:t>的风险</w:t>
      </w:r>
      <w:r>
        <w:rPr>
          <w:rFonts w:ascii="宋体" w:hAnsi="宋体"/>
        </w:rPr>
        <w:t>评价等级为三级。</w:t>
      </w:r>
    </w:p>
    <w:p>
      <w:pPr>
        <w:pStyle w:val="4"/>
      </w:pPr>
      <w:r>
        <w:rPr>
          <w:rFonts w:hint="eastAsia"/>
        </w:rPr>
        <w:t>评价</w:t>
      </w:r>
      <w:r>
        <w:t>范围</w:t>
      </w:r>
    </w:p>
    <w:p>
      <w:pPr>
        <w:ind w:firstLine="480"/>
      </w:pPr>
      <w:r>
        <w:rPr>
          <w:rFonts w:hint="eastAsia"/>
        </w:rPr>
        <w:t>本项目大气环境风险评价范围为距离项目边界</w:t>
      </w:r>
      <w:r>
        <w:t>3</w:t>
      </w:r>
      <w:r>
        <w:rPr>
          <w:rFonts w:hint="eastAsia"/>
        </w:rPr>
        <w:t>km的范围；地表水评价范围为项目风险排放点下游10km范围；地下水风险评价范围与地下水评价范围相同，以</w:t>
      </w:r>
      <w:r>
        <w:t>项目场地为中心，</w:t>
      </w:r>
      <w:r>
        <w:rPr>
          <w:rFonts w:hint="eastAsia"/>
        </w:rPr>
        <w:t>东北侧（地下水上游）514m、西南侧以平定河为界（地下水下游）920m，东西厂界514m，面积1.2km</w:t>
      </w:r>
      <w:r>
        <w:rPr>
          <w:rFonts w:hint="eastAsia"/>
          <w:vertAlign w:val="superscript"/>
        </w:rPr>
        <w:t>2</w:t>
      </w:r>
      <w:r>
        <w:rPr>
          <w:rFonts w:hint="eastAsia"/>
        </w:rPr>
        <w:t>。</w:t>
      </w:r>
    </w:p>
    <w:p>
      <w:pPr>
        <w:pStyle w:val="3"/>
      </w:pPr>
      <w:bookmarkStart w:id="161" w:name="_Toc82502964"/>
      <w:r>
        <w:rPr>
          <w:rFonts w:hint="eastAsia"/>
        </w:rPr>
        <w:t>风险</w:t>
      </w:r>
      <w:r>
        <w:t>识别</w:t>
      </w:r>
      <w:bookmarkEnd w:id="161"/>
    </w:p>
    <w:p>
      <w:pPr>
        <w:pStyle w:val="4"/>
      </w:pPr>
      <w:r>
        <w:rPr>
          <w:rFonts w:hint="eastAsia"/>
        </w:rPr>
        <w:t>物质</w:t>
      </w:r>
      <w:r>
        <w:t>危险性识别</w:t>
      </w:r>
    </w:p>
    <w:p>
      <w:pPr>
        <w:ind w:firstLine="480"/>
      </w:pPr>
      <w:r>
        <w:rPr>
          <w:rFonts w:hint="eastAsia"/>
        </w:rPr>
        <w:t>通过对本项目工艺流程及原料、中间产物和产品分析，依据危险性物质的类别和物质量，分析本项目涉及的主要危险性物质是甲醇</w:t>
      </w:r>
      <w:r>
        <w:t>、硫酸、石油醚。</w:t>
      </w:r>
    </w:p>
    <w:p>
      <w:pPr>
        <w:ind w:firstLine="480"/>
      </w:pPr>
      <w:r>
        <w:rPr>
          <w:rFonts w:hint="eastAsia"/>
        </w:rPr>
        <w:t>危险物质的具体数量和分布见表</w:t>
      </w:r>
      <w:r>
        <w:t>6.6</w:t>
      </w:r>
      <w:r>
        <w:rPr>
          <w:rFonts w:hint="eastAsia"/>
        </w:rPr>
        <w:t>-1，</w:t>
      </w:r>
      <w:r>
        <w:t>理化性质见表</w:t>
      </w:r>
      <w:r>
        <w:rPr>
          <w:rFonts w:hint="eastAsia"/>
        </w:rPr>
        <w:t>6.6-2</w:t>
      </w:r>
      <w:r>
        <w:t>~表</w:t>
      </w:r>
      <w:r>
        <w:rPr>
          <w:rFonts w:hint="eastAsia"/>
        </w:rPr>
        <w:t>6.6-4。</w:t>
      </w: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主要</w:t>
      </w:r>
      <w:r>
        <w:t>危险</w:t>
      </w:r>
      <w:r>
        <w:rPr>
          <w:rFonts w:hint="eastAsia"/>
        </w:rPr>
        <w:t>物质</w:t>
      </w:r>
      <w:r>
        <w:t>存贮情况</w:t>
      </w:r>
    </w:p>
    <w:tbl>
      <w:tblPr>
        <w:tblStyle w:val="36"/>
        <w:tblW w:w="9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367"/>
        <w:gridCol w:w="1058"/>
        <w:gridCol w:w="1365"/>
        <w:gridCol w:w="1799"/>
        <w:gridCol w:w="1266"/>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8" w:type="dxa"/>
            <w:vAlign w:val="center"/>
          </w:tcPr>
          <w:p>
            <w:pPr>
              <w:pStyle w:val="97"/>
            </w:pPr>
            <w:r>
              <w:rPr>
                <w:rFonts w:hint="eastAsia"/>
              </w:rPr>
              <w:t>序号</w:t>
            </w:r>
          </w:p>
        </w:tc>
        <w:tc>
          <w:tcPr>
            <w:tcW w:w="1367" w:type="dxa"/>
            <w:vAlign w:val="center"/>
          </w:tcPr>
          <w:p>
            <w:pPr>
              <w:pStyle w:val="97"/>
            </w:pPr>
            <w:r>
              <w:rPr>
                <w:rFonts w:hint="eastAsia"/>
              </w:rPr>
              <w:t>危险</w:t>
            </w:r>
            <w:r>
              <w:t>物质</w:t>
            </w:r>
          </w:p>
        </w:tc>
        <w:tc>
          <w:tcPr>
            <w:tcW w:w="1058" w:type="dxa"/>
            <w:vAlign w:val="center"/>
          </w:tcPr>
          <w:p>
            <w:pPr>
              <w:pStyle w:val="97"/>
            </w:pPr>
            <w:r>
              <w:rPr>
                <w:rFonts w:hint="eastAsia"/>
              </w:rPr>
              <w:t>形态</w:t>
            </w:r>
          </w:p>
        </w:tc>
        <w:tc>
          <w:tcPr>
            <w:tcW w:w="1365" w:type="dxa"/>
            <w:vAlign w:val="center"/>
          </w:tcPr>
          <w:p>
            <w:pPr>
              <w:pStyle w:val="97"/>
            </w:pPr>
            <w:r>
              <w:rPr>
                <w:rFonts w:hint="eastAsia"/>
              </w:rPr>
              <w:t>危险</w:t>
            </w:r>
            <w:r>
              <w:t>特性</w:t>
            </w:r>
          </w:p>
        </w:tc>
        <w:tc>
          <w:tcPr>
            <w:tcW w:w="1799" w:type="dxa"/>
            <w:vAlign w:val="center"/>
          </w:tcPr>
          <w:p>
            <w:pPr>
              <w:pStyle w:val="97"/>
            </w:pPr>
            <w:r>
              <w:rPr>
                <w:rFonts w:hint="eastAsia"/>
              </w:rPr>
              <w:t>最大</w:t>
            </w:r>
            <w:r>
              <w:t>储存量（</w:t>
            </w:r>
            <w:r>
              <w:rPr>
                <w:rFonts w:hint="eastAsia"/>
              </w:rPr>
              <w:t>t</w:t>
            </w:r>
            <w:r>
              <w:t>）</w:t>
            </w:r>
          </w:p>
        </w:tc>
        <w:tc>
          <w:tcPr>
            <w:tcW w:w="1266" w:type="dxa"/>
            <w:vAlign w:val="center"/>
          </w:tcPr>
          <w:p>
            <w:pPr>
              <w:pStyle w:val="97"/>
            </w:pPr>
            <w:r>
              <w:rPr>
                <w:rFonts w:hint="eastAsia"/>
              </w:rPr>
              <w:t>贮存</w:t>
            </w:r>
            <w:r>
              <w:t>方式</w:t>
            </w:r>
          </w:p>
        </w:tc>
        <w:tc>
          <w:tcPr>
            <w:tcW w:w="1266" w:type="dxa"/>
            <w:vAlign w:val="center"/>
          </w:tcPr>
          <w:p>
            <w:pPr>
              <w:pStyle w:val="97"/>
            </w:pPr>
            <w:r>
              <w:rPr>
                <w:rFonts w:hint="eastAsia"/>
              </w:rPr>
              <w:t>储存</w:t>
            </w:r>
            <w: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8" w:type="dxa"/>
            <w:vAlign w:val="center"/>
          </w:tcPr>
          <w:p>
            <w:pPr>
              <w:pStyle w:val="97"/>
            </w:pPr>
            <w:r>
              <w:rPr>
                <w:rFonts w:hint="eastAsia"/>
              </w:rPr>
              <w:t>1</w:t>
            </w:r>
          </w:p>
        </w:tc>
        <w:tc>
          <w:tcPr>
            <w:tcW w:w="1367" w:type="dxa"/>
            <w:vAlign w:val="center"/>
          </w:tcPr>
          <w:p>
            <w:pPr>
              <w:pStyle w:val="97"/>
            </w:pPr>
            <w:r>
              <w:rPr>
                <w:rFonts w:hint="eastAsia"/>
              </w:rPr>
              <w:t>甲醇</w:t>
            </w:r>
          </w:p>
        </w:tc>
        <w:tc>
          <w:tcPr>
            <w:tcW w:w="1058" w:type="dxa"/>
            <w:vAlign w:val="center"/>
          </w:tcPr>
          <w:p>
            <w:pPr>
              <w:pStyle w:val="97"/>
            </w:pPr>
            <w:r>
              <w:rPr>
                <w:rFonts w:hint="eastAsia"/>
              </w:rPr>
              <w:t>液体</w:t>
            </w:r>
          </w:p>
        </w:tc>
        <w:tc>
          <w:tcPr>
            <w:tcW w:w="1365" w:type="dxa"/>
            <w:vAlign w:val="center"/>
          </w:tcPr>
          <w:p>
            <w:pPr>
              <w:pStyle w:val="97"/>
            </w:pPr>
            <w:r>
              <w:rPr>
                <w:rFonts w:hint="eastAsia"/>
              </w:rPr>
              <w:t>易燃</w:t>
            </w:r>
          </w:p>
        </w:tc>
        <w:tc>
          <w:tcPr>
            <w:tcW w:w="1799" w:type="dxa"/>
            <w:vAlign w:val="center"/>
          </w:tcPr>
          <w:p>
            <w:pPr>
              <w:pStyle w:val="97"/>
            </w:pPr>
            <w:r>
              <w:rPr>
                <w:rFonts w:hint="eastAsia"/>
              </w:rPr>
              <w:t>46.62</w:t>
            </w:r>
          </w:p>
        </w:tc>
        <w:tc>
          <w:tcPr>
            <w:tcW w:w="1266" w:type="dxa"/>
            <w:vAlign w:val="center"/>
          </w:tcPr>
          <w:p>
            <w:pPr>
              <w:pStyle w:val="97"/>
            </w:pPr>
            <w:r>
              <w:rPr>
                <w:rFonts w:hint="eastAsia"/>
              </w:rPr>
              <w:t>储罐</w:t>
            </w:r>
          </w:p>
        </w:tc>
        <w:tc>
          <w:tcPr>
            <w:tcW w:w="1266" w:type="dxa"/>
            <w:vAlign w:val="center"/>
          </w:tcPr>
          <w:p>
            <w:pPr>
              <w:pStyle w:val="97"/>
            </w:pPr>
            <w:r>
              <w:rPr>
                <w:rFonts w:hint="eastAsia"/>
              </w:rPr>
              <w:t>储罐区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8" w:type="dxa"/>
            <w:vAlign w:val="center"/>
          </w:tcPr>
          <w:p>
            <w:pPr>
              <w:pStyle w:val="97"/>
            </w:pPr>
            <w:r>
              <w:rPr>
                <w:rFonts w:hint="eastAsia"/>
              </w:rPr>
              <w:t>2</w:t>
            </w:r>
          </w:p>
        </w:tc>
        <w:tc>
          <w:tcPr>
            <w:tcW w:w="1367" w:type="dxa"/>
            <w:vAlign w:val="center"/>
          </w:tcPr>
          <w:p>
            <w:pPr>
              <w:pStyle w:val="97"/>
            </w:pPr>
            <w:r>
              <w:rPr>
                <w:rFonts w:hint="eastAsia"/>
              </w:rPr>
              <w:t>硫酸</w:t>
            </w:r>
          </w:p>
        </w:tc>
        <w:tc>
          <w:tcPr>
            <w:tcW w:w="1058" w:type="dxa"/>
            <w:vAlign w:val="center"/>
          </w:tcPr>
          <w:p>
            <w:pPr>
              <w:pStyle w:val="97"/>
            </w:pPr>
            <w:r>
              <w:rPr>
                <w:rFonts w:hint="eastAsia"/>
              </w:rPr>
              <w:t>液体</w:t>
            </w:r>
          </w:p>
        </w:tc>
        <w:tc>
          <w:tcPr>
            <w:tcW w:w="1365" w:type="dxa"/>
            <w:vAlign w:val="center"/>
          </w:tcPr>
          <w:p>
            <w:pPr>
              <w:pStyle w:val="97"/>
            </w:pPr>
            <w:r>
              <w:rPr>
                <w:rFonts w:hint="eastAsia"/>
              </w:rPr>
              <w:t>腐蚀性</w:t>
            </w:r>
          </w:p>
        </w:tc>
        <w:tc>
          <w:tcPr>
            <w:tcW w:w="1799" w:type="dxa"/>
            <w:vAlign w:val="center"/>
          </w:tcPr>
          <w:p>
            <w:pPr>
              <w:pStyle w:val="97"/>
            </w:pPr>
            <w:r>
              <w:t>1</w:t>
            </w:r>
          </w:p>
        </w:tc>
        <w:tc>
          <w:tcPr>
            <w:tcW w:w="1266" w:type="dxa"/>
            <w:vAlign w:val="center"/>
          </w:tcPr>
          <w:p>
            <w:pPr>
              <w:pStyle w:val="97"/>
            </w:pPr>
            <w:r>
              <w:rPr>
                <w:rFonts w:hint="eastAsia"/>
              </w:rPr>
              <w:t>桶装</w:t>
            </w:r>
          </w:p>
        </w:tc>
        <w:tc>
          <w:tcPr>
            <w:tcW w:w="1266" w:type="dxa"/>
            <w:vAlign w:val="center"/>
          </w:tcPr>
          <w:p>
            <w:pPr>
              <w:pStyle w:val="97"/>
            </w:pPr>
            <w:r>
              <w:rPr>
                <w:rFonts w:hint="eastAsia"/>
              </w:rPr>
              <w:t>原料库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08" w:type="dxa"/>
            <w:vAlign w:val="center"/>
          </w:tcPr>
          <w:p>
            <w:pPr>
              <w:pStyle w:val="97"/>
            </w:pPr>
            <w:r>
              <w:rPr>
                <w:rFonts w:hint="eastAsia"/>
              </w:rPr>
              <w:t>3</w:t>
            </w:r>
          </w:p>
        </w:tc>
        <w:tc>
          <w:tcPr>
            <w:tcW w:w="1367" w:type="dxa"/>
            <w:vAlign w:val="center"/>
          </w:tcPr>
          <w:p>
            <w:pPr>
              <w:pStyle w:val="97"/>
            </w:pPr>
            <w:r>
              <w:rPr>
                <w:rFonts w:hint="eastAsia"/>
              </w:rPr>
              <w:t>石油醚</w:t>
            </w:r>
          </w:p>
        </w:tc>
        <w:tc>
          <w:tcPr>
            <w:tcW w:w="1058" w:type="dxa"/>
            <w:vAlign w:val="center"/>
          </w:tcPr>
          <w:p>
            <w:pPr>
              <w:pStyle w:val="97"/>
            </w:pPr>
            <w:r>
              <w:rPr>
                <w:rFonts w:hint="eastAsia"/>
              </w:rPr>
              <w:t>液体</w:t>
            </w:r>
          </w:p>
        </w:tc>
        <w:tc>
          <w:tcPr>
            <w:tcW w:w="1365" w:type="dxa"/>
            <w:vAlign w:val="center"/>
          </w:tcPr>
          <w:p>
            <w:pPr>
              <w:pStyle w:val="97"/>
            </w:pPr>
            <w:r>
              <w:rPr>
                <w:rFonts w:hint="eastAsia"/>
              </w:rPr>
              <w:t>易燃</w:t>
            </w:r>
          </w:p>
        </w:tc>
        <w:tc>
          <w:tcPr>
            <w:tcW w:w="1799" w:type="dxa"/>
            <w:vAlign w:val="center"/>
          </w:tcPr>
          <w:p>
            <w:pPr>
              <w:pStyle w:val="97"/>
            </w:pPr>
            <w:r>
              <w:rPr>
                <w:rFonts w:hint="eastAsia"/>
              </w:rPr>
              <w:t>39</w:t>
            </w:r>
          </w:p>
        </w:tc>
        <w:tc>
          <w:tcPr>
            <w:tcW w:w="1266" w:type="dxa"/>
            <w:vAlign w:val="center"/>
          </w:tcPr>
          <w:p>
            <w:pPr>
              <w:pStyle w:val="97"/>
            </w:pPr>
            <w:r>
              <w:rPr>
                <w:rFonts w:hint="eastAsia"/>
              </w:rPr>
              <w:t>储罐</w:t>
            </w:r>
          </w:p>
        </w:tc>
        <w:tc>
          <w:tcPr>
            <w:tcW w:w="1266" w:type="dxa"/>
            <w:vAlign w:val="center"/>
          </w:tcPr>
          <w:p>
            <w:pPr>
              <w:pStyle w:val="97"/>
            </w:pPr>
            <w:r>
              <w:rPr>
                <w:rFonts w:hint="eastAsia"/>
              </w:rPr>
              <w:t>储罐区</w:t>
            </w:r>
          </w:p>
        </w:tc>
      </w:tr>
    </w:tbl>
    <w:p>
      <w:pPr>
        <w:ind w:firstLine="480"/>
      </w:pPr>
    </w:p>
    <w:p>
      <w:pPr>
        <w:pStyle w:val="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6.6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甲醇理化</w:t>
      </w:r>
      <w:r>
        <w:t>性质及危险特征表</w:t>
      </w:r>
    </w:p>
    <w:tbl>
      <w:tblPr>
        <w:tblStyle w:val="114"/>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0"/>
        <w:gridCol w:w="2116"/>
        <w:gridCol w:w="832"/>
        <w:gridCol w:w="1304"/>
        <w:gridCol w:w="427"/>
        <w:gridCol w:w="922"/>
        <w:gridCol w:w="785"/>
        <w:gridCol w:w="476"/>
        <w:gridCol w:w="16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restart"/>
            <w:vAlign w:val="center"/>
          </w:tcPr>
          <w:p>
            <w:pPr>
              <w:tabs>
                <w:tab w:val="left" w:pos="210"/>
                <w:tab w:val="left" w:pos="1050"/>
                <w:tab w:val="left" w:pos="1155"/>
                <w:tab w:val="left" w:pos="1365"/>
              </w:tabs>
              <w:snapToGrid/>
              <w:spacing w:line="240" w:lineRule="auto"/>
              <w:ind w:firstLine="0" w:firstLineChars="0"/>
              <w:jc w:val="center"/>
              <w:rPr>
                <w:sz w:val="21"/>
                <w:szCs w:val="21"/>
              </w:rPr>
            </w:pPr>
            <w:r>
              <w:rPr>
                <w:sz w:val="21"/>
                <w:szCs w:val="21"/>
              </w:rPr>
              <w:t>标识</w:t>
            </w:r>
          </w:p>
        </w:tc>
        <w:tc>
          <w:tcPr>
            <w:tcW w:w="4679" w:type="dxa"/>
            <w:gridSpan w:val="4"/>
            <w:vAlign w:val="center"/>
          </w:tcPr>
          <w:p>
            <w:pPr>
              <w:widowControl/>
              <w:snapToGrid/>
              <w:spacing w:line="240" w:lineRule="auto"/>
              <w:ind w:firstLine="0" w:firstLineChars="0"/>
              <w:jc w:val="left"/>
              <w:rPr>
                <w:sz w:val="21"/>
                <w:szCs w:val="21"/>
              </w:rPr>
            </w:pPr>
            <w:r>
              <w:rPr>
                <w:sz w:val="21"/>
                <w:szCs w:val="21"/>
              </w:rPr>
              <w:t>中文名：甲醇；木酒精</w:t>
            </w:r>
          </w:p>
        </w:tc>
        <w:tc>
          <w:tcPr>
            <w:tcW w:w="3861" w:type="dxa"/>
            <w:gridSpan w:val="4"/>
            <w:vAlign w:val="center"/>
          </w:tcPr>
          <w:p>
            <w:pPr>
              <w:widowControl/>
              <w:snapToGrid/>
              <w:spacing w:line="240" w:lineRule="auto"/>
              <w:ind w:firstLine="0" w:firstLineChars="0"/>
              <w:jc w:val="left"/>
              <w:rPr>
                <w:sz w:val="21"/>
                <w:szCs w:val="21"/>
              </w:rPr>
            </w:pPr>
            <w:r>
              <w:rPr>
                <w:sz w:val="21"/>
                <w:szCs w:val="21"/>
              </w:rPr>
              <w:t>英文名：methanol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4679" w:type="dxa"/>
            <w:gridSpan w:val="4"/>
            <w:vAlign w:val="center"/>
          </w:tcPr>
          <w:p>
            <w:pPr>
              <w:widowControl/>
              <w:snapToGrid/>
              <w:spacing w:line="240" w:lineRule="auto"/>
              <w:ind w:firstLine="0" w:firstLineChars="0"/>
              <w:jc w:val="left"/>
              <w:rPr>
                <w:sz w:val="21"/>
                <w:szCs w:val="21"/>
              </w:rPr>
            </w:pPr>
            <w:r>
              <w:rPr>
                <w:sz w:val="21"/>
                <w:szCs w:val="21"/>
              </w:rPr>
              <w:t>分子式：</w:t>
            </w:r>
            <w:r>
              <w:rPr>
                <w:kern w:val="0"/>
                <w:sz w:val="21"/>
                <w:szCs w:val="21"/>
                <w:lang w:bidi="ar"/>
              </w:rPr>
              <w:t>CH3OH；CH3OCH2OCH3</w:t>
            </w:r>
          </w:p>
        </w:tc>
        <w:tc>
          <w:tcPr>
            <w:tcW w:w="3861" w:type="dxa"/>
            <w:gridSpan w:val="4"/>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分子量：32.04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948" w:type="dxa"/>
            <w:gridSpan w:val="2"/>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危规编号：</w:t>
            </w:r>
          </w:p>
        </w:tc>
        <w:tc>
          <w:tcPr>
            <w:tcW w:w="2653" w:type="dxa"/>
            <w:gridSpan w:val="3"/>
            <w:vAlign w:val="center"/>
          </w:tcPr>
          <w:p>
            <w:pPr>
              <w:widowControl/>
              <w:snapToGrid/>
              <w:spacing w:line="240" w:lineRule="auto"/>
              <w:ind w:firstLine="0" w:firstLineChars="0"/>
              <w:jc w:val="left"/>
              <w:rPr>
                <w:sz w:val="21"/>
                <w:szCs w:val="21"/>
              </w:rPr>
            </w:pPr>
            <w:r>
              <w:rPr>
                <w:kern w:val="0"/>
                <w:sz w:val="21"/>
                <w:szCs w:val="21"/>
                <w:lang w:bidi="ar"/>
              </w:rPr>
              <w:t>CAS No. 67-65-1</w:t>
            </w:r>
          </w:p>
        </w:tc>
        <w:tc>
          <w:tcPr>
            <w:tcW w:w="2939" w:type="dxa"/>
            <w:gridSpan w:val="3"/>
            <w:vAlign w:val="center"/>
          </w:tcPr>
          <w:p>
            <w:pPr>
              <w:widowControl/>
              <w:snapToGrid/>
              <w:spacing w:line="240" w:lineRule="auto"/>
              <w:ind w:firstLine="0" w:firstLineChars="0"/>
              <w:jc w:val="left"/>
              <w:rPr>
                <w:kern w:val="0"/>
                <w:sz w:val="21"/>
                <w:szCs w:val="21"/>
                <w:lang w:bidi="ar"/>
              </w:rPr>
            </w:pPr>
            <w:r>
              <w:rPr>
                <w:kern w:val="0"/>
                <w:sz w:val="21"/>
                <w:szCs w:val="21"/>
                <w:lang w:bidi="ar"/>
              </w:rPr>
              <w:t>UN编号：1230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restart"/>
            <w:vAlign w:val="center"/>
          </w:tcPr>
          <w:p>
            <w:pPr>
              <w:tabs>
                <w:tab w:val="left" w:pos="210"/>
                <w:tab w:val="left" w:pos="1050"/>
                <w:tab w:val="left" w:pos="1155"/>
                <w:tab w:val="left" w:pos="1365"/>
              </w:tabs>
              <w:snapToGrid/>
              <w:spacing w:line="240" w:lineRule="auto"/>
              <w:ind w:firstLine="0" w:firstLineChars="0"/>
              <w:jc w:val="center"/>
              <w:rPr>
                <w:sz w:val="21"/>
                <w:szCs w:val="21"/>
              </w:rPr>
            </w:pPr>
            <w:r>
              <w:rPr>
                <w:sz w:val="21"/>
                <w:szCs w:val="21"/>
              </w:rPr>
              <w:t>理化性质</w:t>
            </w:r>
          </w:p>
        </w:tc>
        <w:tc>
          <w:tcPr>
            <w:tcW w:w="8540" w:type="dxa"/>
            <w:gridSpan w:val="8"/>
            <w:vAlign w:val="center"/>
          </w:tcPr>
          <w:p>
            <w:pPr>
              <w:widowControl/>
              <w:snapToGrid/>
              <w:spacing w:line="240" w:lineRule="auto"/>
              <w:ind w:firstLine="0" w:firstLineChars="0"/>
              <w:jc w:val="left"/>
              <w:rPr>
                <w:sz w:val="21"/>
                <w:szCs w:val="21"/>
              </w:rPr>
            </w:pPr>
            <w:r>
              <w:rPr>
                <w:sz w:val="21"/>
                <w:szCs w:val="21"/>
              </w:rPr>
              <w:t>外观与特性：</w:t>
            </w:r>
            <w:r>
              <w:rPr>
                <w:kern w:val="0"/>
                <w:sz w:val="21"/>
                <w:szCs w:val="21"/>
                <w:lang w:bidi="ar"/>
              </w:rPr>
              <w:t>无色透明液体，有酒精刺激性气味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948" w:type="dxa"/>
            <w:gridSpan w:val="2"/>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熔点（</w:t>
            </w:r>
            <w:r>
              <w:rPr>
                <w:rFonts w:hint="eastAsia" w:ascii="宋体" w:hAnsi="宋体" w:cs="宋体"/>
                <w:sz w:val="21"/>
                <w:szCs w:val="21"/>
              </w:rPr>
              <w:t>℃</w:t>
            </w:r>
            <w:r>
              <w:rPr>
                <w:sz w:val="21"/>
                <w:szCs w:val="21"/>
              </w:rPr>
              <w:t>）</w:t>
            </w:r>
          </w:p>
        </w:tc>
        <w:tc>
          <w:tcPr>
            <w:tcW w:w="1731" w:type="dxa"/>
            <w:gridSpan w:val="2"/>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-97.8</w:t>
            </w:r>
          </w:p>
        </w:tc>
        <w:tc>
          <w:tcPr>
            <w:tcW w:w="2183" w:type="dxa"/>
            <w:gridSpan w:val="3"/>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沸点（</w:t>
            </w:r>
            <w:r>
              <w:rPr>
                <w:rFonts w:hint="eastAsia" w:ascii="宋体" w:hAnsi="宋体" w:cs="宋体"/>
                <w:sz w:val="21"/>
                <w:szCs w:val="21"/>
              </w:rPr>
              <w:t>℃</w:t>
            </w:r>
            <w:r>
              <w:rPr>
                <w:sz w:val="21"/>
                <w:szCs w:val="21"/>
              </w:rPr>
              <w:t>）</w:t>
            </w:r>
          </w:p>
        </w:tc>
        <w:tc>
          <w:tcPr>
            <w:tcW w:w="1678"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64.8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948" w:type="dxa"/>
            <w:gridSpan w:val="2"/>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相对密度（水=1）</w:t>
            </w:r>
          </w:p>
        </w:tc>
        <w:tc>
          <w:tcPr>
            <w:tcW w:w="1731" w:type="dxa"/>
            <w:gridSpan w:val="2"/>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0.79</w:t>
            </w:r>
          </w:p>
        </w:tc>
        <w:tc>
          <w:tcPr>
            <w:tcW w:w="2183" w:type="dxa"/>
            <w:gridSpan w:val="3"/>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相对密度（空气=1）</w:t>
            </w:r>
          </w:p>
        </w:tc>
        <w:tc>
          <w:tcPr>
            <w:tcW w:w="1678"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948" w:type="dxa"/>
            <w:gridSpan w:val="2"/>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溶解性</w:t>
            </w:r>
          </w:p>
        </w:tc>
        <w:tc>
          <w:tcPr>
            <w:tcW w:w="5592" w:type="dxa"/>
            <w:gridSpan w:val="6"/>
            <w:vAlign w:val="center"/>
          </w:tcPr>
          <w:p>
            <w:pPr>
              <w:widowControl/>
              <w:snapToGrid/>
              <w:spacing w:line="240" w:lineRule="auto"/>
              <w:ind w:firstLine="0" w:firstLineChars="0"/>
              <w:jc w:val="left"/>
              <w:rPr>
                <w:sz w:val="21"/>
                <w:szCs w:val="21"/>
              </w:rPr>
            </w:pPr>
            <w:r>
              <w:rPr>
                <w:kern w:val="0"/>
                <w:sz w:val="21"/>
                <w:szCs w:val="21"/>
                <w:lang w:bidi="ar"/>
              </w:rPr>
              <w:t>溶于水，混溶于醇、醚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restart"/>
            <w:vAlign w:val="center"/>
          </w:tcPr>
          <w:p>
            <w:pPr>
              <w:tabs>
                <w:tab w:val="left" w:pos="210"/>
                <w:tab w:val="left" w:pos="1050"/>
                <w:tab w:val="left" w:pos="1155"/>
                <w:tab w:val="left" w:pos="1365"/>
              </w:tabs>
              <w:snapToGrid/>
              <w:spacing w:line="240" w:lineRule="auto"/>
              <w:ind w:firstLine="0" w:firstLineChars="0"/>
              <w:jc w:val="center"/>
              <w:rPr>
                <w:sz w:val="21"/>
                <w:szCs w:val="21"/>
              </w:rPr>
            </w:pPr>
            <w:r>
              <w:rPr>
                <w:sz w:val="21"/>
                <w:szCs w:val="21"/>
              </w:rPr>
              <w:t>燃烧爆炸危险性</w:t>
            </w: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燃烧性</w:t>
            </w:r>
          </w:p>
        </w:tc>
        <w:tc>
          <w:tcPr>
            <w:tcW w:w="2136"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易燃</w:t>
            </w:r>
          </w:p>
        </w:tc>
        <w:tc>
          <w:tcPr>
            <w:tcW w:w="2134" w:type="dxa"/>
            <w:gridSpan w:val="3"/>
            <w:vAlign w:val="center"/>
          </w:tcPr>
          <w:p>
            <w:pPr>
              <w:widowControl/>
              <w:snapToGrid/>
              <w:spacing w:line="240" w:lineRule="auto"/>
              <w:ind w:firstLine="0" w:firstLineChars="0"/>
              <w:jc w:val="left"/>
              <w:rPr>
                <w:kern w:val="0"/>
                <w:sz w:val="21"/>
                <w:szCs w:val="21"/>
                <w:lang w:bidi="ar"/>
              </w:rPr>
            </w:pPr>
            <w:r>
              <w:rPr>
                <w:kern w:val="0"/>
                <w:sz w:val="21"/>
                <w:szCs w:val="21"/>
                <w:lang w:bidi="ar"/>
              </w:rPr>
              <w:t>燃烧分解物</w:t>
            </w:r>
          </w:p>
        </w:tc>
        <w:tc>
          <w:tcPr>
            <w:tcW w:w="2154"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一氧化碳、二氧化碳。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闪点（</w:t>
            </w:r>
            <w:r>
              <w:rPr>
                <w:rFonts w:hint="eastAsia" w:ascii="宋体" w:hAnsi="宋体" w:cs="宋体"/>
                <w:sz w:val="21"/>
                <w:szCs w:val="21"/>
              </w:rPr>
              <w:t>℃</w:t>
            </w:r>
            <w:r>
              <w:rPr>
                <w:sz w:val="21"/>
                <w:szCs w:val="21"/>
              </w:rPr>
              <w:t>）</w:t>
            </w:r>
          </w:p>
        </w:tc>
        <w:tc>
          <w:tcPr>
            <w:tcW w:w="2136"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11</w:t>
            </w:r>
          </w:p>
        </w:tc>
        <w:tc>
          <w:tcPr>
            <w:tcW w:w="2134" w:type="dxa"/>
            <w:gridSpan w:val="3"/>
            <w:vAlign w:val="center"/>
          </w:tcPr>
          <w:p>
            <w:pPr>
              <w:widowControl/>
              <w:snapToGrid/>
              <w:spacing w:line="240" w:lineRule="auto"/>
              <w:ind w:firstLine="0" w:firstLineChars="0"/>
              <w:jc w:val="left"/>
              <w:rPr>
                <w:kern w:val="0"/>
                <w:sz w:val="21"/>
                <w:szCs w:val="21"/>
                <w:lang w:bidi="ar"/>
              </w:rPr>
            </w:pPr>
            <w:r>
              <w:rPr>
                <w:kern w:val="0"/>
                <w:sz w:val="21"/>
                <w:szCs w:val="21"/>
                <w:lang w:bidi="ar"/>
              </w:rPr>
              <w:t>爆炸上限%（v%）：</w:t>
            </w:r>
          </w:p>
        </w:tc>
        <w:tc>
          <w:tcPr>
            <w:tcW w:w="2154"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引燃温度（</w:t>
            </w:r>
            <w:r>
              <w:rPr>
                <w:rFonts w:hint="eastAsia" w:ascii="宋体" w:hAnsi="宋体" w:cs="宋体"/>
                <w:sz w:val="21"/>
                <w:szCs w:val="21"/>
              </w:rPr>
              <w:t>℃</w:t>
            </w:r>
            <w:r>
              <w:rPr>
                <w:sz w:val="21"/>
                <w:szCs w:val="21"/>
              </w:rPr>
              <w:t>）</w:t>
            </w:r>
          </w:p>
        </w:tc>
        <w:tc>
          <w:tcPr>
            <w:tcW w:w="2136"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385</w:t>
            </w:r>
          </w:p>
        </w:tc>
        <w:tc>
          <w:tcPr>
            <w:tcW w:w="2134" w:type="dxa"/>
            <w:gridSpan w:val="3"/>
            <w:vAlign w:val="center"/>
          </w:tcPr>
          <w:p>
            <w:pPr>
              <w:widowControl/>
              <w:snapToGrid/>
              <w:spacing w:line="240" w:lineRule="auto"/>
              <w:ind w:firstLine="0" w:firstLineChars="0"/>
              <w:jc w:val="left"/>
              <w:rPr>
                <w:kern w:val="0"/>
                <w:sz w:val="21"/>
                <w:szCs w:val="21"/>
                <w:lang w:bidi="ar"/>
              </w:rPr>
            </w:pPr>
            <w:r>
              <w:rPr>
                <w:kern w:val="0"/>
                <w:sz w:val="21"/>
                <w:szCs w:val="21"/>
                <w:lang w:bidi="ar"/>
              </w:rPr>
              <w:t>爆炸下限%（v%）：</w:t>
            </w:r>
          </w:p>
        </w:tc>
        <w:tc>
          <w:tcPr>
            <w:tcW w:w="2154"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危险性</w:t>
            </w:r>
          </w:p>
        </w:tc>
        <w:tc>
          <w:tcPr>
            <w:tcW w:w="6424" w:type="dxa"/>
            <w:gridSpan w:val="7"/>
            <w:vAlign w:val="center"/>
          </w:tcPr>
          <w:p>
            <w:pPr>
              <w:widowControl/>
              <w:snapToGrid/>
              <w:spacing w:line="240" w:lineRule="auto"/>
              <w:ind w:firstLine="0" w:firstLineChars="0"/>
              <w:jc w:val="left"/>
              <w:rPr>
                <w:kern w:val="0"/>
                <w:sz w:val="21"/>
                <w:szCs w:val="21"/>
                <w:lang w:bidi="ar"/>
              </w:rPr>
            </w:pPr>
            <w:r>
              <w:rPr>
                <w:kern w:val="0"/>
                <w:sz w:val="21"/>
                <w:szCs w:val="21"/>
                <w:lang w:bidi="ar"/>
              </w:rPr>
              <w:t>易燃。与空气能形成爆炸性混合物，遇明火、高热能引起燃烧、爆炸。与氧化剂接触会发生化学反应或引起燃烧。容器受热内部压力增大，有发生开裂、爆炸的危险。其蒸气比空气重，能在较低处扩散到相当远的地方，遇明火会引着回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建规火险分级</w:t>
            </w:r>
          </w:p>
        </w:tc>
        <w:tc>
          <w:tcPr>
            <w:tcW w:w="2136"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甲</w:t>
            </w:r>
          </w:p>
        </w:tc>
        <w:tc>
          <w:tcPr>
            <w:tcW w:w="2134" w:type="dxa"/>
            <w:gridSpan w:val="3"/>
            <w:vAlign w:val="center"/>
          </w:tcPr>
          <w:p>
            <w:pPr>
              <w:widowControl/>
              <w:snapToGrid/>
              <w:spacing w:line="240" w:lineRule="auto"/>
              <w:ind w:firstLine="0" w:firstLineChars="0"/>
              <w:jc w:val="left"/>
              <w:rPr>
                <w:kern w:val="0"/>
                <w:sz w:val="21"/>
                <w:szCs w:val="21"/>
                <w:lang w:bidi="ar"/>
              </w:rPr>
            </w:pPr>
            <w:r>
              <w:rPr>
                <w:kern w:val="0"/>
                <w:sz w:val="21"/>
                <w:szCs w:val="21"/>
                <w:lang w:bidi="ar"/>
              </w:rPr>
              <w:t>稳定性：稳定</w:t>
            </w:r>
          </w:p>
        </w:tc>
        <w:tc>
          <w:tcPr>
            <w:tcW w:w="2154" w:type="dxa"/>
            <w:gridSpan w:val="2"/>
            <w:vAlign w:val="center"/>
          </w:tcPr>
          <w:p>
            <w:pPr>
              <w:widowControl/>
              <w:snapToGrid/>
              <w:spacing w:line="240" w:lineRule="auto"/>
              <w:ind w:firstLine="0" w:firstLineChars="0"/>
              <w:jc w:val="left"/>
              <w:rPr>
                <w:kern w:val="0"/>
                <w:sz w:val="21"/>
                <w:szCs w:val="21"/>
                <w:lang w:bidi="ar"/>
              </w:rPr>
            </w:pPr>
            <w:r>
              <w:rPr>
                <w:kern w:val="0"/>
                <w:sz w:val="21"/>
                <w:szCs w:val="21"/>
                <w:lang w:bidi="ar"/>
              </w:rPr>
              <w:t>聚合危害：不聚合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禁忌物</w:t>
            </w:r>
          </w:p>
        </w:tc>
        <w:tc>
          <w:tcPr>
            <w:tcW w:w="6424" w:type="dxa"/>
            <w:gridSpan w:val="7"/>
            <w:vAlign w:val="center"/>
          </w:tcPr>
          <w:p>
            <w:pPr>
              <w:widowControl/>
              <w:snapToGrid/>
              <w:spacing w:line="240" w:lineRule="auto"/>
              <w:ind w:firstLine="0" w:firstLineChars="0"/>
              <w:jc w:val="left"/>
              <w:rPr>
                <w:kern w:val="0"/>
                <w:sz w:val="21"/>
                <w:szCs w:val="21"/>
                <w:lang w:bidi="ar"/>
              </w:rPr>
            </w:pPr>
            <w:r>
              <w:rPr>
                <w:kern w:val="0"/>
                <w:sz w:val="21"/>
                <w:szCs w:val="21"/>
                <w:lang w:bidi="ar"/>
              </w:rPr>
              <w:t>酸类、酸酐、强氧化剂、碱金属。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00" w:type="dxa"/>
            <w:vMerge w:val="continue"/>
            <w:vAlign w:val="center"/>
          </w:tcPr>
          <w:p>
            <w:pPr>
              <w:tabs>
                <w:tab w:val="left" w:pos="210"/>
                <w:tab w:val="left" w:pos="1050"/>
                <w:tab w:val="left" w:pos="1155"/>
                <w:tab w:val="left" w:pos="1365"/>
              </w:tabs>
              <w:snapToGrid/>
              <w:spacing w:line="240" w:lineRule="auto"/>
              <w:ind w:firstLine="0" w:firstLineChars="0"/>
              <w:jc w:val="center"/>
              <w:rPr>
                <w:sz w:val="21"/>
                <w:szCs w:val="21"/>
              </w:rPr>
            </w:pPr>
          </w:p>
        </w:tc>
        <w:tc>
          <w:tcPr>
            <w:tcW w:w="2116" w:type="dxa"/>
            <w:vAlign w:val="center"/>
          </w:tcPr>
          <w:p>
            <w:pPr>
              <w:tabs>
                <w:tab w:val="left" w:pos="210"/>
                <w:tab w:val="left" w:pos="1050"/>
                <w:tab w:val="left" w:pos="1155"/>
                <w:tab w:val="left" w:pos="1365"/>
              </w:tabs>
              <w:snapToGrid/>
              <w:spacing w:line="240" w:lineRule="auto"/>
              <w:ind w:firstLine="0" w:firstLineChars="0"/>
              <w:jc w:val="left"/>
              <w:rPr>
                <w:sz w:val="21"/>
                <w:szCs w:val="21"/>
              </w:rPr>
            </w:pPr>
            <w:r>
              <w:rPr>
                <w:sz w:val="21"/>
                <w:szCs w:val="21"/>
              </w:rPr>
              <w:t>灭火方法</w:t>
            </w:r>
          </w:p>
        </w:tc>
        <w:tc>
          <w:tcPr>
            <w:tcW w:w="6424" w:type="dxa"/>
            <w:gridSpan w:val="7"/>
            <w:vAlign w:val="center"/>
          </w:tcPr>
          <w:p>
            <w:pPr>
              <w:widowControl/>
              <w:snapToGrid/>
              <w:spacing w:line="240" w:lineRule="auto"/>
              <w:ind w:firstLine="0" w:firstLineChars="0"/>
              <w:jc w:val="left"/>
              <w:rPr>
                <w:kern w:val="0"/>
                <w:sz w:val="21"/>
                <w:szCs w:val="21"/>
                <w:lang w:bidi="ar"/>
              </w:rPr>
            </w:pPr>
            <w:r>
              <w:rPr>
                <w:kern w:val="0"/>
                <w:sz w:val="21"/>
                <w:szCs w:val="21"/>
                <w:lang w:bidi="ar"/>
              </w:rPr>
              <w:t>尽可能将容器从火场移至空旷处。喷水保持火场容器冷却，直至灭火结束。处在火场中的容器若已变色或从安全泄压装置中产生声音，必须马上撤离。灭火剂：抗溶性泡沫、二氧化碳、干粉、砂土。</w:t>
            </w:r>
          </w:p>
        </w:tc>
      </w:tr>
    </w:tbl>
    <w:p>
      <w:pPr>
        <w:pStyle w:val="93"/>
      </w:pP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t xml:space="preserve">  </w:t>
      </w:r>
      <w:r>
        <w:rPr>
          <w:rFonts w:hint="eastAsia"/>
        </w:rPr>
        <w:t>石油醚</w:t>
      </w:r>
      <w:r>
        <w:t>理化性质一览表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59"/>
        <w:gridCol w:w="2085"/>
        <w:gridCol w:w="31"/>
        <w:gridCol w:w="1461"/>
        <w:gridCol w:w="31"/>
        <w:gridCol w:w="38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中文名称</w:t>
            </w:r>
          </w:p>
        </w:tc>
        <w:tc>
          <w:tcPr>
            <w:tcW w:w="2085" w:type="dxa"/>
            <w:shd w:val="clear" w:color="auto" w:fill="auto"/>
            <w:vAlign w:val="center"/>
          </w:tcPr>
          <w:p>
            <w:pPr>
              <w:pStyle w:val="97"/>
              <w:rPr>
                <w:snapToGrid w:val="0"/>
              </w:rPr>
            </w:pPr>
            <w:r>
              <w:rPr>
                <w:rFonts w:hint="eastAsia"/>
                <w:snapToGrid w:val="0"/>
              </w:rPr>
              <w:t>石油醚</w:t>
            </w:r>
          </w:p>
        </w:tc>
        <w:tc>
          <w:tcPr>
            <w:tcW w:w="1492" w:type="dxa"/>
            <w:gridSpan w:val="2"/>
            <w:shd w:val="clear" w:color="auto" w:fill="auto"/>
            <w:vAlign w:val="center"/>
          </w:tcPr>
          <w:p>
            <w:pPr>
              <w:pStyle w:val="97"/>
              <w:rPr>
                <w:snapToGrid w:val="0"/>
              </w:rPr>
            </w:pPr>
          </w:p>
        </w:tc>
        <w:tc>
          <w:tcPr>
            <w:tcW w:w="3904" w:type="dxa"/>
            <w:gridSpan w:val="2"/>
            <w:shd w:val="clear" w:color="auto" w:fill="auto"/>
            <w:vAlign w:val="center"/>
          </w:tcPr>
          <w:p>
            <w:pPr>
              <w:pStyle w:val="97"/>
              <w:rPr>
                <w:snapToGrid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英文名称</w:t>
            </w:r>
          </w:p>
        </w:tc>
        <w:tc>
          <w:tcPr>
            <w:tcW w:w="2085" w:type="dxa"/>
            <w:shd w:val="clear" w:color="auto" w:fill="auto"/>
            <w:vAlign w:val="center"/>
          </w:tcPr>
          <w:p>
            <w:pPr>
              <w:pStyle w:val="97"/>
              <w:rPr>
                <w:snapToGrid w:val="0"/>
              </w:rPr>
            </w:pPr>
            <w:r>
              <w:rPr>
                <w:snapToGrid w:val="0"/>
              </w:rPr>
              <w:t>Petroleum ether</w:t>
            </w:r>
          </w:p>
        </w:tc>
        <w:tc>
          <w:tcPr>
            <w:tcW w:w="1492" w:type="dxa"/>
            <w:gridSpan w:val="2"/>
            <w:shd w:val="clear" w:color="auto" w:fill="auto"/>
            <w:vAlign w:val="center"/>
          </w:tcPr>
          <w:p>
            <w:pPr>
              <w:pStyle w:val="97"/>
              <w:rPr>
                <w:snapToGrid w:val="0"/>
              </w:rPr>
            </w:pPr>
          </w:p>
        </w:tc>
        <w:tc>
          <w:tcPr>
            <w:tcW w:w="3904" w:type="dxa"/>
            <w:gridSpan w:val="2"/>
            <w:shd w:val="clear" w:color="auto" w:fill="auto"/>
            <w:vAlign w:val="center"/>
          </w:tcPr>
          <w:p>
            <w:pPr>
              <w:pStyle w:val="97"/>
              <w:rPr>
                <w:snapToGrid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分子式</w:t>
            </w:r>
          </w:p>
        </w:tc>
        <w:tc>
          <w:tcPr>
            <w:tcW w:w="2085" w:type="dxa"/>
            <w:shd w:val="clear" w:color="auto" w:fill="auto"/>
            <w:vAlign w:val="center"/>
          </w:tcPr>
          <w:p>
            <w:pPr>
              <w:pStyle w:val="97"/>
              <w:rPr>
                <w:snapToGrid w:val="0"/>
              </w:rPr>
            </w:pPr>
            <w:r>
              <w:rPr>
                <w:rFonts w:hint="eastAsia"/>
                <w:snapToGrid w:val="0"/>
              </w:rPr>
              <w:t>/</w:t>
            </w:r>
          </w:p>
        </w:tc>
        <w:tc>
          <w:tcPr>
            <w:tcW w:w="1492" w:type="dxa"/>
            <w:gridSpan w:val="2"/>
            <w:shd w:val="clear" w:color="auto" w:fill="auto"/>
            <w:vAlign w:val="center"/>
          </w:tcPr>
          <w:p>
            <w:pPr>
              <w:pStyle w:val="97"/>
              <w:rPr>
                <w:snapToGrid w:val="0"/>
              </w:rPr>
            </w:pPr>
            <w:r>
              <w:rPr>
                <w:snapToGrid w:val="0"/>
              </w:rPr>
              <w:t>外观与性状</w:t>
            </w:r>
          </w:p>
        </w:tc>
        <w:tc>
          <w:tcPr>
            <w:tcW w:w="3904" w:type="dxa"/>
            <w:gridSpan w:val="2"/>
            <w:shd w:val="clear" w:color="auto" w:fill="auto"/>
            <w:vAlign w:val="center"/>
          </w:tcPr>
          <w:p>
            <w:pPr>
              <w:pStyle w:val="97"/>
              <w:rPr>
                <w:snapToGrid w:val="0"/>
              </w:rPr>
            </w:pPr>
            <w:r>
              <w:rPr>
                <w:snapToGrid w:val="0"/>
              </w:rPr>
              <w:t>无色</w:t>
            </w:r>
            <w:r>
              <w:rPr>
                <w:rFonts w:hint="eastAsia"/>
                <w:snapToGrid w:val="0"/>
              </w:rPr>
              <w:t>透明液体，有煤油气味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分子量</w:t>
            </w:r>
          </w:p>
        </w:tc>
        <w:tc>
          <w:tcPr>
            <w:tcW w:w="2085" w:type="dxa"/>
            <w:shd w:val="clear" w:color="auto" w:fill="auto"/>
            <w:vAlign w:val="center"/>
          </w:tcPr>
          <w:p>
            <w:pPr>
              <w:pStyle w:val="97"/>
              <w:rPr>
                <w:snapToGrid w:val="0"/>
              </w:rPr>
            </w:pPr>
            <w:r>
              <w:rPr>
                <w:rFonts w:hint="eastAsia"/>
                <w:snapToGrid w:val="0"/>
              </w:rPr>
              <w:t>/</w:t>
            </w:r>
          </w:p>
        </w:tc>
        <w:tc>
          <w:tcPr>
            <w:tcW w:w="1492" w:type="dxa"/>
            <w:gridSpan w:val="2"/>
            <w:shd w:val="clear" w:color="auto" w:fill="auto"/>
            <w:vAlign w:val="center"/>
          </w:tcPr>
          <w:p>
            <w:pPr>
              <w:pStyle w:val="97"/>
              <w:rPr>
                <w:snapToGrid w:val="0"/>
              </w:rPr>
            </w:pPr>
            <w:r>
              <w:rPr>
                <w:snapToGrid w:val="0"/>
              </w:rPr>
              <w:t>蒸汽压</w:t>
            </w:r>
          </w:p>
        </w:tc>
        <w:tc>
          <w:tcPr>
            <w:tcW w:w="3904" w:type="dxa"/>
            <w:gridSpan w:val="2"/>
            <w:shd w:val="clear" w:color="auto" w:fill="auto"/>
            <w:vAlign w:val="center"/>
          </w:tcPr>
          <w:p>
            <w:pPr>
              <w:pStyle w:val="97"/>
              <w:rPr>
                <w:snapToGrid w:val="0"/>
              </w:rPr>
            </w:pPr>
            <w:r>
              <w:rPr>
                <w:rFonts w:hint="eastAsia"/>
                <w:snapToGrid w:val="0"/>
              </w:rPr>
              <w:t>53.32</w:t>
            </w:r>
            <w:r>
              <w:rPr>
                <w:snapToGrid w:val="0"/>
              </w:rPr>
              <w:t>kPa/</w:t>
            </w:r>
            <w:r>
              <w:rPr>
                <w:rFonts w:hint="eastAsia"/>
                <w:snapToGrid w:val="0"/>
              </w:rPr>
              <w:t>2</w:t>
            </w:r>
            <w:r>
              <w:rPr>
                <w:snapToGrid w:val="0"/>
              </w:rPr>
              <w:t>0</w:t>
            </w:r>
            <w:r>
              <w:rPr>
                <w:rFonts w:hint="eastAsia" w:ascii="宋体" w:hAnsi="宋体" w:cs="宋体"/>
                <w:snapToGrid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闪点</w:t>
            </w:r>
          </w:p>
        </w:tc>
        <w:tc>
          <w:tcPr>
            <w:tcW w:w="2085" w:type="dxa"/>
            <w:shd w:val="clear" w:color="auto" w:fill="auto"/>
            <w:vAlign w:val="center"/>
          </w:tcPr>
          <w:p>
            <w:pPr>
              <w:pStyle w:val="97"/>
              <w:rPr>
                <w:snapToGrid w:val="0"/>
              </w:rPr>
            </w:pPr>
            <w:r>
              <w:rPr>
                <w:snapToGrid w:val="0"/>
              </w:rPr>
              <w:t>-</w:t>
            </w:r>
            <w:r>
              <w:rPr>
                <w:rFonts w:hint="eastAsia"/>
                <w:snapToGrid w:val="0"/>
              </w:rPr>
              <w:t>20</w:t>
            </w:r>
            <w:r>
              <w:rPr>
                <w:rFonts w:hint="eastAsia" w:ascii="宋体" w:hAnsi="宋体" w:cs="宋体"/>
                <w:snapToGrid w:val="0"/>
              </w:rPr>
              <w:t>℃</w:t>
            </w:r>
          </w:p>
        </w:tc>
        <w:tc>
          <w:tcPr>
            <w:tcW w:w="1492" w:type="dxa"/>
            <w:gridSpan w:val="2"/>
            <w:shd w:val="clear" w:color="auto" w:fill="auto"/>
            <w:vAlign w:val="center"/>
          </w:tcPr>
          <w:p>
            <w:pPr>
              <w:pStyle w:val="97"/>
              <w:rPr>
                <w:snapToGrid w:val="0"/>
              </w:rPr>
            </w:pPr>
            <w:r>
              <w:rPr>
                <w:snapToGrid w:val="0"/>
              </w:rPr>
              <w:t>沸点</w:t>
            </w:r>
          </w:p>
        </w:tc>
        <w:tc>
          <w:tcPr>
            <w:tcW w:w="3904" w:type="dxa"/>
            <w:gridSpan w:val="2"/>
            <w:shd w:val="clear" w:color="auto" w:fill="auto"/>
            <w:vAlign w:val="center"/>
          </w:tcPr>
          <w:p>
            <w:pPr>
              <w:pStyle w:val="97"/>
              <w:rPr>
                <w:snapToGrid w:val="0"/>
              </w:rPr>
            </w:pPr>
            <w:r>
              <w:rPr>
                <w:rFonts w:hint="eastAsia"/>
                <w:snapToGrid w:val="0"/>
              </w:rPr>
              <w:t>40～80</w:t>
            </w:r>
            <w:r>
              <w:rPr>
                <w:rFonts w:hint="eastAsia" w:ascii="宋体" w:hAnsi="宋体" w:cs="宋体"/>
                <w:snapToGrid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熔点</w:t>
            </w:r>
          </w:p>
        </w:tc>
        <w:tc>
          <w:tcPr>
            <w:tcW w:w="2085" w:type="dxa"/>
            <w:shd w:val="clear" w:color="auto" w:fill="auto"/>
            <w:vAlign w:val="center"/>
          </w:tcPr>
          <w:p>
            <w:pPr>
              <w:pStyle w:val="97"/>
              <w:rPr>
                <w:snapToGrid w:val="0"/>
              </w:rPr>
            </w:pPr>
            <w:r>
              <w:rPr>
                <w:rFonts w:hint="eastAsia"/>
                <w:snapToGrid w:val="0"/>
              </w:rPr>
              <w:t>&lt;</w:t>
            </w:r>
            <w:r>
              <w:rPr>
                <w:snapToGrid w:val="0"/>
              </w:rPr>
              <w:t>-</w:t>
            </w:r>
            <w:r>
              <w:rPr>
                <w:rFonts w:hint="eastAsia"/>
                <w:snapToGrid w:val="0"/>
              </w:rPr>
              <w:t>73</w:t>
            </w:r>
            <w:r>
              <w:rPr>
                <w:rFonts w:hint="eastAsia" w:ascii="宋体" w:hAnsi="宋体" w:cs="宋体"/>
                <w:snapToGrid w:val="0"/>
              </w:rPr>
              <w:t>℃</w:t>
            </w:r>
          </w:p>
        </w:tc>
        <w:tc>
          <w:tcPr>
            <w:tcW w:w="1492" w:type="dxa"/>
            <w:gridSpan w:val="2"/>
            <w:shd w:val="clear" w:color="auto" w:fill="auto"/>
            <w:vAlign w:val="center"/>
          </w:tcPr>
          <w:p>
            <w:pPr>
              <w:pStyle w:val="97"/>
              <w:rPr>
                <w:snapToGrid w:val="0"/>
              </w:rPr>
            </w:pPr>
            <w:r>
              <w:rPr>
                <w:snapToGrid w:val="0"/>
              </w:rPr>
              <w:t>溶解性</w:t>
            </w:r>
          </w:p>
        </w:tc>
        <w:tc>
          <w:tcPr>
            <w:tcW w:w="3904" w:type="dxa"/>
            <w:gridSpan w:val="2"/>
            <w:shd w:val="clear" w:color="auto" w:fill="auto"/>
            <w:vAlign w:val="center"/>
          </w:tcPr>
          <w:p>
            <w:pPr>
              <w:pStyle w:val="97"/>
              <w:rPr>
                <w:snapToGrid w:val="0"/>
              </w:rPr>
            </w:pPr>
            <w:r>
              <w:rPr>
                <w:rFonts w:hint="eastAsia"/>
                <w:snapToGrid w:val="0"/>
              </w:rPr>
              <w:t>不</w:t>
            </w:r>
            <w:r>
              <w:rPr>
                <w:snapToGrid w:val="0"/>
              </w:rPr>
              <w:t>溶于水</w:t>
            </w:r>
            <w:r>
              <w:rPr>
                <w:rFonts w:hint="eastAsia"/>
                <w:snapToGrid w:val="0"/>
              </w:rPr>
              <w:t>，溶于无水</w:t>
            </w:r>
            <w:r>
              <w:rPr>
                <w:snapToGrid w:val="0"/>
              </w:rPr>
              <w:t>乙醇</w:t>
            </w:r>
            <w:r>
              <w:rPr>
                <w:rFonts w:hint="eastAsia"/>
                <w:snapToGrid w:val="0"/>
              </w:rPr>
              <w:t>、油等多数有机溶剂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密度</w:t>
            </w:r>
          </w:p>
        </w:tc>
        <w:tc>
          <w:tcPr>
            <w:tcW w:w="2085" w:type="dxa"/>
            <w:shd w:val="clear" w:color="auto" w:fill="auto"/>
            <w:vAlign w:val="center"/>
          </w:tcPr>
          <w:p>
            <w:pPr>
              <w:pStyle w:val="97"/>
              <w:rPr>
                <w:snapToGrid w:val="0"/>
              </w:rPr>
            </w:pPr>
            <w:r>
              <w:rPr>
                <w:snapToGrid w:val="0"/>
              </w:rPr>
              <w:t xml:space="preserve">相对密度（水=1) </w:t>
            </w:r>
            <w:r>
              <w:rPr>
                <w:rFonts w:hint="eastAsia"/>
                <w:snapToGrid w:val="0"/>
              </w:rPr>
              <w:t>0.64～0.66</w:t>
            </w:r>
            <w:r>
              <w:rPr>
                <w:snapToGrid w:val="0"/>
              </w:rPr>
              <w:t>；相对</w:t>
            </w:r>
            <w:r>
              <w:rPr>
                <w:rFonts w:hint="eastAsia"/>
                <w:snapToGrid w:val="0"/>
              </w:rPr>
              <w:t>蒸汽</w:t>
            </w:r>
            <w:r>
              <w:rPr>
                <w:snapToGrid w:val="0"/>
              </w:rPr>
              <w:t>密度（空气=1)</w:t>
            </w:r>
            <w:r>
              <w:rPr>
                <w:rFonts w:hint="eastAsia"/>
                <w:snapToGrid w:val="0"/>
              </w:rPr>
              <w:t>2.50</w:t>
            </w:r>
          </w:p>
        </w:tc>
        <w:tc>
          <w:tcPr>
            <w:tcW w:w="1492" w:type="dxa"/>
            <w:gridSpan w:val="2"/>
            <w:shd w:val="clear" w:color="auto" w:fill="auto"/>
            <w:vAlign w:val="center"/>
          </w:tcPr>
          <w:p>
            <w:pPr>
              <w:pStyle w:val="97"/>
              <w:rPr>
                <w:snapToGrid w:val="0"/>
              </w:rPr>
            </w:pPr>
            <w:r>
              <w:rPr>
                <w:snapToGrid w:val="0"/>
              </w:rPr>
              <w:t>稳定性</w:t>
            </w:r>
          </w:p>
        </w:tc>
        <w:tc>
          <w:tcPr>
            <w:tcW w:w="3904" w:type="dxa"/>
            <w:gridSpan w:val="2"/>
            <w:shd w:val="clear" w:color="auto" w:fill="auto"/>
            <w:vAlign w:val="center"/>
          </w:tcPr>
          <w:p>
            <w:pPr>
              <w:pStyle w:val="97"/>
              <w:rPr>
                <w:snapToGrid w:val="0"/>
              </w:rPr>
            </w:pPr>
            <w:r>
              <w:rPr>
                <w:rFonts w:hint="eastAsia"/>
                <w:snapToGrid w:val="0"/>
              </w:rPr>
              <w:t>易挥发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火灾类别</w:t>
            </w:r>
          </w:p>
        </w:tc>
        <w:tc>
          <w:tcPr>
            <w:tcW w:w="2085" w:type="dxa"/>
            <w:shd w:val="clear" w:color="auto" w:fill="auto"/>
            <w:vAlign w:val="center"/>
          </w:tcPr>
          <w:p>
            <w:pPr>
              <w:pStyle w:val="97"/>
              <w:rPr>
                <w:snapToGrid w:val="0"/>
              </w:rPr>
            </w:pPr>
            <w:r>
              <w:rPr>
                <w:snapToGrid w:val="0"/>
              </w:rPr>
              <w:t>甲A (液化后）</w:t>
            </w:r>
          </w:p>
        </w:tc>
        <w:tc>
          <w:tcPr>
            <w:tcW w:w="1492" w:type="dxa"/>
            <w:gridSpan w:val="2"/>
            <w:shd w:val="clear" w:color="auto" w:fill="auto"/>
            <w:vAlign w:val="center"/>
          </w:tcPr>
          <w:p>
            <w:pPr>
              <w:pStyle w:val="97"/>
              <w:rPr>
                <w:snapToGrid w:val="0"/>
              </w:rPr>
            </w:pPr>
            <w:r>
              <w:rPr>
                <w:snapToGrid w:val="0"/>
              </w:rPr>
              <w:t>毒性分级</w:t>
            </w:r>
          </w:p>
        </w:tc>
        <w:tc>
          <w:tcPr>
            <w:tcW w:w="3904" w:type="dxa"/>
            <w:gridSpan w:val="2"/>
            <w:shd w:val="clear" w:color="auto" w:fill="auto"/>
            <w:vAlign w:val="center"/>
          </w:tcPr>
          <w:p>
            <w:pPr>
              <w:pStyle w:val="97"/>
              <w:rPr>
                <w:snapToGrid w:val="0"/>
              </w:rPr>
            </w:pPr>
            <w:r>
              <w:rPr>
                <w:rFonts w:hint="eastAsia" w:ascii="宋体" w:hAnsi="宋体" w:cs="宋体"/>
                <w:snapToGrid w:val="0"/>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爆炸</w:t>
            </w:r>
          </w:p>
        </w:tc>
        <w:tc>
          <w:tcPr>
            <w:tcW w:w="7481" w:type="dxa"/>
            <w:gridSpan w:val="5"/>
            <w:shd w:val="clear" w:color="auto" w:fill="auto"/>
            <w:vAlign w:val="center"/>
          </w:tcPr>
          <w:p>
            <w:pPr>
              <w:pStyle w:val="97"/>
              <w:rPr>
                <w:snapToGrid w:val="0"/>
              </w:rPr>
            </w:pPr>
            <w:r>
              <w:rPr>
                <w:snapToGrid w:val="0"/>
              </w:rPr>
              <w:t>上限：</w:t>
            </w:r>
            <w:r>
              <w:rPr>
                <w:rFonts w:hint="eastAsia"/>
                <w:snapToGrid w:val="0"/>
              </w:rPr>
              <w:t>8.7</w:t>
            </w:r>
            <w:r>
              <w:rPr>
                <w:snapToGrid w:val="0"/>
              </w:rPr>
              <w:t>下限：1</w:t>
            </w:r>
            <w:r>
              <w:rPr>
                <w:rFonts w:hint="eastAsia"/>
                <w:snapToGrid w:val="0"/>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危险标记</w:t>
            </w:r>
          </w:p>
        </w:tc>
        <w:tc>
          <w:tcPr>
            <w:tcW w:w="2116" w:type="dxa"/>
            <w:gridSpan w:val="2"/>
            <w:shd w:val="clear" w:color="auto" w:fill="auto"/>
            <w:vAlign w:val="center"/>
          </w:tcPr>
          <w:p>
            <w:pPr>
              <w:pStyle w:val="97"/>
              <w:rPr>
                <w:snapToGrid w:val="0"/>
              </w:rPr>
            </w:pPr>
            <w:r>
              <w:rPr>
                <w:rFonts w:hint="eastAsia"/>
                <w:snapToGrid w:val="0"/>
              </w:rPr>
              <w:t>高度易燃液体</w:t>
            </w:r>
          </w:p>
        </w:tc>
        <w:tc>
          <w:tcPr>
            <w:tcW w:w="1492" w:type="dxa"/>
            <w:gridSpan w:val="2"/>
            <w:shd w:val="clear" w:color="auto" w:fill="auto"/>
            <w:vAlign w:val="center"/>
          </w:tcPr>
          <w:p>
            <w:pPr>
              <w:pStyle w:val="97"/>
              <w:rPr>
                <w:snapToGrid w:val="0"/>
              </w:rPr>
            </w:pPr>
            <w:r>
              <w:rPr>
                <w:snapToGrid w:val="0"/>
              </w:rPr>
              <w:t>主要用途</w:t>
            </w:r>
          </w:p>
        </w:tc>
        <w:tc>
          <w:tcPr>
            <w:tcW w:w="3873" w:type="dxa"/>
            <w:shd w:val="clear" w:color="auto" w:fill="auto"/>
            <w:vAlign w:val="center"/>
          </w:tcPr>
          <w:p>
            <w:pPr>
              <w:pStyle w:val="97"/>
              <w:rPr>
                <w:snapToGrid w:val="0"/>
              </w:rPr>
            </w:pPr>
            <w:r>
              <w:rPr>
                <w:rFonts w:hint="eastAsia"/>
                <w:snapToGrid w:val="0"/>
              </w:rPr>
              <w:t>主要用作溶剂、萃取剂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健康危害</w:t>
            </w:r>
          </w:p>
        </w:tc>
        <w:tc>
          <w:tcPr>
            <w:tcW w:w="7481" w:type="dxa"/>
            <w:gridSpan w:val="5"/>
            <w:shd w:val="clear" w:color="auto" w:fill="auto"/>
            <w:vAlign w:val="center"/>
          </w:tcPr>
          <w:p>
            <w:pPr>
              <w:pStyle w:val="97"/>
              <w:jc w:val="left"/>
              <w:rPr>
                <w:snapToGrid w:val="0"/>
              </w:rPr>
            </w:pPr>
            <w:r>
              <w:rPr>
                <w:snapToGrid w:val="0"/>
              </w:rPr>
              <w:t>侵入途径：吸入</w:t>
            </w:r>
          </w:p>
          <w:p>
            <w:pPr>
              <w:pStyle w:val="97"/>
              <w:rPr>
                <w:snapToGrid w:val="0"/>
              </w:rPr>
            </w:pPr>
            <w:r>
              <w:rPr>
                <w:snapToGrid w:val="0"/>
              </w:rPr>
              <w:t>健康危害：</w:t>
            </w:r>
            <w:r>
              <w:rPr>
                <w:rFonts w:hint="eastAsia"/>
                <w:snapToGrid w:val="0"/>
              </w:rPr>
              <w:t>其蒸汽对眼睛、粘膜和呼吸道有刺激性；对皮肤有强烈刺激性。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毒理学特性</w:t>
            </w:r>
          </w:p>
        </w:tc>
        <w:tc>
          <w:tcPr>
            <w:tcW w:w="7481" w:type="dxa"/>
            <w:gridSpan w:val="5"/>
            <w:shd w:val="clear" w:color="auto" w:fill="auto"/>
            <w:vAlign w:val="center"/>
          </w:tcPr>
          <w:p>
            <w:pPr>
              <w:pStyle w:val="97"/>
              <w:rPr>
                <w:snapToGrid w:val="0"/>
              </w:rPr>
            </w:pPr>
            <w:r>
              <w:rPr>
                <w:snapToGrid w:val="0"/>
              </w:rPr>
              <w:t>LC50：</w:t>
            </w:r>
            <w:r>
              <w:rPr>
                <w:rFonts w:hint="eastAsia"/>
                <w:snapToGrid w:val="0"/>
              </w:rPr>
              <w:t>3400</w:t>
            </w:r>
            <w:r>
              <w:rPr>
                <w:snapToGrid w:val="0"/>
              </w:rPr>
              <w:t>mg/m</w:t>
            </w:r>
            <w:r>
              <w:rPr>
                <w:snapToGrid w:val="0"/>
                <w:vertAlign w:val="superscript"/>
              </w:rPr>
              <w:t>3</w:t>
            </w:r>
            <w:r>
              <w:rPr>
                <w:snapToGrid w:val="0"/>
              </w:rPr>
              <w:t>，(大鼠吸入，4h)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毒理学资料及环境行为</w:t>
            </w:r>
          </w:p>
        </w:tc>
        <w:tc>
          <w:tcPr>
            <w:tcW w:w="7481" w:type="dxa"/>
            <w:gridSpan w:val="5"/>
            <w:shd w:val="clear" w:color="auto" w:fill="auto"/>
            <w:vAlign w:val="center"/>
          </w:tcPr>
          <w:p>
            <w:pPr>
              <w:pStyle w:val="97"/>
              <w:jc w:val="left"/>
              <w:rPr>
                <w:snapToGrid w:val="0"/>
              </w:rPr>
            </w:pPr>
            <w:r>
              <w:rPr>
                <w:rFonts w:hint="eastAsia"/>
                <w:snapToGrid w:val="0"/>
              </w:rPr>
              <w:t>慢</w:t>
            </w:r>
            <w:r>
              <w:rPr>
                <w:snapToGrid w:val="0"/>
              </w:rPr>
              <w:t>性毒性：</w:t>
            </w:r>
            <w:r>
              <w:rPr>
                <w:rFonts w:hint="eastAsia"/>
                <w:snapToGrid w:val="0"/>
              </w:rPr>
              <w:t>大鼠吸入2.76g/m</w:t>
            </w:r>
            <w:r>
              <w:rPr>
                <w:rFonts w:hint="eastAsia"/>
                <w:snapToGrid w:val="0"/>
                <w:vertAlign w:val="superscript"/>
              </w:rPr>
              <w:t>3</w:t>
            </w:r>
            <w:r>
              <w:rPr>
                <w:rFonts w:hint="eastAsia"/>
                <w:snapToGrid w:val="0"/>
              </w:rPr>
              <w:t>/天，230天，夜间活动减少，网状内皮系统轻度异常反应，末梢神经有髓鞘退行性变，轴突轻度变化腓肠肌肌纤维轻度萎缩。其在人体内也有蓄积性，为神经性毒剂。</w:t>
            </w:r>
          </w:p>
          <w:p>
            <w:pPr>
              <w:pStyle w:val="97"/>
              <w:jc w:val="left"/>
              <w:rPr>
                <w:snapToGrid w:val="0"/>
              </w:rPr>
            </w:pPr>
            <w:r>
              <w:rPr>
                <w:snapToGrid w:val="0"/>
              </w:rPr>
              <w:t>危险特性：易燃，</w:t>
            </w:r>
            <w:r>
              <w:rPr>
                <w:rFonts w:hint="eastAsia"/>
                <w:snapToGrid w:val="0"/>
              </w:rPr>
              <w:t>其蒸气与</w:t>
            </w:r>
            <w:r>
              <w:rPr>
                <w:snapToGrid w:val="0"/>
              </w:rPr>
              <w:t>空气混合能形成爆炸性混合物。遇热源和明火有燃烧爆炸的危险。气体比空气重，能在较低处扩散到相当远的地方，遇明火会引着回燃。燃烧（分解）产物：一氧化碳、二氧化碳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泄漏应急处理</w:t>
            </w:r>
          </w:p>
        </w:tc>
        <w:tc>
          <w:tcPr>
            <w:tcW w:w="7481" w:type="dxa"/>
            <w:gridSpan w:val="5"/>
            <w:shd w:val="clear" w:color="auto" w:fill="auto"/>
            <w:vAlign w:val="center"/>
          </w:tcPr>
          <w:p>
            <w:pPr>
              <w:pStyle w:val="97"/>
              <w:jc w:val="left"/>
              <w:rPr>
                <w:snapToGrid w:val="0"/>
              </w:rPr>
            </w:pPr>
            <w:r>
              <w:rPr>
                <w:snapToGrid w:val="0"/>
              </w:rPr>
              <w:t>迅速撤离泄漏污染区人员至上风处，并进行隔离，严格限制出入。切断火源。建议应急处理人员戴自给正压式呼吸器，穿消防防护服。尽可能切断泄漏源。用工业覆盖层或吸附/吸收剂盖住泄漏点附近的下水道等地方，防止气体进入。合理通风，加速扩散。喷雾状水稀释、溶解。构筑围堤或挖坑收容产生的大量废水。如有可能，讲漏出气用排风机送至空旷地方或装设适当喷头烧掉。漏气容器要妥善处理，修复、检验后再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防护措施</w:t>
            </w:r>
          </w:p>
        </w:tc>
        <w:tc>
          <w:tcPr>
            <w:tcW w:w="7481" w:type="dxa"/>
            <w:gridSpan w:val="5"/>
            <w:shd w:val="clear" w:color="auto" w:fill="auto"/>
            <w:vAlign w:val="center"/>
          </w:tcPr>
          <w:p>
            <w:pPr>
              <w:pStyle w:val="97"/>
              <w:jc w:val="left"/>
              <w:rPr>
                <w:snapToGrid w:val="0"/>
              </w:rPr>
            </w:pPr>
            <w:r>
              <w:rPr>
                <w:snapToGrid w:val="0"/>
              </w:rPr>
              <w:t>呼吸系统防护：</w:t>
            </w:r>
            <w:r>
              <w:rPr>
                <w:rFonts w:hint="eastAsia"/>
                <w:snapToGrid w:val="0"/>
              </w:rPr>
              <w:t>空气中浓度超标时</w:t>
            </w:r>
            <w:r>
              <w:rPr>
                <w:snapToGrid w:val="0"/>
              </w:rPr>
              <w:t>，佩带自吸过滤式防毒面具(半面罩)。</w:t>
            </w:r>
          </w:p>
          <w:p>
            <w:pPr>
              <w:pStyle w:val="97"/>
              <w:jc w:val="left"/>
              <w:rPr>
                <w:snapToGrid w:val="0"/>
              </w:rPr>
            </w:pPr>
            <w:r>
              <w:rPr>
                <w:snapToGrid w:val="0"/>
              </w:rPr>
              <w:t>眼睛防护：</w:t>
            </w:r>
            <w:r>
              <w:rPr>
                <w:rFonts w:hint="eastAsia"/>
                <w:snapToGrid w:val="0"/>
              </w:rPr>
              <w:t>配</w:t>
            </w:r>
            <w:r>
              <w:rPr>
                <w:snapToGrid w:val="0"/>
              </w:rPr>
              <w:t>戴化学安全防护眼镜。</w:t>
            </w:r>
          </w:p>
          <w:p>
            <w:pPr>
              <w:pStyle w:val="97"/>
              <w:jc w:val="left"/>
              <w:rPr>
                <w:snapToGrid w:val="0"/>
              </w:rPr>
            </w:pPr>
            <w:r>
              <w:rPr>
                <w:snapToGrid w:val="0"/>
              </w:rPr>
              <w:t>身体防护：穿防</w:t>
            </w:r>
            <w:r>
              <w:rPr>
                <w:rFonts w:hint="eastAsia"/>
                <w:snapToGrid w:val="0"/>
              </w:rPr>
              <w:t>化</w:t>
            </w:r>
            <w:r>
              <w:rPr>
                <w:snapToGrid w:val="0"/>
              </w:rPr>
              <w:t>工作服。</w:t>
            </w:r>
          </w:p>
          <w:p>
            <w:pPr>
              <w:pStyle w:val="97"/>
              <w:jc w:val="left"/>
              <w:rPr>
                <w:snapToGrid w:val="0"/>
              </w:rPr>
            </w:pPr>
            <w:r>
              <w:rPr>
                <w:snapToGrid w:val="0"/>
              </w:rPr>
              <w:t>手防护：戴</w:t>
            </w:r>
            <w:r>
              <w:rPr>
                <w:rFonts w:hint="eastAsia"/>
                <w:snapToGrid w:val="0"/>
              </w:rPr>
              <w:t>橡胶耐油</w:t>
            </w:r>
            <w:r>
              <w:rPr>
                <w:snapToGrid w:val="0"/>
              </w:rPr>
              <w:t>手套。</w:t>
            </w:r>
          </w:p>
          <w:p>
            <w:pPr>
              <w:pStyle w:val="97"/>
              <w:jc w:val="left"/>
              <w:rPr>
                <w:snapToGrid w:val="0"/>
              </w:rPr>
            </w:pPr>
            <w:r>
              <w:rPr>
                <w:snapToGrid w:val="0"/>
              </w:rPr>
              <w:t>其它：工作现场严禁吸烟。避免长期反复接触。进入罐、限制性空间或其它高浓度区作业，须有人监护。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jc w:val="center"/>
        </w:trPr>
        <w:tc>
          <w:tcPr>
            <w:tcW w:w="1559" w:type="dxa"/>
            <w:shd w:val="clear" w:color="auto" w:fill="auto"/>
            <w:vAlign w:val="center"/>
          </w:tcPr>
          <w:p>
            <w:pPr>
              <w:pStyle w:val="97"/>
              <w:rPr>
                <w:snapToGrid w:val="0"/>
              </w:rPr>
            </w:pPr>
            <w:r>
              <w:rPr>
                <w:snapToGrid w:val="0"/>
              </w:rPr>
              <w:t>急救措施</w:t>
            </w:r>
          </w:p>
        </w:tc>
        <w:tc>
          <w:tcPr>
            <w:tcW w:w="7481" w:type="dxa"/>
            <w:gridSpan w:val="5"/>
            <w:shd w:val="clear" w:color="auto" w:fill="auto"/>
            <w:vAlign w:val="center"/>
          </w:tcPr>
          <w:p>
            <w:pPr>
              <w:pStyle w:val="97"/>
              <w:jc w:val="left"/>
              <w:rPr>
                <w:snapToGrid w:val="0"/>
              </w:rPr>
            </w:pPr>
            <w:r>
              <w:rPr>
                <w:snapToGrid w:val="0"/>
              </w:rPr>
              <w:t>吸入：迅速脱离现场至空气新鲜处。保持呼吸道通畅。如呼吸困难，给输氧。如呼吸停止，立即进行人工呼吸。就医。</w:t>
            </w:r>
          </w:p>
          <w:p>
            <w:pPr>
              <w:pStyle w:val="97"/>
              <w:jc w:val="left"/>
              <w:rPr>
                <w:snapToGrid w:val="0"/>
              </w:rPr>
            </w:pPr>
            <w:r>
              <w:rPr>
                <w:snapToGrid w:val="0"/>
              </w:rPr>
              <w:t>灭火方法：</w:t>
            </w:r>
            <w:r>
              <w:rPr>
                <w:rFonts w:hint="eastAsia"/>
                <w:snapToGrid w:val="0"/>
              </w:rPr>
              <w:t>喷水冷却容器，可能的话将容器从火场移至空旷处。处在火场中的容器若已变色或从安全泄压装置中产生声音，必须马上撤离。</w:t>
            </w:r>
            <w:r>
              <w:rPr>
                <w:snapToGrid w:val="0"/>
              </w:rPr>
              <w:t>灭火剂：</w:t>
            </w:r>
            <w:r>
              <w:rPr>
                <w:rFonts w:hint="eastAsia"/>
                <w:snapToGrid w:val="0"/>
              </w:rPr>
              <w:t>泡沫、二氧化碳、干粉、砂土。用水灭火无效。</w:t>
            </w:r>
          </w:p>
        </w:tc>
      </w:tr>
    </w:tbl>
    <w:p>
      <w:pPr>
        <w:pStyle w:val="93"/>
      </w:pPr>
    </w:p>
    <w:p>
      <w:pPr>
        <w:pStyle w:val="93"/>
      </w:pPr>
    </w:p>
    <w:p>
      <w:pPr>
        <w:pStyle w:val="93"/>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r>
        <w:t xml:space="preserve">  </w:t>
      </w:r>
      <w:r>
        <w:rPr>
          <w:rFonts w:hint="eastAsia"/>
        </w:rPr>
        <w:t>硫酸</w:t>
      </w:r>
      <w:r>
        <w:t>理化性质表</w:t>
      </w:r>
    </w:p>
    <w:tbl>
      <w:tblPr>
        <w:tblStyle w:val="36"/>
        <w:tblW w:w="9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237"/>
        <w:gridCol w:w="1320"/>
        <w:gridCol w:w="706"/>
        <w:gridCol w:w="2490"/>
        <w:gridCol w:w="30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5" w:type="dxa"/>
            <w:gridSpan w:val="2"/>
          </w:tcPr>
          <w:p>
            <w:pPr>
              <w:pStyle w:val="97"/>
            </w:pPr>
            <w:r>
              <w:rPr>
                <w:rFonts w:hint="eastAsia"/>
              </w:rPr>
              <w:t>中文</w:t>
            </w:r>
            <w:r>
              <w:t>名称</w:t>
            </w:r>
          </w:p>
        </w:tc>
        <w:tc>
          <w:tcPr>
            <w:tcW w:w="2026" w:type="dxa"/>
            <w:gridSpan w:val="2"/>
          </w:tcPr>
          <w:p>
            <w:pPr>
              <w:pStyle w:val="97"/>
            </w:pPr>
            <w:r>
              <w:rPr>
                <w:rFonts w:hint="eastAsia"/>
              </w:rPr>
              <w:t>硫酸</w:t>
            </w:r>
          </w:p>
        </w:tc>
        <w:tc>
          <w:tcPr>
            <w:tcW w:w="2490" w:type="dxa"/>
          </w:tcPr>
          <w:p>
            <w:pPr>
              <w:pStyle w:val="97"/>
            </w:pPr>
            <w:r>
              <w:rPr>
                <w:rFonts w:hint="eastAsia"/>
              </w:rPr>
              <w:t>英文名</w:t>
            </w:r>
          </w:p>
        </w:tc>
        <w:tc>
          <w:tcPr>
            <w:tcW w:w="3008" w:type="dxa"/>
          </w:tcPr>
          <w:p>
            <w:pPr>
              <w:pStyle w:val="97"/>
            </w:pPr>
            <w:r>
              <w:t>sulfuric acid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05" w:type="dxa"/>
            <w:gridSpan w:val="2"/>
          </w:tcPr>
          <w:p>
            <w:pPr>
              <w:pStyle w:val="97"/>
            </w:pPr>
            <w:r>
              <w:rPr>
                <w:rFonts w:hint="eastAsia"/>
              </w:rPr>
              <w:t>分子量</w:t>
            </w:r>
          </w:p>
        </w:tc>
        <w:tc>
          <w:tcPr>
            <w:tcW w:w="2026" w:type="dxa"/>
            <w:gridSpan w:val="2"/>
          </w:tcPr>
          <w:p>
            <w:pPr>
              <w:pStyle w:val="97"/>
            </w:pPr>
            <w:r>
              <w:rPr>
                <w:rFonts w:hint="eastAsia"/>
              </w:rPr>
              <w:t>98.08</w:t>
            </w:r>
          </w:p>
        </w:tc>
        <w:tc>
          <w:tcPr>
            <w:tcW w:w="2490" w:type="dxa"/>
          </w:tcPr>
          <w:p>
            <w:pPr>
              <w:pStyle w:val="97"/>
            </w:pPr>
            <w:r>
              <w:rPr>
                <w:rFonts w:hint="eastAsia"/>
              </w:rPr>
              <w:t>CAS</w:t>
            </w:r>
            <w:r>
              <w:t>号</w:t>
            </w:r>
          </w:p>
        </w:tc>
        <w:tc>
          <w:tcPr>
            <w:tcW w:w="3008" w:type="dxa"/>
          </w:tcPr>
          <w:p>
            <w:pPr>
              <w:pStyle w:val="97"/>
            </w:pPr>
            <w:r>
              <w:rPr>
                <w:rFonts w:hint="eastAsia"/>
              </w:rPr>
              <w:t>7664-93-9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理化性质</w:t>
            </w:r>
          </w:p>
        </w:tc>
        <w:tc>
          <w:tcPr>
            <w:tcW w:w="1557" w:type="dxa"/>
            <w:gridSpan w:val="2"/>
          </w:tcPr>
          <w:p>
            <w:pPr>
              <w:pStyle w:val="97"/>
            </w:pPr>
            <w:r>
              <w:rPr>
                <w:rFonts w:hint="eastAsia"/>
              </w:rPr>
              <w:t>外观</w:t>
            </w:r>
            <w:r>
              <w:t>与性状</w:t>
            </w:r>
          </w:p>
        </w:tc>
        <w:tc>
          <w:tcPr>
            <w:tcW w:w="6204" w:type="dxa"/>
            <w:gridSpan w:val="3"/>
          </w:tcPr>
          <w:p>
            <w:pPr>
              <w:pStyle w:val="97"/>
            </w:pPr>
            <w:r>
              <w:rPr>
                <w:rFonts w:hint="eastAsia"/>
              </w:rPr>
              <w:t>无色有刺鼻性油状液体，是一种高沸点难挥发的强酸，具有脱水性和强氧化性。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tcPr>
          <w:p>
            <w:pPr>
              <w:pStyle w:val="97"/>
            </w:pPr>
            <w:r>
              <w:rPr>
                <w:rFonts w:hint="eastAsia"/>
              </w:rPr>
              <w:t>主要</w:t>
            </w:r>
            <w:r>
              <w:t>用途</w:t>
            </w:r>
          </w:p>
        </w:tc>
        <w:tc>
          <w:tcPr>
            <w:tcW w:w="6204" w:type="dxa"/>
            <w:gridSpan w:val="3"/>
          </w:tcPr>
          <w:p>
            <w:pPr>
              <w:pStyle w:val="97"/>
            </w:pPr>
            <w:r>
              <w:rPr>
                <w:rFonts w:hint="eastAsia"/>
              </w:rPr>
              <w:t>用于化肥工业，冶金工业，金属加工，石油工业等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tcPr>
          <w:p>
            <w:pPr>
              <w:pStyle w:val="97"/>
            </w:pPr>
            <w:r>
              <w:rPr>
                <w:rFonts w:hint="eastAsia"/>
              </w:rPr>
              <w:t>熔点</w:t>
            </w:r>
          </w:p>
        </w:tc>
        <w:tc>
          <w:tcPr>
            <w:tcW w:w="6204" w:type="dxa"/>
            <w:gridSpan w:val="3"/>
          </w:tcPr>
          <w:p>
            <w:pPr>
              <w:pStyle w:val="97"/>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tcPr>
          <w:p>
            <w:pPr>
              <w:pStyle w:val="97"/>
            </w:pPr>
            <w:r>
              <w:rPr>
                <w:rFonts w:hint="eastAsia"/>
              </w:rPr>
              <w:t>沸点</w:t>
            </w:r>
            <w:r>
              <w:t>（</w:t>
            </w:r>
            <w:r>
              <w:rPr>
                <w:rFonts w:hint="eastAsia"/>
              </w:rPr>
              <w:t>100%</w:t>
            </w:r>
            <w:r>
              <w:t>）</w:t>
            </w:r>
          </w:p>
        </w:tc>
        <w:tc>
          <w:tcPr>
            <w:tcW w:w="6204" w:type="dxa"/>
            <w:gridSpan w:val="3"/>
          </w:tcPr>
          <w:p>
            <w:pPr>
              <w:pStyle w:val="97"/>
            </w:pPr>
            <w:r>
              <w:rPr>
                <w:rFonts w:hint="eastAsia"/>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tcPr>
          <w:p>
            <w:pPr>
              <w:pStyle w:val="97"/>
            </w:pPr>
            <w:r>
              <w:rPr>
                <w:rFonts w:hint="eastAsia"/>
              </w:rPr>
              <w:t>密度</w:t>
            </w:r>
            <w:r>
              <w:t>（</w:t>
            </w:r>
            <w:r>
              <w:rPr>
                <w:rFonts w:hint="eastAsia"/>
              </w:rPr>
              <w:t>100</w:t>
            </w:r>
            <w:r>
              <w:t>%）</w:t>
            </w:r>
          </w:p>
        </w:tc>
        <w:tc>
          <w:tcPr>
            <w:tcW w:w="6204" w:type="dxa"/>
            <w:gridSpan w:val="3"/>
          </w:tcPr>
          <w:p>
            <w:pPr>
              <w:pStyle w:val="97"/>
            </w:pPr>
            <w:r>
              <w:rPr>
                <w:rFonts w:hint="eastAsia"/>
              </w:rPr>
              <w:t>98%浓硫酸1.84g/ml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燃烧</w:t>
            </w:r>
            <w:r>
              <w:t>爆炸危险性</w:t>
            </w:r>
          </w:p>
        </w:tc>
        <w:tc>
          <w:tcPr>
            <w:tcW w:w="1557" w:type="dxa"/>
            <w:gridSpan w:val="2"/>
            <w:vAlign w:val="center"/>
          </w:tcPr>
          <w:p>
            <w:pPr>
              <w:pStyle w:val="97"/>
            </w:pPr>
            <w:r>
              <w:rPr>
                <w:rFonts w:hint="eastAsia"/>
              </w:rPr>
              <w:t>燃烧性</w:t>
            </w:r>
          </w:p>
        </w:tc>
        <w:tc>
          <w:tcPr>
            <w:tcW w:w="6204" w:type="dxa"/>
            <w:gridSpan w:val="3"/>
            <w:vAlign w:val="center"/>
          </w:tcPr>
          <w:p>
            <w:pPr>
              <w:pStyle w:val="97"/>
            </w:pPr>
            <w:r>
              <w:rPr>
                <w:rFonts w:hint="eastAsia"/>
              </w:rPr>
              <w:t>不燃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危险</w:t>
            </w:r>
            <w:r>
              <w:t>特性</w:t>
            </w:r>
          </w:p>
        </w:tc>
        <w:tc>
          <w:tcPr>
            <w:tcW w:w="6204" w:type="dxa"/>
            <w:gridSpan w:val="3"/>
            <w:vAlign w:val="center"/>
          </w:tcPr>
          <w:p>
            <w:pPr>
              <w:pStyle w:val="97"/>
              <w:jc w:val="left"/>
            </w:pPr>
            <w:r>
              <w:t>遇水大量放热，可发生沸溅。与易燃物（如苯）和可燃物（如糖、纤维素等）接触会发生剧烈反应，甚至引起燃烧。遇电石、高氯酸盐、雷酸盐、硝酸盐、苦味酸盐、金属粉末等猛烈反应，发生爆炸或燃烧。有强烈的腐蚀性和吸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燃烧</w:t>
            </w:r>
            <w:r>
              <w:t>（</w:t>
            </w:r>
            <w:r>
              <w:rPr>
                <w:rFonts w:hint="eastAsia"/>
              </w:rPr>
              <w:t>分解</w:t>
            </w:r>
            <w:r>
              <w:t>）</w:t>
            </w:r>
            <w:r>
              <w:rPr>
                <w:rFonts w:hint="eastAsia"/>
              </w:rPr>
              <w:t>产污</w:t>
            </w:r>
          </w:p>
        </w:tc>
        <w:tc>
          <w:tcPr>
            <w:tcW w:w="6204" w:type="dxa"/>
            <w:gridSpan w:val="3"/>
            <w:vAlign w:val="center"/>
          </w:tcPr>
          <w:p>
            <w:pPr>
              <w:pStyle w:val="97"/>
              <w:jc w:val="left"/>
            </w:pPr>
            <w:r>
              <w:rPr>
                <w:rFonts w:hint="eastAsia"/>
              </w:rPr>
              <w:t>二氧化硫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稳定性</w:t>
            </w:r>
          </w:p>
        </w:tc>
        <w:tc>
          <w:tcPr>
            <w:tcW w:w="6204" w:type="dxa"/>
            <w:gridSpan w:val="3"/>
            <w:vAlign w:val="center"/>
          </w:tcPr>
          <w:p>
            <w:pPr>
              <w:pStyle w:val="97"/>
              <w:jc w:val="left"/>
            </w:pPr>
            <w:r>
              <w:rPr>
                <w:rFonts w:hint="eastAsia"/>
              </w:rPr>
              <w:t>100%的硫酸不稳定，加热沸腾时会分解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灭火方法</w:t>
            </w:r>
          </w:p>
        </w:tc>
        <w:tc>
          <w:tcPr>
            <w:tcW w:w="6204" w:type="dxa"/>
            <w:gridSpan w:val="3"/>
            <w:vAlign w:val="center"/>
          </w:tcPr>
          <w:p>
            <w:pPr>
              <w:pStyle w:val="97"/>
              <w:jc w:val="left"/>
            </w:pPr>
            <w:r>
              <w:t>消防人员必须穿全身耐酸碱消防服。灭火剂采用干粉、二氧化碳、砂土。避免水流冲击物品，以免遇水会放出大量热量发生喷溅而灼伤皮肤。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毒性</w:t>
            </w:r>
            <w:r>
              <w:t>危害</w:t>
            </w:r>
          </w:p>
        </w:tc>
        <w:tc>
          <w:tcPr>
            <w:tcW w:w="1557" w:type="dxa"/>
            <w:gridSpan w:val="2"/>
          </w:tcPr>
          <w:p>
            <w:pPr>
              <w:pStyle w:val="97"/>
            </w:pPr>
            <w:r>
              <w:rPr>
                <w:rFonts w:hint="eastAsia"/>
              </w:rPr>
              <w:t>接触</w:t>
            </w:r>
            <w:r>
              <w:t>限值</w:t>
            </w:r>
          </w:p>
        </w:tc>
        <w:tc>
          <w:tcPr>
            <w:tcW w:w="6204" w:type="dxa"/>
            <w:gridSpan w:val="3"/>
            <w:vAlign w:val="center"/>
          </w:tcPr>
          <w:p>
            <w:pPr>
              <w:pStyle w:val="97"/>
            </w:pPr>
            <w:r>
              <w:t>MAC:---TWA:1mg/m</w:t>
            </w:r>
            <w:r>
              <w:rPr>
                <w:vertAlign w:val="superscript"/>
              </w:rPr>
              <w:t>3</w:t>
            </w:r>
            <w:r>
              <w:t xml:space="preserve">  STEL:2mg/m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1557" w:type="dxa"/>
            <w:gridSpan w:val="2"/>
          </w:tcPr>
          <w:p>
            <w:pPr>
              <w:pStyle w:val="97"/>
            </w:pPr>
            <w:r>
              <w:rPr>
                <w:rFonts w:hint="eastAsia"/>
              </w:rPr>
              <w:t>侵入途径</w:t>
            </w:r>
          </w:p>
        </w:tc>
        <w:tc>
          <w:tcPr>
            <w:tcW w:w="6204" w:type="dxa"/>
            <w:gridSpan w:val="3"/>
            <w:vAlign w:val="center"/>
          </w:tcPr>
          <w:p>
            <w:pPr>
              <w:pStyle w:val="97"/>
            </w:pPr>
            <w:r>
              <w:rPr>
                <w:rFonts w:hint="eastAsia"/>
              </w:rPr>
              <w:t>可经呼吸道、消化道及皮肤迅速吸收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1557" w:type="dxa"/>
            <w:gridSpan w:val="2"/>
            <w:vAlign w:val="center"/>
          </w:tcPr>
          <w:p>
            <w:pPr>
              <w:pStyle w:val="97"/>
            </w:pPr>
            <w:r>
              <w:rPr>
                <w:rFonts w:hint="eastAsia"/>
              </w:rPr>
              <w:t>毒性</w:t>
            </w:r>
          </w:p>
        </w:tc>
        <w:tc>
          <w:tcPr>
            <w:tcW w:w="6204" w:type="dxa"/>
            <w:gridSpan w:val="3"/>
            <w:vAlign w:val="center"/>
          </w:tcPr>
          <w:p>
            <w:pPr>
              <w:pStyle w:val="97"/>
              <w:jc w:val="left"/>
            </w:pPr>
            <w:r>
              <w:rPr>
                <w:rFonts w:hint="eastAsia"/>
              </w:rPr>
              <w:t>大鼠经口LD50：2140mg/kg；吸入LC50：510mg/m</w:t>
            </w:r>
            <w:r>
              <w:rPr>
                <w:vertAlign w:val="superscript"/>
              </w:rPr>
              <w:t>3</w:t>
            </w:r>
            <w:r>
              <w:rPr>
                <w:rFonts w:hint="eastAsia"/>
              </w:rPr>
              <w:t>/2H。小鼠吸入LC50：320mg/m</w:t>
            </w:r>
            <w:r>
              <w:rPr>
                <w:rFonts w:hint="eastAsia"/>
                <w:vertAlign w:val="superscript"/>
              </w:rPr>
              <w:t>3</w:t>
            </w:r>
            <w:r>
              <w:rPr>
                <w:rFonts w:hint="eastAsia"/>
              </w:rPr>
              <w:t>/2H。人的嗅觉阀为1mg/m</w:t>
            </w:r>
            <w:r>
              <w:rPr>
                <w:rFonts w:hint="eastAsia"/>
                <w:vertAlign w:val="superscript"/>
              </w:rPr>
              <w:t>3</w:t>
            </w:r>
            <w:r>
              <w:rPr>
                <w:rFonts w:hint="eastAsia"/>
              </w:rPr>
              <w:t>。2mg/m</w:t>
            </w:r>
            <w:r>
              <w:rPr>
                <w:rFonts w:hint="eastAsia"/>
                <w:vertAlign w:val="superscript"/>
              </w:rPr>
              <w:t>3</w:t>
            </w:r>
            <w:r>
              <w:rPr>
                <w:rFonts w:hint="eastAsia"/>
              </w:rPr>
              <w:t>浓度可引起鼻、咽部刺激症状，6~8mg/m</w:t>
            </w:r>
            <w:r>
              <w:rPr>
                <w:rFonts w:hint="eastAsia"/>
                <w:vertAlign w:val="superscript"/>
              </w:rPr>
              <w:t>3</w:t>
            </w:r>
            <w:r>
              <w:rPr>
                <w:rFonts w:hint="eastAsia"/>
              </w:rPr>
              <w:t>引起剧烈咳嗽。口服浓硫酸1ml可致死。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vAlign w:val="center"/>
          </w:tcPr>
          <w:p>
            <w:pPr>
              <w:pStyle w:val="97"/>
            </w:pPr>
          </w:p>
        </w:tc>
        <w:tc>
          <w:tcPr>
            <w:tcW w:w="1557" w:type="dxa"/>
            <w:gridSpan w:val="2"/>
            <w:vAlign w:val="center"/>
          </w:tcPr>
          <w:p>
            <w:pPr>
              <w:pStyle w:val="97"/>
            </w:pPr>
            <w:r>
              <w:rPr>
                <w:rFonts w:hint="eastAsia"/>
              </w:rPr>
              <w:t>健康</w:t>
            </w:r>
            <w:r>
              <w:t>危害</w:t>
            </w:r>
          </w:p>
        </w:tc>
        <w:tc>
          <w:tcPr>
            <w:tcW w:w="6204" w:type="dxa"/>
            <w:gridSpan w:val="3"/>
            <w:vAlign w:val="center"/>
          </w:tcPr>
          <w:p>
            <w:pPr>
              <w:pStyle w:val="97"/>
              <w:jc w:val="left"/>
            </w:pPr>
            <w:r>
              <w:rPr>
                <w:rFonts w:hint="eastAsia"/>
              </w:rPr>
              <w:t>对操作人员的牙齿和上呼吸疲乏造成伤害。目前列入法定职业病名单中的为牙酸蚀病，呼吸道的过敏性炎症虽然未列入法定职业病之中，但也应受到关注。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restart"/>
            <w:vAlign w:val="center"/>
          </w:tcPr>
          <w:p>
            <w:pPr>
              <w:pStyle w:val="97"/>
            </w:pPr>
            <w:r>
              <w:rPr>
                <w:rFonts w:hint="eastAsia"/>
              </w:rPr>
              <w:t>急救</w:t>
            </w:r>
          </w:p>
        </w:tc>
        <w:tc>
          <w:tcPr>
            <w:tcW w:w="1557" w:type="dxa"/>
            <w:gridSpan w:val="2"/>
            <w:vAlign w:val="center"/>
          </w:tcPr>
          <w:p>
            <w:pPr>
              <w:pStyle w:val="97"/>
            </w:pPr>
            <w:r>
              <w:rPr>
                <w:rFonts w:hint="eastAsia"/>
              </w:rPr>
              <w:t>皮肤接触</w:t>
            </w:r>
          </w:p>
        </w:tc>
        <w:tc>
          <w:tcPr>
            <w:tcW w:w="6204" w:type="dxa"/>
            <w:gridSpan w:val="3"/>
            <w:vAlign w:val="center"/>
          </w:tcPr>
          <w:p>
            <w:pPr>
              <w:pStyle w:val="97"/>
              <w:jc w:val="left"/>
            </w:pPr>
            <w:r>
              <w:rPr>
                <w:rFonts w:hint="eastAsia"/>
              </w:rPr>
              <w:t>立即脱去污染的衣看，用大重流动滑水冲洗全少15分钟，然后涂抹碳酸氢钠（俗名小苏打）。就医。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眼睛</w:t>
            </w:r>
            <w:r>
              <w:t>接触</w:t>
            </w:r>
          </w:p>
        </w:tc>
        <w:tc>
          <w:tcPr>
            <w:tcW w:w="6204" w:type="dxa"/>
            <w:gridSpan w:val="3"/>
            <w:vAlign w:val="center"/>
          </w:tcPr>
          <w:p>
            <w:pPr>
              <w:pStyle w:val="97"/>
              <w:jc w:val="left"/>
            </w:pPr>
            <w:r>
              <w:rPr>
                <w:rFonts w:hint="eastAsia"/>
              </w:rPr>
              <w:t>立即提起眼睑，用大量流动清水或生理盐水彻底冲洗至少15分钟。就医。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吸入</w:t>
            </w:r>
          </w:p>
        </w:tc>
        <w:tc>
          <w:tcPr>
            <w:tcW w:w="6204" w:type="dxa"/>
            <w:gridSpan w:val="3"/>
            <w:vAlign w:val="center"/>
          </w:tcPr>
          <w:p>
            <w:pPr>
              <w:pStyle w:val="97"/>
              <w:jc w:val="left"/>
            </w:pPr>
            <w:r>
              <w:rPr>
                <w:szCs w:val="24"/>
                <w:lang w:val="zh-CN"/>
              </w:rPr>
              <w:t>迅速脱离现场至空气新鲜处。保持呼吸道通畅。如呼吸困难，给输氧。如呼吸停止，立即进行人工呼吸。就医。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68" w:type="dxa"/>
            <w:vMerge w:val="continue"/>
          </w:tcPr>
          <w:p>
            <w:pPr>
              <w:pStyle w:val="97"/>
            </w:pPr>
          </w:p>
        </w:tc>
        <w:tc>
          <w:tcPr>
            <w:tcW w:w="1557" w:type="dxa"/>
            <w:gridSpan w:val="2"/>
            <w:vAlign w:val="center"/>
          </w:tcPr>
          <w:p>
            <w:pPr>
              <w:pStyle w:val="97"/>
            </w:pPr>
            <w:r>
              <w:rPr>
                <w:rFonts w:hint="eastAsia"/>
              </w:rPr>
              <w:t>食入</w:t>
            </w:r>
          </w:p>
        </w:tc>
        <w:tc>
          <w:tcPr>
            <w:tcW w:w="6204" w:type="dxa"/>
            <w:gridSpan w:val="3"/>
            <w:vAlign w:val="center"/>
          </w:tcPr>
          <w:p>
            <w:pPr>
              <w:pStyle w:val="97"/>
              <w:jc w:val="left"/>
            </w:pPr>
            <w:r>
              <w:rPr>
                <w:szCs w:val="24"/>
                <w:lang w:val="zh-CN"/>
              </w:rPr>
              <w:t>用水漱口，给饮牛奶或蛋清。就</w:t>
            </w:r>
          </w:p>
        </w:tc>
      </w:tr>
    </w:tbl>
    <w:p>
      <w:pPr>
        <w:pStyle w:val="4"/>
      </w:pPr>
      <w:r>
        <w:rPr>
          <w:rFonts w:hint="eastAsia"/>
        </w:rPr>
        <w:t>生产系统</w:t>
      </w:r>
      <w:r>
        <w:t>危险性识别</w:t>
      </w:r>
    </w:p>
    <w:p>
      <w:pPr>
        <w:ind w:firstLine="480"/>
        <w:rPr>
          <w:kern w:val="0"/>
        </w:rPr>
      </w:pPr>
      <w:r>
        <w:rPr>
          <w:kern w:val="0"/>
        </w:rPr>
        <w:t>根据厂区总平面布置图，对危险化学品从生产装置</w:t>
      </w:r>
      <w:r>
        <w:rPr>
          <w:rFonts w:hint="eastAsia"/>
          <w:kern w:val="0"/>
        </w:rPr>
        <w:t>、</w:t>
      </w:r>
      <w:r>
        <w:rPr>
          <w:kern w:val="0"/>
        </w:rPr>
        <w:t>储罐区</w:t>
      </w:r>
      <w:r>
        <w:rPr>
          <w:rFonts w:hint="eastAsia"/>
          <w:kern w:val="0"/>
        </w:rPr>
        <w:t>、</w:t>
      </w:r>
      <w:r>
        <w:rPr>
          <w:kern w:val="0"/>
        </w:rPr>
        <w:t>危险废物暂存间等部分进行功能单元划分。各单元划分情况如下表6.6-5。</w:t>
      </w:r>
    </w:p>
    <w:p>
      <w:pPr>
        <w:pStyle w:val="93"/>
      </w:pPr>
    </w:p>
    <w:p>
      <w:pPr>
        <w:pStyle w:val="93"/>
        <w:rPr>
          <w:rFonts w:hAnsi="Times New Roman"/>
          <w:kern w:val="0"/>
          <w:sz w:val="24"/>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6.6</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5</w:t>
      </w:r>
      <w:r>
        <w:fldChar w:fldCharType="end"/>
      </w:r>
      <w:r>
        <w:rPr>
          <w:rFonts w:hAnsi="Times New Roman"/>
          <w:kern w:val="0"/>
          <w:sz w:val="24"/>
        </w:rPr>
        <w:t xml:space="preserve">  风险评价单元划分表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949"/>
        <w:gridCol w:w="2949"/>
        <w:gridCol w:w="2408"/>
        <w:gridCol w:w="21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626" w:type="dxa"/>
            <w:shd w:val="clear" w:color="auto" w:fill="auto"/>
            <w:vAlign w:val="center"/>
          </w:tcPr>
          <w:p>
            <w:pPr>
              <w:pStyle w:val="97"/>
            </w:pPr>
            <w:r>
              <w:t>序号</w:t>
            </w:r>
          </w:p>
        </w:tc>
        <w:tc>
          <w:tcPr>
            <w:tcW w:w="949" w:type="dxa"/>
            <w:shd w:val="clear" w:color="auto" w:fill="auto"/>
            <w:vAlign w:val="center"/>
          </w:tcPr>
          <w:p>
            <w:pPr>
              <w:pStyle w:val="97"/>
            </w:pPr>
            <w:r>
              <w:t>单元</w:t>
            </w:r>
          </w:p>
        </w:tc>
        <w:tc>
          <w:tcPr>
            <w:tcW w:w="2949" w:type="dxa"/>
            <w:shd w:val="clear" w:color="auto" w:fill="auto"/>
            <w:vAlign w:val="center"/>
          </w:tcPr>
          <w:p>
            <w:pPr>
              <w:pStyle w:val="97"/>
            </w:pPr>
            <w:r>
              <w:t>对应事故装置</w:t>
            </w:r>
          </w:p>
        </w:tc>
        <w:tc>
          <w:tcPr>
            <w:tcW w:w="2408" w:type="dxa"/>
            <w:shd w:val="clear" w:color="auto" w:fill="auto"/>
            <w:vAlign w:val="center"/>
          </w:tcPr>
          <w:p>
            <w:pPr>
              <w:pStyle w:val="97"/>
            </w:pPr>
            <w:r>
              <w:t>事故类型</w:t>
            </w:r>
          </w:p>
        </w:tc>
        <w:tc>
          <w:tcPr>
            <w:tcW w:w="2108" w:type="dxa"/>
            <w:shd w:val="clear" w:color="auto" w:fill="auto"/>
            <w:vAlign w:val="center"/>
          </w:tcPr>
          <w:p>
            <w:pPr>
              <w:pStyle w:val="97"/>
            </w:pPr>
            <w:r>
              <w:t>危险物质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26" w:type="dxa"/>
            <w:shd w:val="clear" w:color="auto" w:fill="auto"/>
            <w:vAlign w:val="center"/>
          </w:tcPr>
          <w:p>
            <w:pPr>
              <w:pStyle w:val="97"/>
            </w:pPr>
            <w:r>
              <w:t>1</w:t>
            </w:r>
          </w:p>
        </w:tc>
        <w:tc>
          <w:tcPr>
            <w:tcW w:w="949" w:type="dxa"/>
            <w:shd w:val="clear" w:color="auto" w:fill="auto"/>
            <w:vAlign w:val="center"/>
          </w:tcPr>
          <w:p>
            <w:pPr>
              <w:pStyle w:val="97"/>
            </w:pPr>
            <w:r>
              <w:rPr>
                <w:rFonts w:hint="eastAsia" w:ascii="宋体" w:hAnsi="宋体" w:cs="宋体"/>
              </w:rPr>
              <w:t>生产</w:t>
            </w:r>
            <w:r>
              <w:rPr>
                <w:rFonts w:ascii="宋体" w:hAnsi="宋体" w:cs="宋体"/>
              </w:rPr>
              <w:t>单元</w:t>
            </w:r>
          </w:p>
        </w:tc>
        <w:tc>
          <w:tcPr>
            <w:tcW w:w="2949" w:type="dxa"/>
            <w:shd w:val="clear" w:color="auto" w:fill="auto"/>
            <w:vAlign w:val="center"/>
          </w:tcPr>
          <w:p>
            <w:pPr>
              <w:pStyle w:val="97"/>
            </w:pPr>
            <w:r>
              <w:rPr>
                <w:rFonts w:hint="eastAsia"/>
              </w:rPr>
              <w:t>生产车间的甲醇</w:t>
            </w:r>
            <w:r>
              <w:t>萃取</w:t>
            </w:r>
            <w:r>
              <w:rPr>
                <w:rFonts w:hint="eastAsia"/>
              </w:rPr>
              <w:t>、酸解</w:t>
            </w:r>
            <w:r>
              <w:t>、石油醚提取装置</w:t>
            </w:r>
          </w:p>
        </w:tc>
        <w:tc>
          <w:tcPr>
            <w:tcW w:w="2408" w:type="dxa"/>
            <w:shd w:val="clear" w:color="auto" w:fill="auto"/>
            <w:vAlign w:val="center"/>
          </w:tcPr>
          <w:p>
            <w:pPr>
              <w:pStyle w:val="97"/>
            </w:pPr>
            <w:r>
              <w:t>泄漏</w:t>
            </w:r>
            <w:r>
              <w:rPr>
                <w:rFonts w:hint="eastAsia"/>
              </w:rPr>
              <w:t>、</w:t>
            </w:r>
            <w:r>
              <w:t>火灾</w:t>
            </w:r>
            <w:r>
              <w:rPr>
                <w:rFonts w:hint="eastAsia"/>
              </w:rPr>
              <w:t>、</w:t>
            </w:r>
            <w:r>
              <w:t>爆炸引起的次生环境问题</w:t>
            </w:r>
          </w:p>
        </w:tc>
        <w:tc>
          <w:tcPr>
            <w:tcW w:w="2108" w:type="dxa"/>
            <w:shd w:val="clear" w:color="auto" w:fill="auto"/>
            <w:vAlign w:val="center"/>
          </w:tcPr>
          <w:p>
            <w:pPr>
              <w:pStyle w:val="97"/>
            </w:pPr>
            <w:r>
              <w:rPr>
                <w:rFonts w:hint="eastAsia"/>
              </w:rPr>
              <w:t>甲醇、</w:t>
            </w:r>
            <w:r>
              <w:t>硫酸、石油醚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26" w:type="dxa"/>
            <w:shd w:val="clear" w:color="auto" w:fill="auto"/>
            <w:vAlign w:val="center"/>
          </w:tcPr>
          <w:p>
            <w:pPr>
              <w:pStyle w:val="97"/>
            </w:pPr>
            <w:r>
              <w:t>2</w:t>
            </w:r>
          </w:p>
        </w:tc>
        <w:tc>
          <w:tcPr>
            <w:tcW w:w="949" w:type="dxa"/>
            <w:shd w:val="clear" w:color="auto" w:fill="auto"/>
            <w:vAlign w:val="center"/>
          </w:tcPr>
          <w:p>
            <w:pPr>
              <w:pStyle w:val="97"/>
            </w:pPr>
            <w:r>
              <w:rPr>
                <w:rFonts w:hint="eastAsia" w:ascii="宋体" w:hAnsi="宋体" w:cs="宋体"/>
              </w:rPr>
              <w:t>储存单元</w:t>
            </w:r>
          </w:p>
        </w:tc>
        <w:tc>
          <w:tcPr>
            <w:tcW w:w="2949" w:type="dxa"/>
            <w:shd w:val="clear" w:color="auto" w:fill="auto"/>
            <w:vAlign w:val="center"/>
          </w:tcPr>
          <w:p>
            <w:pPr>
              <w:pStyle w:val="97"/>
            </w:pPr>
            <w:r>
              <w:rPr>
                <w:rFonts w:hint="eastAsia"/>
              </w:rPr>
              <w:t>甲醇储罐、</w:t>
            </w:r>
            <w:r>
              <w:t>石油醚储罐</w:t>
            </w:r>
          </w:p>
        </w:tc>
        <w:tc>
          <w:tcPr>
            <w:tcW w:w="2408" w:type="dxa"/>
            <w:shd w:val="clear" w:color="auto" w:fill="auto"/>
            <w:vAlign w:val="center"/>
          </w:tcPr>
          <w:p>
            <w:pPr>
              <w:pStyle w:val="97"/>
            </w:pPr>
            <w:r>
              <w:t>泄漏</w:t>
            </w:r>
            <w:r>
              <w:rPr>
                <w:rFonts w:hint="eastAsia"/>
              </w:rPr>
              <w:t>、</w:t>
            </w:r>
            <w:r>
              <w:t>火灾</w:t>
            </w:r>
            <w:r>
              <w:rPr>
                <w:rFonts w:hint="eastAsia"/>
              </w:rPr>
              <w:t>、</w:t>
            </w:r>
            <w:r>
              <w:t>爆炸引起的次生环境问题</w:t>
            </w:r>
          </w:p>
        </w:tc>
        <w:tc>
          <w:tcPr>
            <w:tcW w:w="2108" w:type="dxa"/>
            <w:shd w:val="clear" w:color="auto" w:fill="auto"/>
            <w:vAlign w:val="center"/>
          </w:tcPr>
          <w:p>
            <w:pPr>
              <w:pStyle w:val="97"/>
            </w:pPr>
            <w:r>
              <w:t>甲醇、</w:t>
            </w:r>
            <w:r>
              <w:rPr>
                <w:rFonts w:hint="eastAsia"/>
              </w:rPr>
              <w:t>石油醚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26" w:type="dxa"/>
            <w:shd w:val="clear" w:color="auto" w:fill="auto"/>
            <w:vAlign w:val="center"/>
          </w:tcPr>
          <w:p>
            <w:pPr>
              <w:pStyle w:val="97"/>
            </w:pPr>
            <w:r>
              <w:rPr>
                <w:rFonts w:hint="eastAsia"/>
              </w:rPr>
              <w:t>3</w:t>
            </w:r>
          </w:p>
        </w:tc>
        <w:tc>
          <w:tcPr>
            <w:tcW w:w="949" w:type="dxa"/>
            <w:shd w:val="clear" w:color="auto" w:fill="auto"/>
            <w:vAlign w:val="center"/>
          </w:tcPr>
          <w:p>
            <w:pPr>
              <w:pStyle w:val="97"/>
              <w:rPr>
                <w:rFonts w:ascii="宋体" w:hAnsi="宋体" w:cs="宋体"/>
              </w:rPr>
            </w:pPr>
            <w:r>
              <w:rPr>
                <w:rFonts w:hint="eastAsia" w:ascii="宋体" w:hAnsi="宋体" w:cs="宋体"/>
              </w:rPr>
              <w:t>危废</w:t>
            </w:r>
            <w:r>
              <w:rPr>
                <w:rFonts w:ascii="宋体" w:hAnsi="宋体" w:cs="宋体"/>
              </w:rPr>
              <w:t>暂存</w:t>
            </w:r>
          </w:p>
        </w:tc>
        <w:tc>
          <w:tcPr>
            <w:tcW w:w="2949" w:type="dxa"/>
            <w:shd w:val="clear" w:color="auto" w:fill="auto"/>
            <w:vAlign w:val="center"/>
          </w:tcPr>
          <w:p>
            <w:pPr>
              <w:pStyle w:val="97"/>
            </w:pPr>
            <w:r>
              <w:rPr>
                <w:rFonts w:hint="eastAsia"/>
              </w:rPr>
              <w:t>危险废物</w:t>
            </w:r>
            <w:r>
              <w:t>暂存间</w:t>
            </w:r>
          </w:p>
        </w:tc>
        <w:tc>
          <w:tcPr>
            <w:tcW w:w="2408" w:type="dxa"/>
            <w:shd w:val="clear" w:color="auto" w:fill="auto"/>
            <w:vAlign w:val="center"/>
          </w:tcPr>
          <w:p>
            <w:pPr>
              <w:pStyle w:val="97"/>
            </w:pPr>
            <w:r>
              <w:t>泄漏</w:t>
            </w:r>
            <w:r>
              <w:rPr>
                <w:rFonts w:hint="eastAsia"/>
              </w:rPr>
              <w:t>、</w:t>
            </w:r>
            <w:r>
              <w:t>火灾</w:t>
            </w:r>
            <w:r>
              <w:rPr>
                <w:rFonts w:hint="eastAsia"/>
              </w:rPr>
              <w:t>、</w:t>
            </w:r>
            <w:r>
              <w:t>爆炸引起的次生环境问题</w:t>
            </w:r>
          </w:p>
        </w:tc>
        <w:tc>
          <w:tcPr>
            <w:tcW w:w="2108" w:type="dxa"/>
            <w:shd w:val="clear" w:color="auto" w:fill="auto"/>
            <w:vAlign w:val="center"/>
          </w:tcPr>
          <w:p>
            <w:pPr>
              <w:pStyle w:val="97"/>
            </w:pPr>
            <w:r>
              <w:t>废含油抹布等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trPr>
        <w:tc>
          <w:tcPr>
            <w:tcW w:w="626" w:type="dxa"/>
            <w:shd w:val="clear" w:color="auto" w:fill="auto"/>
            <w:vAlign w:val="center"/>
          </w:tcPr>
          <w:p>
            <w:pPr>
              <w:pStyle w:val="97"/>
            </w:pPr>
            <w:r>
              <w:rPr>
                <w:rFonts w:hint="eastAsia"/>
              </w:rPr>
              <w:t>4</w:t>
            </w:r>
          </w:p>
        </w:tc>
        <w:tc>
          <w:tcPr>
            <w:tcW w:w="949" w:type="dxa"/>
            <w:shd w:val="clear" w:color="auto" w:fill="auto"/>
            <w:vAlign w:val="center"/>
          </w:tcPr>
          <w:p>
            <w:pPr>
              <w:pStyle w:val="97"/>
              <w:rPr>
                <w:rFonts w:ascii="宋体" w:hAnsi="宋体" w:cs="宋体"/>
              </w:rPr>
            </w:pPr>
            <w:r>
              <w:rPr>
                <w:rFonts w:hint="eastAsia" w:ascii="宋体" w:hAnsi="宋体" w:cs="宋体"/>
              </w:rPr>
              <w:t>废气</w:t>
            </w:r>
            <w:r>
              <w:rPr>
                <w:rFonts w:ascii="宋体" w:hAnsi="宋体" w:cs="宋体"/>
              </w:rPr>
              <w:t>处理单元</w:t>
            </w:r>
          </w:p>
        </w:tc>
        <w:tc>
          <w:tcPr>
            <w:tcW w:w="2949" w:type="dxa"/>
            <w:shd w:val="clear" w:color="auto" w:fill="auto"/>
            <w:vAlign w:val="center"/>
          </w:tcPr>
          <w:p>
            <w:pPr>
              <w:pStyle w:val="97"/>
            </w:pPr>
            <w:r>
              <w:rPr>
                <w:rFonts w:hint="eastAsia"/>
              </w:rPr>
              <w:t>废气</w:t>
            </w:r>
            <w:r>
              <w:t>处理装置</w:t>
            </w:r>
          </w:p>
        </w:tc>
        <w:tc>
          <w:tcPr>
            <w:tcW w:w="2408" w:type="dxa"/>
            <w:shd w:val="clear" w:color="auto" w:fill="auto"/>
            <w:vAlign w:val="center"/>
          </w:tcPr>
          <w:p>
            <w:pPr>
              <w:pStyle w:val="97"/>
            </w:pPr>
            <w:r>
              <w:rPr>
                <w:rFonts w:hint="eastAsia"/>
              </w:rPr>
              <w:t>泄漏</w:t>
            </w:r>
            <w:r>
              <w:t>、火灾</w:t>
            </w:r>
            <w:r>
              <w:rPr>
                <w:rFonts w:hint="eastAsia"/>
              </w:rPr>
              <w:t>、</w:t>
            </w:r>
            <w:r>
              <w:t>爆炸引起的次生环境问题</w:t>
            </w:r>
          </w:p>
        </w:tc>
        <w:tc>
          <w:tcPr>
            <w:tcW w:w="2108" w:type="dxa"/>
            <w:shd w:val="clear" w:color="auto" w:fill="auto"/>
            <w:vAlign w:val="center"/>
          </w:tcPr>
          <w:p>
            <w:pPr>
              <w:pStyle w:val="97"/>
            </w:pPr>
            <w:r>
              <w:rPr>
                <w:rFonts w:hint="eastAsia"/>
              </w:rPr>
              <w:t>非甲烷</w:t>
            </w:r>
            <w:r>
              <w:t>总烃（</w:t>
            </w:r>
            <w:r>
              <w:rPr>
                <w:rFonts w:hint="eastAsia"/>
              </w:rPr>
              <w:t>甲醇</w:t>
            </w:r>
            <w:r>
              <w:t>、石油醚）</w:t>
            </w:r>
          </w:p>
        </w:tc>
      </w:tr>
    </w:tbl>
    <w:p>
      <w:pPr>
        <w:pStyle w:val="4"/>
      </w:pPr>
      <w:r>
        <w:rPr>
          <w:rFonts w:hint="eastAsia"/>
        </w:rPr>
        <w:t>环境影响扩散途径</w:t>
      </w:r>
      <w:r>
        <w:t>识别</w:t>
      </w:r>
    </w:p>
    <w:p>
      <w:pPr>
        <w:pStyle w:val="87"/>
        <w:ind w:firstLine="480"/>
      </w:pPr>
      <w:r>
        <w:rPr>
          <w:rFonts w:hint="eastAsia"/>
        </w:rPr>
        <w:t>项目存在的环境风险主要为原辅材料泄漏事故、泄漏物质发生的火灾、爆炸引发</w:t>
      </w:r>
      <w:r>
        <w:t>的次生环境问题，</w:t>
      </w:r>
      <w:r>
        <w:rPr>
          <w:rFonts w:hint="eastAsia"/>
        </w:rPr>
        <w:t>废气处理设施故障引起的污染物超标排放。其中若泄漏的风险物质、火灾事故衍生的消防废水未采取相应的堵漏及截流措施，则泄漏物及消防废水会通过地表水的途径对厂区外地下水、地表水、土壤环境产生影响；泄漏、火灾事故产生的废气、废气处理系统故障产生的超标废气通过大气扩散的途径对周围环境产生影响。</w:t>
      </w:r>
    </w:p>
    <w:p>
      <w:pPr>
        <w:pStyle w:val="4"/>
      </w:pPr>
      <w:r>
        <w:rPr>
          <w:rFonts w:hint="eastAsia"/>
        </w:rPr>
        <w:t>环境风险</w:t>
      </w:r>
      <w:r>
        <w:t>类别及危害性分析</w:t>
      </w:r>
    </w:p>
    <w:p>
      <w:pPr>
        <w:ind w:firstLine="480"/>
      </w:pPr>
      <w:r>
        <w:rPr>
          <w:rFonts w:hint="eastAsia"/>
        </w:rPr>
        <w:t>项目发生风险事故的环境风险</w:t>
      </w:r>
      <w:r>
        <w:t>类型及危害性分析</w:t>
      </w:r>
      <w:r>
        <w:rPr>
          <w:rFonts w:hint="eastAsia"/>
        </w:rPr>
        <w:t>见</w:t>
      </w:r>
      <w:r>
        <w:t>表</w:t>
      </w:r>
      <w:r>
        <w:rPr>
          <w:rFonts w:hint="eastAsia"/>
        </w:rPr>
        <w:t>6.6-</w:t>
      </w:r>
      <w:r>
        <w:t>6</w:t>
      </w:r>
      <w:r>
        <w:rPr>
          <w:rFonts w:hint="eastAsia"/>
        </w:rPr>
        <w:t>。</w:t>
      </w:r>
    </w:p>
    <w:p>
      <w:pPr>
        <w:pStyle w:val="93"/>
      </w:pPr>
      <w:r>
        <w:t>表</w:t>
      </w:r>
      <w:r>
        <w:fldChar w:fldCharType="begin"/>
      </w:r>
      <w:r>
        <w:instrText xml:space="preserve"> STYLEREF 2 \s </w:instrText>
      </w:r>
      <w:r>
        <w:fldChar w:fldCharType="separate"/>
      </w:r>
      <w:r>
        <w:t>6.6</w:t>
      </w:r>
      <w:r>
        <w:fldChar w:fldCharType="end"/>
      </w:r>
      <w:r>
        <w:noBreakHyphen/>
      </w:r>
      <w:r>
        <w:fldChar w:fldCharType="begin"/>
      </w:r>
      <w:r>
        <w:instrText xml:space="preserve"> SEQ 表 \* ARABIC \s 2 </w:instrText>
      </w:r>
      <w:r>
        <w:fldChar w:fldCharType="separate"/>
      </w:r>
      <w:r>
        <w:t>6</w:t>
      </w:r>
      <w:r>
        <w:fldChar w:fldCharType="end"/>
      </w:r>
      <w:r>
        <w:t xml:space="preserve"> </w:t>
      </w:r>
      <w:r>
        <w:rPr>
          <w:rFonts w:hint="eastAsia"/>
        </w:rPr>
        <w:t xml:space="preserve">  环境风险</w:t>
      </w:r>
      <w:r>
        <w:t>类型及</w:t>
      </w:r>
      <w:r>
        <w:rPr>
          <w:rFonts w:hint="eastAsia"/>
        </w:rPr>
        <w:t>危害性</w:t>
      </w:r>
      <w:r>
        <w:t>分析</w:t>
      </w:r>
    </w:p>
    <w:tbl>
      <w:tblPr>
        <w:tblStyle w:val="117"/>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276"/>
        <w:gridCol w:w="1595"/>
        <w:gridCol w:w="4028"/>
        <w:gridCol w:w="1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危险单元</w:t>
            </w:r>
          </w:p>
        </w:tc>
        <w:tc>
          <w:tcPr>
            <w:tcW w:w="127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危险物质</w:t>
            </w: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风险类型</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环境影响</w:t>
            </w:r>
            <w:r>
              <w:rPr>
                <w:rFonts w:hAnsi="宋体"/>
                <w:kern w:val="0"/>
                <w:sz w:val="21"/>
                <w:szCs w:val="20"/>
              </w:rPr>
              <w:t>途径</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危害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生产</w:t>
            </w:r>
            <w:r>
              <w:rPr>
                <w:rFonts w:hAnsi="宋体"/>
                <w:kern w:val="0"/>
                <w:sz w:val="21"/>
                <w:szCs w:val="20"/>
              </w:rPr>
              <w:t>车间</w:t>
            </w:r>
          </w:p>
        </w:tc>
        <w:tc>
          <w:tcPr>
            <w:tcW w:w="1276" w:type="dxa"/>
            <w:vMerge w:val="restart"/>
            <w:vAlign w:val="center"/>
          </w:tcPr>
          <w:p>
            <w:pPr>
              <w:tabs>
                <w:tab w:val="left" w:pos="2340"/>
              </w:tabs>
              <w:spacing w:line="240" w:lineRule="auto"/>
              <w:ind w:firstLine="420"/>
              <w:jc w:val="center"/>
              <w:rPr>
                <w:rFonts w:hAnsi="宋体"/>
                <w:kern w:val="0"/>
                <w:sz w:val="21"/>
                <w:szCs w:val="20"/>
              </w:rPr>
            </w:pPr>
            <w:r>
              <w:rPr>
                <w:rFonts w:hint="eastAsia" w:hAnsi="宋体"/>
                <w:kern w:val="0"/>
                <w:sz w:val="21"/>
                <w:szCs w:val="20"/>
              </w:rPr>
              <w:t>甲醇</w:t>
            </w:r>
            <w:r>
              <w:rPr>
                <w:rFonts w:hAnsi="宋体"/>
                <w:kern w:val="0"/>
                <w:sz w:val="21"/>
                <w:szCs w:val="20"/>
              </w:rPr>
              <w:t>、硫酸、石油醚等</w:t>
            </w: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泄漏化学品通过雨水管网和污水管网进入水体或通过地面渗漏到地下水、土壤</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地表水体、地下水及土壤</w:t>
            </w:r>
            <w:r>
              <w:rPr>
                <w:rFonts w:hint="eastAsia" w:hAnsi="宋体"/>
                <w:kern w:val="0"/>
                <w:sz w:val="21"/>
                <w:szCs w:val="20"/>
              </w:rPr>
              <w:t>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2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火灾引发的伴生、次生环境事故</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泄漏化学品遇火发生火灾、爆炸事故</w:t>
            </w:r>
          </w:p>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产生的伴生</w:t>
            </w:r>
            <w:r>
              <w:rPr>
                <w:rFonts w:hAnsi="宋体"/>
                <w:kern w:val="0"/>
                <w:sz w:val="21"/>
                <w:szCs w:val="20"/>
              </w:rPr>
              <w:t>、次生污染物</w:t>
            </w:r>
            <w:r>
              <w:rPr>
                <w:rFonts w:hint="eastAsia" w:hAnsi="宋体"/>
                <w:kern w:val="0"/>
                <w:sz w:val="21"/>
                <w:szCs w:val="20"/>
              </w:rPr>
              <w:t>直接</w:t>
            </w:r>
            <w:r>
              <w:rPr>
                <w:rFonts w:hAnsi="宋体"/>
                <w:kern w:val="0"/>
                <w:sz w:val="21"/>
                <w:szCs w:val="20"/>
              </w:rPr>
              <w:t>排入大气环境</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大气环境污染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储罐</w:t>
            </w:r>
            <w:r>
              <w:rPr>
                <w:rFonts w:hAnsi="宋体"/>
                <w:kern w:val="0"/>
                <w:sz w:val="21"/>
                <w:szCs w:val="20"/>
              </w:rPr>
              <w:t>单元</w:t>
            </w:r>
          </w:p>
        </w:tc>
        <w:tc>
          <w:tcPr>
            <w:tcW w:w="127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甲醇</w:t>
            </w:r>
            <w:r>
              <w:rPr>
                <w:rFonts w:hAnsi="宋体"/>
                <w:kern w:val="0"/>
                <w:sz w:val="21"/>
                <w:szCs w:val="20"/>
              </w:rPr>
              <w:t>、石油醚</w:t>
            </w: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泄漏甲醇、</w:t>
            </w:r>
            <w:r>
              <w:rPr>
                <w:rFonts w:hAnsi="宋体"/>
                <w:kern w:val="0"/>
                <w:sz w:val="21"/>
                <w:szCs w:val="20"/>
              </w:rPr>
              <w:t>石油醚</w:t>
            </w:r>
            <w:r>
              <w:rPr>
                <w:rFonts w:hint="eastAsia" w:hAnsi="宋体"/>
                <w:kern w:val="0"/>
                <w:sz w:val="21"/>
                <w:szCs w:val="20"/>
              </w:rPr>
              <w:t>通过雨水管网和污水管网进入水体或通过地面渗漏到地下水、土壤</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地表水体、地下水及土壤</w:t>
            </w:r>
            <w:r>
              <w:rPr>
                <w:rFonts w:hint="eastAsia" w:hAnsi="宋体"/>
                <w:kern w:val="0"/>
                <w:sz w:val="21"/>
                <w:szCs w:val="20"/>
              </w:rPr>
              <w:t>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2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火灾引发的伴生、次生环境事故</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泄漏甲醇、</w:t>
            </w:r>
            <w:r>
              <w:rPr>
                <w:rFonts w:hAnsi="宋体"/>
                <w:kern w:val="0"/>
                <w:sz w:val="21"/>
                <w:szCs w:val="20"/>
              </w:rPr>
              <w:t>石油醚</w:t>
            </w:r>
            <w:r>
              <w:rPr>
                <w:rFonts w:hint="eastAsia" w:hAnsi="宋体"/>
                <w:kern w:val="0"/>
                <w:sz w:val="21"/>
                <w:szCs w:val="20"/>
              </w:rPr>
              <w:t>遇火发生火灾、爆炸事故产生的伴生</w:t>
            </w:r>
            <w:r>
              <w:rPr>
                <w:rFonts w:hAnsi="宋体"/>
                <w:kern w:val="0"/>
                <w:sz w:val="21"/>
                <w:szCs w:val="20"/>
              </w:rPr>
              <w:t>、次生污染物</w:t>
            </w:r>
            <w:r>
              <w:rPr>
                <w:rFonts w:hint="eastAsia" w:hAnsi="宋体"/>
                <w:kern w:val="0"/>
                <w:sz w:val="21"/>
                <w:szCs w:val="20"/>
              </w:rPr>
              <w:t>直接</w:t>
            </w:r>
            <w:r>
              <w:rPr>
                <w:rFonts w:hAnsi="宋体"/>
                <w:kern w:val="0"/>
                <w:sz w:val="21"/>
                <w:szCs w:val="20"/>
              </w:rPr>
              <w:t>排入大气环境</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大气环境污染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危废暂存间</w:t>
            </w:r>
          </w:p>
        </w:tc>
        <w:tc>
          <w:tcPr>
            <w:tcW w:w="1276" w:type="dxa"/>
            <w:vMerge w:val="restart"/>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废含油抹布</w:t>
            </w: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泄漏</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危险废物储存</w:t>
            </w:r>
            <w:r>
              <w:rPr>
                <w:rFonts w:hAnsi="宋体"/>
                <w:kern w:val="0"/>
                <w:sz w:val="21"/>
                <w:szCs w:val="20"/>
              </w:rPr>
              <w:t>桶破裂，</w:t>
            </w:r>
            <w:r>
              <w:rPr>
                <w:rFonts w:hint="eastAsia" w:hAnsi="宋体"/>
                <w:kern w:val="0"/>
                <w:sz w:val="21"/>
                <w:szCs w:val="20"/>
              </w:rPr>
              <w:t>废物暂存间</w:t>
            </w:r>
            <w:r>
              <w:rPr>
                <w:rFonts w:hAnsi="宋体"/>
                <w:kern w:val="0"/>
                <w:sz w:val="21"/>
                <w:szCs w:val="20"/>
              </w:rPr>
              <w:t>地面防渗效果差，</w:t>
            </w:r>
            <w:r>
              <w:rPr>
                <w:rFonts w:hint="eastAsia" w:hAnsi="宋体"/>
                <w:kern w:val="0"/>
                <w:sz w:val="21"/>
                <w:szCs w:val="20"/>
              </w:rPr>
              <w:t>危险</w:t>
            </w:r>
            <w:r>
              <w:rPr>
                <w:rFonts w:hAnsi="宋体"/>
                <w:kern w:val="0"/>
                <w:sz w:val="21"/>
                <w:szCs w:val="20"/>
              </w:rPr>
              <w:t>废物泄漏后下渗进入土壤环境，随着地下水迁移进入地下水环境。</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地表水体、地下水及土壤</w:t>
            </w:r>
            <w:r>
              <w:rPr>
                <w:rFonts w:hint="eastAsia" w:hAnsi="宋体"/>
                <w:kern w:val="0"/>
                <w:sz w:val="21"/>
                <w:szCs w:val="20"/>
              </w:rPr>
              <w:t>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276" w:type="dxa"/>
            <w:vMerge w:val="continue"/>
            <w:vAlign w:val="center"/>
          </w:tcPr>
          <w:p>
            <w:pPr>
              <w:tabs>
                <w:tab w:val="left" w:pos="2340"/>
              </w:tabs>
              <w:adjustRightInd/>
              <w:spacing w:line="240" w:lineRule="auto"/>
              <w:ind w:firstLine="0" w:firstLineChars="0"/>
              <w:jc w:val="center"/>
              <w:rPr>
                <w:rFonts w:hAnsi="宋体"/>
                <w:kern w:val="0"/>
                <w:sz w:val="21"/>
                <w:szCs w:val="20"/>
              </w:rPr>
            </w:pP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Ansi="宋体"/>
                <w:kern w:val="0"/>
                <w:sz w:val="21"/>
                <w:szCs w:val="20"/>
              </w:rPr>
              <w:t>火灾引发的伴生、次生环境事故</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遇火发生火灾、爆炸事故产生伴生、次生污染物直接</w:t>
            </w:r>
            <w:r>
              <w:rPr>
                <w:rFonts w:hAnsi="宋体"/>
                <w:kern w:val="0"/>
                <w:sz w:val="21"/>
                <w:szCs w:val="20"/>
              </w:rPr>
              <w:t>排入大气环境</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大气环境污染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3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废气</w:t>
            </w:r>
            <w:r>
              <w:rPr>
                <w:rFonts w:hAnsi="宋体"/>
                <w:kern w:val="0"/>
                <w:sz w:val="21"/>
                <w:szCs w:val="20"/>
              </w:rPr>
              <w:t>装置</w:t>
            </w:r>
          </w:p>
        </w:tc>
        <w:tc>
          <w:tcPr>
            <w:tcW w:w="1276"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非甲烷</w:t>
            </w:r>
            <w:r>
              <w:rPr>
                <w:rFonts w:hAnsi="宋体"/>
                <w:kern w:val="0"/>
                <w:sz w:val="21"/>
                <w:szCs w:val="20"/>
              </w:rPr>
              <w:t>总烃</w:t>
            </w:r>
          </w:p>
        </w:tc>
        <w:tc>
          <w:tcPr>
            <w:tcW w:w="159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泄漏</w:t>
            </w:r>
          </w:p>
        </w:tc>
        <w:tc>
          <w:tcPr>
            <w:tcW w:w="4028"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废气</w:t>
            </w:r>
            <w:r>
              <w:rPr>
                <w:rFonts w:hAnsi="宋体"/>
                <w:kern w:val="0"/>
                <w:sz w:val="21"/>
                <w:szCs w:val="20"/>
              </w:rPr>
              <w:t>处理装置发生事故，废气直接排入大气环境</w:t>
            </w:r>
          </w:p>
        </w:tc>
        <w:tc>
          <w:tcPr>
            <w:tcW w:w="1305" w:type="dxa"/>
            <w:vAlign w:val="center"/>
          </w:tcPr>
          <w:p>
            <w:pPr>
              <w:tabs>
                <w:tab w:val="left" w:pos="2340"/>
              </w:tabs>
              <w:adjustRightInd/>
              <w:spacing w:line="240" w:lineRule="auto"/>
              <w:ind w:firstLine="0" w:firstLineChars="0"/>
              <w:jc w:val="center"/>
              <w:rPr>
                <w:rFonts w:hAnsi="宋体"/>
                <w:kern w:val="0"/>
                <w:sz w:val="21"/>
                <w:szCs w:val="20"/>
              </w:rPr>
            </w:pPr>
            <w:r>
              <w:rPr>
                <w:rFonts w:hint="eastAsia" w:hAnsi="宋体"/>
                <w:kern w:val="0"/>
                <w:sz w:val="21"/>
                <w:szCs w:val="20"/>
              </w:rPr>
              <w:t>造成</w:t>
            </w:r>
            <w:r>
              <w:rPr>
                <w:rFonts w:hAnsi="宋体"/>
                <w:kern w:val="0"/>
                <w:sz w:val="21"/>
                <w:szCs w:val="20"/>
              </w:rPr>
              <w:t>大气环境污染</w:t>
            </w:r>
          </w:p>
        </w:tc>
      </w:tr>
    </w:tbl>
    <w:p>
      <w:pPr>
        <w:pStyle w:val="3"/>
      </w:pPr>
      <w:bookmarkStart w:id="162" w:name="_Toc82502965"/>
      <w:r>
        <w:rPr>
          <w:rFonts w:hint="eastAsia"/>
        </w:rPr>
        <w:t>风险</w:t>
      </w:r>
      <w:r>
        <w:t>事故情形分析</w:t>
      </w:r>
      <w:bookmarkEnd w:id="162"/>
    </w:p>
    <w:p>
      <w:pPr>
        <w:pStyle w:val="4"/>
      </w:pPr>
      <w:r>
        <w:rPr>
          <w:rFonts w:hint="eastAsia"/>
        </w:rPr>
        <w:t>最大</w:t>
      </w:r>
      <w:r>
        <w:t>可信事故及其概率</w:t>
      </w:r>
    </w:p>
    <w:p>
      <w:pPr>
        <w:ind w:firstLine="480"/>
      </w:pPr>
      <w:r>
        <w:rPr>
          <w:rFonts w:hint="eastAsia"/>
        </w:rPr>
        <w:t>根据重大危险源识别结果，考虑各种物质的危害性，确定本工程最大可信事故储罐破裂泄漏可能造成风险事故。本次评价最大可信事故概率取《建设项目环境风险评价技术导则》（HJ169-2018）推荐的10</w:t>
      </w:r>
      <w:r>
        <w:rPr>
          <w:rFonts w:hint="eastAsia"/>
          <w:vertAlign w:val="superscript"/>
        </w:rPr>
        <w:t>-6</w:t>
      </w:r>
      <w:r>
        <w:rPr>
          <w:rFonts w:hint="eastAsia"/>
        </w:rPr>
        <w:t>/年。</w:t>
      </w:r>
    </w:p>
    <w:p>
      <w:pPr>
        <w:pStyle w:val="3"/>
      </w:pPr>
      <w:bookmarkStart w:id="163" w:name="_Toc82502966"/>
      <w:r>
        <w:rPr>
          <w:rFonts w:hint="eastAsia"/>
        </w:rPr>
        <w:t>环境</w:t>
      </w:r>
      <w:r>
        <w:t>风险分析</w:t>
      </w:r>
      <w:bookmarkEnd w:id="163"/>
    </w:p>
    <w:p>
      <w:pPr>
        <w:pStyle w:val="87"/>
        <w:ind w:firstLine="480"/>
        <w:rPr>
          <w:rFonts w:cs="Times New Roman"/>
        </w:rPr>
      </w:pPr>
      <w:r>
        <w:rPr>
          <w:rFonts w:cs="Times New Roman"/>
        </w:rPr>
        <w:t>（1）</w:t>
      </w:r>
      <w:r>
        <w:rPr>
          <w:rFonts w:hint="eastAsia" w:cs="Times New Roman"/>
        </w:rPr>
        <w:t>化学品泄漏</w:t>
      </w:r>
      <w:r>
        <w:rPr>
          <w:rFonts w:cs="Times New Roman"/>
        </w:rPr>
        <w:t>环境风险分析</w:t>
      </w:r>
    </w:p>
    <w:p>
      <w:pPr>
        <w:pStyle w:val="87"/>
        <w:ind w:firstLine="480"/>
        <w:rPr>
          <w:rFonts w:cs="Times New Roman"/>
        </w:rPr>
      </w:pPr>
      <w:r>
        <w:rPr>
          <w:rFonts w:hint="eastAsia" w:cs="Times New Roman"/>
        </w:rPr>
        <w:t>本项目生产</w:t>
      </w:r>
      <w:r>
        <w:rPr>
          <w:rFonts w:cs="Times New Roman"/>
        </w:rPr>
        <w:t>车间</w:t>
      </w:r>
      <w:r>
        <w:rPr>
          <w:rFonts w:hint="eastAsia" w:cs="Times New Roman"/>
        </w:rPr>
        <w:t>使用</w:t>
      </w:r>
      <w:r>
        <w:rPr>
          <w:rFonts w:cs="Times New Roman"/>
        </w:rPr>
        <w:t>的</w:t>
      </w:r>
      <w:r>
        <w:rPr>
          <w:rFonts w:hint="eastAsia" w:cs="Times New Roman"/>
        </w:rPr>
        <w:t>硫酸，由于物料分桶/瓶储存，且储存量较小，即使容器损坏或泄漏也是单只容器而不是批量，发生泄漏时单桶泄漏量很小，使用</w:t>
      </w:r>
      <w:r>
        <w:rPr>
          <w:rFonts w:cs="Times New Roman"/>
        </w:rPr>
        <w:t>过程中的甲醇</w:t>
      </w:r>
      <w:r>
        <w:rPr>
          <w:rFonts w:hint="eastAsia" w:cs="Times New Roman"/>
        </w:rPr>
        <w:t>、</w:t>
      </w:r>
      <w:r>
        <w:rPr>
          <w:rFonts w:cs="Times New Roman"/>
        </w:rPr>
        <w:t>石油醚在</w:t>
      </w:r>
      <w:r>
        <w:rPr>
          <w:rFonts w:hint="eastAsia" w:cs="Times New Roman"/>
        </w:rPr>
        <w:t>仅在</w:t>
      </w:r>
      <w:r>
        <w:rPr>
          <w:rFonts w:cs="Times New Roman"/>
        </w:rPr>
        <w:t>管道中存在，发生泄漏时</w:t>
      </w:r>
      <w:r>
        <w:rPr>
          <w:rFonts w:hint="eastAsia" w:cs="Times New Roman"/>
        </w:rPr>
        <w:t>泄漏</w:t>
      </w:r>
      <w:r>
        <w:rPr>
          <w:rFonts w:cs="Times New Roman"/>
        </w:rPr>
        <w:t>量较小，</w:t>
      </w:r>
      <w:r>
        <w:rPr>
          <w:rFonts w:hint="eastAsia" w:cs="Times New Roman"/>
        </w:rPr>
        <w:t>不会对附近河流造成污染，但其中挥发出硫酸雾、非甲烷</w:t>
      </w:r>
      <w:r>
        <w:rPr>
          <w:rFonts w:cs="Times New Roman"/>
        </w:rPr>
        <w:t>总烃等</w:t>
      </w:r>
      <w:r>
        <w:rPr>
          <w:rFonts w:hint="eastAsia" w:cs="Times New Roman"/>
        </w:rPr>
        <w:t>废气，在未及时采取对策措施的情况下对周围环境有一定的影响</w:t>
      </w:r>
      <w:r>
        <w:rPr>
          <w:rFonts w:cs="Times New Roman"/>
        </w:rPr>
        <w:t>。</w:t>
      </w:r>
    </w:p>
    <w:p>
      <w:pPr>
        <w:pStyle w:val="87"/>
        <w:ind w:firstLine="480"/>
        <w:rPr>
          <w:rFonts w:cs="Times New Roman"/>
        </w:rPr>
      </w:pPr>
      <w:r>
        <w:rPr>
          <w:rFonts w:hint="eastAsia" w:cs="Times New Roman"/>
        </w:rPr>
        <w:t>储罐区储存</w:t>
      </w:r>
      <w:r>
        <w:rPr>
          <w:rFonts w:cs="Times New Roman"/>
        </w:rPr>
        <w:t>的甲醇、</w:t>
      </w:r>
      <w:r>
        <w:rPr>
          <w:rFonts w:hint="eastAsia" w:cs="Times New Roman"/>
        </w:rPr>
        <w:t>石油醚</w:t>
      </w:r>
      <w:r>
        <w:rPr>
          <w:rFonts w:cs="Times New Roman"/>
        </w:rPr>
        <w:t>等，</w:t>
      </w:r>
      <w:r>
        <w:rPr>
          <w:rFonts w:hint="eastAsia" w:cs="Times New Roman"/>
        </w:rPr>
        <w:t>由于防渗</w:t>
      </w:r>
      <w:r>
        <w:rPr>
          <w:rFonts w:cs="Times New Roman"/>
        </w:rPr>
        <w:t>层破损</w:t>
      </w:r>
      <w:r>
        <w:rPr>
          <w:rFonts w:hint="eastAsia" w:cs="Times New Roman"/>
        </w:rPr>
        <w:t>、储罐</w:t>
      </w:r>
      <w:r>
        <w:rPr>
          <w:rFonts w:cs="Times New Roman"/>
        </w:rPr>
        <w:t>发生破裂</w:t>
      </w:r>
      <w:r>
        <w:rPr>
          <w:rFonts w:hint="eastAsia" w:cs="Times New Roman"/>
        </w:rPr>
        <w:t>引起</w:t>
      </w:r>
      <w:r>
        <w:rPr>
          <w:rFonts w:cs="Times New Roman"/>
        </w:rPr>
        <w:t>泄漏</w:t>
      </w:r>
      <w:r>
        <w:rPr>
          <w:rFonts w:hint="eastAsia" w:cs="Times New Roman"/>
        </w:rPr>
        <w:t>，发生</w:t>
      </w:r>
      <w:r>
        <w:rPr>
          <w:rFonts w:cs="Times New Roman"/>
        </w:rPr>
        <w:t>泄漏时如未及时采取措施</w:t>
      </w:r>
      <w:r>
        <w:rPr>
          <w:rFonts w:hint="eastAsia" w:cs="Times New Roman"/>
        </w:rPr>
        <w:t>的</w:t>
      </w:r>
      <w:r>
        <w:rPr>
          <w:rFonts w:cs="Times New Roman"/>
        </w:rPr>
        <w:t>情况下对周围地表水、地下水和土壤会有一定的影响。</w:t>
      </w:r>
    </w:p>
    <w:p>
      <w:pPr>
        <w:pStyle w:val="87"/>
        <w:ind w:firstLine="480"/>
        <w:rPr>
          <w:rFonts w:cs="Times New Roman"/>
        </w:rPr>
      </w:pPr>
      <w:r>
        <w:rPr>
          <w:rFonts w:hint="eastAsia" w:cs="Times New Roman"/>
        </w:rPr>
        <w:t>（2）化学品</w:t>
      </w:r>
      <w:r>
        <w:rPr>
          <w:rFonts w:cs="Times New Roman"/>
        </w:rPr>
        <w:t>火灾、爆炸</w:t>
      </w:r>
      <w:r>
        <w:rPr>
          <w:rFonts w:hint="eastAsia" w:cs="Times New Roman"/>
        </w:rPr>
        <w:t>次生</w:t>
      </w:r>
      <w:r>
        <w:rPr>
          <w:rFonts w:cs="Times New Roman"/>
        </w:rPr>
        <w:t>环境问题风险分析</w:t>
      </w:r>
    </w:p>
    <w:p>
      <w:pPr>
        <w:pStyle w:val="87"/>
        <w:ind w:firstLine="480"/>
        <w:rPr>
          <w:rFonts w:cs="Times New Roman"/>
        </w:rPr>
      </w:pPr>
      <w:r>
        <w:rPr>
          <w:rFonts w:hint="eastAsia" w:cs="Times New Roman"/>
        </w:rPr>
        <w:t>泄漏</w:t>
      </w:r>
      <w:r>
        <w:rPr>
          <w:rFonts w:cs="Times New Roman"/>
        </w:rPr>
        <w:t>的</w:t>
      </w:r>
      <w:r>
        <w:rPr>
          <w:rFonts w:hint="eastAsia" w:cs="Times New Roman"/>
        </w:rPr>
        <w:t>甲醇</w:t>
      </w:r>
      <w:r>
        <w:rPr>
          <w:rFonts w:cs="Times New Roman"/>
        </w:rPr>
        <w:t>、硫酸</w:t>
      </w:r>
      <w:r>
        <w:rPr>
          <w:rFonts w:hint="eastAsia" w:cs="Times New Roman"/>
        </w:rPr>
        <w:t>、</w:t>
      </w:r>
      <w:r>
        <w:rPr>
          <w:rFonts w:cs="Times New Roman"/>
        </w:rPr>
        <w:t>石油醚等极易扩散，遇明火易发生火灾、爆炸，</w:t>
      </w:r>
      <w:r>
        <w:rPr>
          <w:rFonts w:hint="eastAsia" w:cs="Times New Roman"/>
        </w:rPr>
        <w:t>引发的火灾会迅速蔓延，燃烧产物主要为CO</w:t>
      </w:r>
      <w:r>
        <w:rPr>
          <w:rFonts w:hint="eastAsia" w:cs="Times New Roman"/>
          <w:vertAlign w:val="subscript"/>
        </w:rPr>
        <w:t>2</w:t>
      </w:r>
      <w:r>
        <w:rPr>
          <w:rFonts w:hint="eastAsia" w:cs="Times New Roman"/>
        </w:rPr>
        <w:t>和水蒸汽，但不完全燃烧的产物中会含有非甲烷</w:t>
      </w:r>
      <w:r>
        <w:rPr>
          <w:rFonts w:cs="Times New Roman"/>
        </w:rPr>
        <w:t>总烃和</w:t>
      </w:r>
      <w:r>
        <w:rPr>
          <w:rFonts w:hint="eastAsia" w:cs="Times New Roman"/>
        </w:rPr>
        <w:t>一氧化碳等气体，同时伴随浓烟，挥发至空气中，会造成大气污染，会对人的健康造成危害；局部的燃烧还会进一步引发爆炸，进而扩大事故的危害。由于CO有毒性，当达到一定的浓度时，会影响人的造血功能及神经系统功能。所以发生火灾时，要注意防范对人群的危害。</w:t>
      </w:r>
    </w:p>
    <w:p>
      <w:pPr>
        <w:pStyle w:val="87"/>
        <w:ind w:firstLine="480"/>
        <w:rPr>
          <w:rFonts w:cs="Times New Roman"/>
        </w:rPr>
      </w:pPr>
      <w:r>
        <w:rPr>
          <w:rFonts w:hint="eastAsia" w:cs="Times New Roman"/>
        </w:rPr>
        <w:t>此外，发生</w:t>
      </w:r>
      <w:r>
        <w:rPr>
          <w:rFonts w:cs="Times New Roman"/>
        </w:rPr>
        <w:t>火灾、爆炸</w:t>
      </w:r>
      <w:r>
        <w:rPr>
          <w:rFonts w:hint="eastAsia" w:cs="Times New Roman"/>
        </w:rPr>
        <w:t>后</w:t>
      </w:r>
      <w:r>
        <w:rPr>
          <w:rFonts w:cs="Times New Roman"/>
        </w:rPr>
        <w:t>，</w:t>
      </w:r>
      <w:r>
        <w:rPr>
          <w:rFonts w:hint="eastAsia" w:cs="Times New Roman"/>
        </w:rPr>
        <w:t>在事故处理过程的伴生/次生污染主要涉及消防水、事故废水</w:t>
      </w:r>
      <w:r>
        <w:rPr>
          <w:rFonts w:cs="Times New Roman"/>
        </w:rPr>
        <w:t>排放等。</w:t>
      </w:r>
    </w:p>
    <w:p>
      <w:pPr>
        <w:pStyle w:val="87"/>
        <w:ind w:firstLine="480"/>
        <w:rPr>
          <w:rFonts w:cs="Times New Roman"/>
        </w:rPr>
      </w:pPr>
      <w:r>
        <w:rPr>
          <w:rFonts w:hint="eastAsia" w:cs="Times New Roman"/>
        </w:rPr>
        <w:t>（3）危险</w:t>
      </w:r>
      <w:r>
        <w:rPr>
          <w:rFonts w:cs="Times New Roman"/>
        </w:rPr>
        <w:t>废物</w:t>
      </w:r>
      <w:r>
        <w:rPr>
          <w:rFonts w:hint="eastAsia" w:cs="Times New Roman"/>
        </w:rPr>
        <w:t>风险</w:t>
      </w:r>
      <w:r>
        <w:rPr>
          <w:rFonts w:cs="Times New Roman"/>
        </w:rPr>
        <w:t>分析</w:t>
      </w:r>
    </w:p>
    <w:p>
      <w:pPr>
        <w:pStyle w:val="87"/>
        <w:ind w:firstLine="480"/>
        <w:rPr>
          <w:rFonts w:cs="Times New Roman"/>
        </w:rPr>
      </w:pPr>
      <w:r>
        <w:rPr>
          <w:rFonts w:hint="eastAsia" w:ascii="宋体" w:hAnsi="宋体" w:cs="宋体"/>
        </w:rPr>
        <w:t>①</w:t>
      </w:r>
      <w:r>
        <w:rPr>
          <w:rFonts w:cs="Times New Roman"/>
        </w:rPr>
        <w:t>厂区暂存过程中</w:t>
      </w:r>
      <w:r>
        <w:rPr>
          <w:rFonts w:hint="eastAsia" w:cs="Times New Roman"/>
        </w:rPr>
        <w:t>危险</w:t>
      </w:r>
      <w:r>
        <w:rPr>
          <w:rFonts w:cs="Times New Roman"/>
        </w:rPr>
        <w:t>废物</w:t>
      </w:r>
      <w:r>
        <w:rPr>
          <w:rFonts w:hint="eastAsia" w:cs="Times New Roman"/>
        </w:rPr>
        <w:t>存放设施</w:t>
      </w:r>
      <w:r>
        <w:rPr>
          <w:rFonts w:cs="Times New Roman"/>
        </w:rPr>
        <w:t>发生破裂导致泄漏</w:t>
      </w:r>
      <w:r>
        <w:rPr>
          <w:rFonts w:hint="eastAsia" w:cs="Times New Roman"/>
        </w:rPr>
        <w:t>，泄漏</w:t>
      </w:r>
      <w:r>
        <w:rPr>
          <w:rFonts w:cs="Times New Roman"/>
        </w:rPr>
        <w:t>后对地下水、土壤造成的影响。</w:t>
      </w:r>
    </w:p>
    <w:p>
      <w:pPr>
        <w:pStyle w:val="87"/>
        <w:ind w:firstLine="480"/>
        <w:rPr>
          <w:rFonts w:cs="Times New Roman"/>
        </w:rPr>
      </w:pPr>
      <w:r>
        <w:rPr>
          <w:rFonts w:hint="eastAsia" w:ascii="宋体" w:hAnsi="宋体" w:cs="宋体"/>
        </w:rPr>
        <w:t>②</w:t>
      </w:r>
      <w:r>
        <w:rPr>
          <w:rFonts w:cs="Times New Roman"/>
        </w:rPr>
        <w:t>转运过程中发生意外导致</w:t>
      </w:r>
      <w:r>
        <w:rPr>
          <w:rFonts w:hint="eastAsia" w:cs="Times New Roman"/>
        </w:rPr>
        <w:t>危险</w:t>
      </w:r>
      <w:r>
        <w:rPr>
          <w:rFonts w:cs="Times New Roman"/>
        </w:rPr>
        <w:t>废物泄漏。</w:t>
      </w:r>
      <w:r>
        <w:rPr>
          <w:rFonts w:hint="eastAsia" w:cs="Times New Roman"/>
        </w:rPr>
        <w:t>危险废物</w:t>
      </w:r>
      <w:r>
        <w:rPr>
          <w:rFonts w:cs="Times New Roman"/>
        </w:rPr>
        <w:t>洒落至地面可能进入地表水体，对土壤环境、水环境造成污染。地表水一旦遭到</w:t>
      </w:r>
      <w:r>
        <w:rPr>
          <w:rFonts w:hint="eastAsia" w:cs="Times New Roman"/>
        </w:rPr>
        <w:t>危险废物</w:t>
      </w:r>
      <w:r>
        <w:rPr>
          <w:rFonts w:cs="Times New Roman"/>
        </w:rPr>
        <w:t>的污染，会产生严重异味，并具有较强的致畸致癌性，根本无法饮用；又由于这种渗漏必然穿过较厚的土壤层，使土壤层中吸附了大量的</w:t>
      </w:r>
      <w:r>
        <w:rPr>
          <w:rFonts w:hint="eastAsia" w:cs="Times New Roman"/>
        </w:rPr>
        <w:t>油类</w:t>
      </w:r>
      <w:r>
        <w:rPr>
          <w:rFonts w:cs="Times New Roman"/>
        </w:rPr>
        <w:t>，土壤层吸附的废油不仅会造成植物的死亡，而且土壤层吸附的废</w:t>
      </w:r>
      <w:r>
        <w:rPr>
          <w:rFonts w:hint="eastAsia" w:cs="Times New Roman"/>
        </w:rPr>
        <w:t>油</w:t>
      </w:r>
      <w:r>
        <w:rPr>
          <w:rFonts w:cs="Times New Roman"/>
        </w:rPr>
        <w:t>还会随着地表水的下渗对土壤层的冲刷作用补充到地下水，这样尽管污染源得到及时控制，但这种污染仅靠地表雨水入渗的冲刷，水层的自净降解将是一个长期的过程，达到地下水的完全恢复需几十年甚至上百年的时间。</w:t>
      </w:r>
    </w:p>
    <w:p>
      <w:pPr>
        <w:pStyle w:val="87"/>
        <w:ind w:firstLine="480"/>
        <w:rPr>
          <w:rFonts w:cs="Times New Roman"/>
        </w:rPr>
      </w:pPr>
      <w:r>
        <w:rPr>
          <w:rFonts w:hint="eastAsia" w:ascii="宋体" w:hAnsi="宋体" w:cs="宋体"/>
        </w:rPr>
        <w:t>③</w:t>
      </w:r>
      <w:r>
        <w:rPr>
          <w:rFonts w:cs="Times New Roman"/>
        </w:rPr>
        <w:t>废</w:t>
      </w:r>
      <w:r>
        <w:rPr>
          <w:rFonts w:hint="eastAsia" w:cs="Times New Roman"/>
        </w:rPr>
        <w:t>活性炭、</w:t>
      </w:r>
      <w:r>
        <w:rPr>
          <w:rFonts w:cs="Times New Roman"/>
        </w:rPr>
        <w:t>废含油抹布等遇明火导致火灾事故，从而产生次生风险物质</w:t>
      </w:r>
      <w:r>
        <w:rPr>
          <w:rFonts w:eastAsia="TimesNewRomanPSMT" w:cs="Times New Roman"/>
        </w:rPr>
        <w:t>CO</w:t>
      </w:r>
      <w:r>
        <w:rPr>
          <w:rFonts w:cs="Times New Roman"/>
        </w:rPr>
        <w:t>对周围环境空气产生不利影响。</w:t>
      </w:r>
    </w:p>
    <w:p>
      <w:pPr>
        <w:pStyle w:val="87"/>
        <w:ind w:firstLine="480"/>
        <w:rPr>
          <w:rFonts w:cs="Times New Roman"/>
        </w:rPr>
      </w:pPr>
      <w:r>
        <w:rPr>
          <w:rFonts w:hint="eastAsia" w:cs="Times New Roman"/>
        </w:rPr>
        <w:t>（</w:t>
      </w:r>
      <w:r>
        <w:rPr>
          <w:rFonts w:cs="Times New Roman"/>
        </w:rPr>
        <w:t>4</w:t>
      </w:r>
      <w:r>
        <w:rPr>
          <w:rFonts w:hint="eastAsia" w:cs="Times New Roman"/>
        </w:rPr>
        <w:t>）废气</w:t>
      </w:r>
      <w:r>
        <w:rPr>
          <w:rFonts w:cs="Times New Roman"/>
        </w:rPr>
        <w:t>处理装置</w:t>
      </w:r>
      <w:r>
        <w:rPr>
          <w:rFonts w:hint="eastAsia" w:cs="Times New Roman"/>
        </w:rPr>
        <w:t>出现故障</w:t>
      </w:r>
    </w:p>
    <w:p>
      <w:pPr>
        <w:pStyle w:val="87"/>
        <w:ind w:firstLine="480"/>
        <w:rPr>
          <w:rFonts w:cs="Times New Roman"/>
        </w:rPr>
      </w:pPr>
      <w:r>
        <w:rPr>
          <w:rFonts w:hint="eastAsia" w:cs="Times New Roman"/>
        </w:rPr>
        <w:t>废气处理装置出现故障导致废气事故排放，会对区域大气环境造成影响。</w:t>
      </w:r>
    </w:p>
    <w:p>
      <w:pPr>
        <w:pStyle w:val="3"/>
      </w:pPr>
      <w:bookmarkStart w:id="164" w:name="_Toc82502967"/>
      <w:r>
        <w:rPr>
          <w:rFonts w:hint="eastAsia"/>
        </w:rPr>
        <w:t>风险</w:t>
      </w:r>
      <w:r>
        <w:t>防范措施</w:t>
      </w:r>
      <w:bookmarkEnd w:id="164"/>
    </w:p>
    <w:p>
      <w:pPr>
        <w:pStyle w:val="4"/>
      </w:pPr>
      <w:r>
        <w:rPr>
          <w:rFonts w:hint="eastAsia"/>
        </w:rPr>
        <w:t>环境</w:t>
      </w:r>
      <w:r>
        <w:t>风险防范措施</w:t>
      </w:r>
      <w:r>
        <w:rPr>
          <w:rFonts w:hint="eastAsia"/>
        </w:rPr>
        <w:t>要求</w:t>
      </w:r>
    </w:p>
    <w:p>
      <w:pPr>
        <w:ind w:firstLine="480"/>
        <w:rPr>
          <w:szCs w:val="24"/>
          <w:lang w:val="zh-CN"/>
        </w:rPr>
      </w:pPr>
      <w:r>
        <w:rPr>
          <w:lang w:val="zh-CN"/>
        </w:rPr>
        <w:t>环境风险评价内容是考虑事故发生后对外界环境造成的危害，因此在工程上采取一系列安全风险防范措施以降低事故发生概率的基础上，还需采取一定的环境风险防范措施</w:t>
      </w:r>
      <w:r>
        <w:rPr>
          <w:szCs w:val="24"/>
          <w:lang w:val="zh-CN"/>
        </w:rPr>
        <w:t>，以降低事故发生时对外界环境造成的影响。</w:t>
      </w:r>
    </w:p>
    <w:p>
      <w:pPr>
        <w:ind w:firstLine="482"/>
        <w:rPr>
          <w:b/>
          <w:szCs w:val="24"/>
        </w:rPr>
      </w:pPr>
      <w:r>
        <w:rPr>
          <w:b/>
          <w:szCs w:val="24"/>
        </w:rPr>
        <w:t>1、建立环境安全保障体系</w:t>
      </w:r>
    </w:p>
    <w:p>
      <w:pPr>
        <w:widowControl/>
        <w:ind w:firstLine="480"/>
        <w:rPr>
          <w:szCs w:val="24"/>
          <w:lang w:val="zh-CN"/>
        </w:rPr>
      </w:pPr>
      <w:r>
        <w:rPr>
          <w:szCs w:val="24"/>
          <w:lang w:val="zh-CN"/>
        </w:rPr>
        <w:t>装置区和储运区设置毒有害物质的自动报警和控制系统，装置配备事故初级应急监测设施和人员，配备事故初级救护器材和物质（如有氧式防毒面具、过滤式防毒面具、防火服、眼面防护用具、防护手套面具、耳塞、耳罩等），以便在发生泄漏事故时工人可进入高浓度区域中进行紧急救护及紧急控制操作。</w:t>
      </w:r>
    </w:p>
    <w:p>
      <w:pPr>
        <w:ind w:firstLine="480"/>
        <w:rPr>
          <w:szCs w:val="24"/>
        </w:rPr>
      </w:pPr>
      <w:r>
        <w:rPr>
          <w:szCs w:val="24"/>
        </w:rPr>
        <w:t>2、防止事故污染物向环境转移措施</w:t>
      </w:r>
    </w:p>
    <w:p>
      <w:pPr>
        <w:ind w:firstLine="480"/>
        <w:rPr>
          <w:szCs w:val="24"/>
          <w:lang w:val="zh-CN"/>
        </w:rPr>
      </w:pPr>
      <w:r>
        <w:rPr>
          <w:szCs w:val="24"/>
          <w:lang w:val="zh-CN"/>
        </w:rPr>
        <w:t>（1）重点危险源废气系统应设置收集装置。出现风险事故造成停车或局部停车时，装置自动连锁系统自动切断进料系统。</w:t>
      </w:r>
    </w:p>
    <w:p>
      <w:pPr>
        <w:ind w:firstLine="480"/>
        <w:rPr>
          <w:szCs w:val="24"/>
          <w:lang w:val="zh-CN"/>
        </w:rPr>
      </w:pPr>
      <w:r>
        <w:rPr>
          <w:szCs w:val="24"/>
          <w:lang w:val="zh-CN"/>
        </w:rPr>
        <w:t>（2）设置消防喷淋、泡沫和水幕，事故产生的一氧化碳、二氧化碳及二氧化硫等通过消防水吸收或被消防泡沫覆盖，减少对大气环境的污染。</w:t>
      </w:r>
    </w:p>
    <w:p>
      <w:pPr>
        <w:ind w:firstLine="480"/>
        <w:rPr>
          <w:szCs w:val="24"/>
        </w:rPr>
      </w:pPr>
      <w:r>
        <w:rPr>
          <w:szCs w:val="24"/>
        </w:rPr>
        <w:t>3、防止事故污染物向土壤、地下水环境转移措施</w:t>
      </w:r>
    </w:p>
    <w:p>
      <w:pPr>
        <w:ind w:firstLine="480"/>
        <w:rPr>
          <w:szCs w:val="24"/>
          <w:lang w:val="zh-CN"/>
        </w:rPr>
      </w:pPr>
      <w:r>
        <w:rPr>
          <w:szCs w:val="24"/>
          <w:lang w:val="zh-CN"/>
        </w:rPr>
        <w:t>（1）按照各生产、贮运装置及污染处理设施（包括生产设备、管廊或管线，贮存与运输设施，事故应急设施等）通过各种途径可能进入地下水环境的各种有毒有害原辅材料、中间物料、产品的泄漏（含跑、冒、滴、漏）量及其他各类污染物的性质、产生和排放量，在厂区内分区设置完善的防渗措施，具体见地下水措施部分内容。</w:t>
      </w:r>
    </w:p>
    <w:p>
      <w:pPr>
        <w:ind w:firstLine="480"/>
        <w:rPr>
          <w:szCs w:val="24"/>
          <w:lang w:val="zh-CN"/>
        </w:rPr>
      </w:pPr>
      <w:r>
        <w:rPr>
          <w:szCs w:val="24"/>
          <w:lang w:val="zh-CN"/>
        </w:rPr>
        <w:t>（2）事故泄露液体应尽快收集，如泄露液体进入未硬化地表，应将可能受污染的包气带土壤收集处理，避免持续污染。</w:t>
      </w:r>
    </w:p>
    <w:p>
      <w:pPr>
        <w:ind w:firstLine="480"/>
        <w:rPr>
          <w:szCs w:val="24"/>
          <w:lang w:val="zh-CN"/>
        </w:rPr>
      </w:pPr>
      <w:r>
        <w:rPr>
          <w:szCs w:val="24"/>
          <w:lang w:val="zh-CN"/>
        </w:rPr>
        <w:t>（3）对于泄漏的气态或易挥发液态有毒物料，应尽快切断泄漏源，防止进入下水道等限制性空间；对于小量的泄漏可用砂土或其它不燃材料吸附，也可用大量水冲洗；对于泄漏量大的，应构筑围堤或挖坑收容，也可用泡沫覆盖，降低蒸气灾害，用防爆泵转移至槽车或专用收集器内，回收或运至废物处理场所处置。对某些可通过物理、化学反应中和或吸收的气体发生泄漏，可喷相关雾状液进行中和或吸收，</w:t>
      </w:r>
      <w:r>
        <w:rPr>
          <w:szCs w:val="24"/>
        </w:rPr>
        <w:t>下游监测井污染因子超标时，应及时采取泵抽等方式减小对下游敏感点的影响</w:t>
      </w:r>
      <w:r>
        <w:rPr>
          <w:szCs w:val="24"/>
          <w:lang w:val="zh-CN"/>
        </w:rPr>
        <w:t>。</w:t>
      </w:r>
    </w:p>
    <w:p>
      <w:pPr>
        <w:ind w:firstLine="480"/>
        <w:rPr>
          <w:szCs w:val="24"/>
          <w:lang w:val="zh-CN"/>
        </w:rPr>
      </w:pPr>
      <w:r>
        <w:rPr>
          <w:szCs w:val="24"/>
        </w:rPr>
        <w:t>4、危险性较大的生产过程中发生事故的应急措施</w:t>
      </w:r>
    </w:p>
    <w:p>
      <w:pPr>
        <w:ind w:firstLine="480"/>
        <w:rPr>
          <w:szCs w:val="24"/>
          <w:lang w:val="zh-CN"/>
        </w:rPr>
      </w:pPr>
      <w:r>
        <w:rPr>
          <w:szCs w:val="24"/>
          <w:lang w:val="zh-CN"/>
        </w:rPr>
        <w:t>项目建成后，可以通过良好的维护、检查和管理来预防事故发生，但并不能完全消除事故风险。一旦发生事故，如何降低事故的后果成为安全生产的一个重要的组成部分。因此建设单位应根据可能发生的事故的性质、类型、影响范围、后果严重程度等分等级制定“事故应急救援预案”。事故发生时，首先发现的人员要立即报警，由工厂按“事故应急救援预案”组织有关部门进行抢救，最大限度的减轻事故的影响。救援人员必须穿戴好防护用品，并加强监护，封锁道路，划定区域，严禁明火及非防爆用电，并组织下风向人员撤离，除应急处理人员及必须坚守岗位人员外，其它人员禁止进入警戒区。</w:t>
      </w:r>
    </w:p>
    <w:p>
      <w:pPr>
        <w:ind w:firstLine="480"/>
        <w:rPr>
          <w:szCs w:val="24"/>
          <w:lang w:val="zh-CN"/>
        </w:rPr>
      </w:pPr>
      <w:r>
        <w:rPr>
          <w:szCs w:val="24"/>
          <w:lang w:val="zh-CN"/>
        </w:rPr>
        <w:t>本项目风险影响最大的为</w:t>
      </w:r>
      <w:r>
        <w:rPr>
          <w:szCs w:val="24"/>
        </w:rPr>
        <w:t>原料罐区的储罐</w:t>
      </w:r>
      <w:r>
        <w:rPr>
          <w:szCs w:val="24"/>
          <w:lang w:val="zh-CN"/>
        </w:rPr>
        <w:t>，单个</w:t>
      </w:r>
      <w:r>
        <w:rPr>
          <w:szCs w:val="24"/>
        </w:rPr>
        <w:t>储罐最大</w:t>
      </w:r>
      <w:r>
        <w:rPr>
          <w:szCs w:val="24"/>
          <w:lang w:val="zh-CN"/>
        </w:rPr>
        <w:t>储存量</w:t>
      </w:r>
      <w:r>
        <w:rPr>
          <w:szCs w:val="24"/>
        </w:rPr>
        <w:t>为60m</w:t>
      </w:r>
      <w:r>
        <w:rPr>
          <w:szCs w:val="24"/>
          <w:vertAlign w:val="superscript"/>
        </w:rPr>
        <w:t>3</w:t>
      </w:r>
      <w:r>
        <w:rPr>
          <w:szCs w:val="24"/>
          <w:lang w:val="zh-CN"/>
        </w:rPr>
        <w:t>，在发生风险事故时，应根据现场实际情况进行紧急处理，组织人员疏散，采取相应急救措施。</w:t>
      </w:r>
    </w:p>
    <w:p>
      <w:pPr>
        <w:ind w:firstLine="480"/>
        <w:rPr>
          <w:szCs w:val="24"/>
        </w:rPr>
      </w:pPr>
      <w:r>
        <w:rPr>
          <w:szCs w:val="24"/>
        </w:rPr>
        <w:t>5、防止事故污染物向水体环境转移措施</w:t>
      </w:r>
    </w:p>
    <w:p>
      <w:pPr>
        <w:ind w:firstLine="480"/>
        <w:rPr>
          <w:szCs w:val="24"/>
          <w:lang w:val="zh-CN"/>
        </w:rPr>
      </w:pPr>
      <w:r>
        <w:rPr>
          <w:szCs w:val="24"/>
          <w:lang w:val="zh-CN"/>
        </w:rPr>
        <w:t>本项目一旦发生事故，如火灾事故、泄漏事故或不正常工况等，均会产生事故污水，如果得不到有效防控，将会对周边水体水质造成潜在的事故风险。因此本项目建立了完善的三级防控体系来应对可能发生的水污染事故，确保事故状态下的污水全部处于受控状态，且事故污水在得到有效处理后回用。</w:t>
      </w:r>
    </w:p>
    <w:p>
      <w:pPr>
        <w:ind w:firstLine="480"/>
        <w:rPr>
          <w:szCs w:val="24"/>
          <w:lang w:val="zh-CN"/>
        </w:rPr>
      </w:pPr>
      <w:r>
        <w:rPr>
          <w:szCs w:val="24"/>
          <w:lang w:val="zh-CN"/>
        </w:rPr>
        <w:t>（1）一级防控措施</w:t>
      </w:r>
    </w:p>
    <w:p>
      <w:pPr>
        <w:ind w:firstLine="480"/>
        <w:rPr>
          <w:szCs w:val="24"/>
          <w:lang w:val="zh-CN"/>
        </w:rPr>
      </w:pPr>
      <w:r>
        <w:rPr>
          <w:szCs w:val="24"/>
          <w:lang w:val="zh-CN"/>
        </w:rPr>
        <w:t>第一级防控系统主要是装置区围堰、罐区防火堤，收集一般事故泄漏的物料，防止污染雨水及轻微事故泄漏造成的环境污染。</w:t>
      </w:r>
    </w:p>
    <w:p>
      <w:pPr>
        <w:ind w:firstLine="480"/>
        <w:rPr>
          <w:szCs w:val="24"/>
          <w:lang w:val="zh-CN"/>
        </w:rPr>
      </w:pPr>
      <w:r>
        <w:rPr>
          <w:szCs w:val="24"/>
          <w:lang w:val="zh-CN"/>
        </w:rPr>
        <w:t>工艺生产装置根据污染物性质进行污染区划分，污染区设置不低于150mm的围堰和集水沟槽、排水口或排水闸板等导流设施收集污染排水。将初期污染雨水、地面冲洗水、检修可能产生的含油污水和污染消防排水导入事故水池，然后分时段分级送</w:t>
      </w:r>
      <w:r>
        <w:rPr>
          <w:szCs w:val="24"/>
        </w:rPr>
        <w:t>厂区污水</w:t>
      </w:r>
      <w:r>
        <w:rPr>
          <w:szCs w:val="24"/>
          <w:lang w:val="zh-CN"/>
        </w:rPr>
        <w:t>处理系统进行处理。</w:t>
      </w:r>
    </w:p>
    <w:p>
      <w:pPr>
        <w:ind w:firstLine="480"/>
        <w:rPr>
          <w:szCs w:val="24"/>
          <w:lang w:val="zh-CN"/>
        </w:rPr>
      </w:pPr>
      <w:r>
        <w:rPr>
          <w:szCs w:val="24"/>
          <w:lang w:val="zh-CN"/>
        </w:rPr>
        <w:t>防火堤、围堰外设置切换阀，正常情况下，后期雨水经确认没有污染时，经切换阀门排入清净雨水系统；当发生事故时所有泄漏的物料、污染的消防水以及火灾其间可能发生的雨水，收集到事故水池，然后分时段分级送</w:t>
      </w:r>
      <w:r>
        <w:rPr>
          <w:szCs w:val="24"/>
        </w:rPr>
        <w:t>厂区污水</w:t>
      </w:r>
      <w:r>
        <w:rPr>
          <w:szCs w:val="24"/>
          <w:lang w:val="zh-CN"/>
        </w:rPr>
        <w:t>处理系统进行处理。</w:t>
      </w:r>
    </w:p>
    <w:p>
      <w:pPr>
        <w:ind w:firstLine="480"/>
        <w:rPr>
          <w:szCs w:val="24"/>
          <w:lang w:val="zh-CN"/>
        </w:rPr>
      </w:pPr>
      <w:r>
        <w:rPr>
          <w:szCs w:val="24"/>
          <w:lang w:val="zh-CN"/>
        </w:rPr>
        <w:t>（2）二级防控措施</w:t>
      </w:r>
    </w:p>
    <w:p>
      <w:pPr>
        <w:ind w:firstLine="480"/>
        <w:rPr>
          <w:szCs w:val="24"/>
          <w:lang w:val="zh-CN"/>
        </w:rPr>
      </w:pPr>
      <w:r>
        <w:rPr>
          <w:szCs w:val="24"/>
        </w:rPr>
        <w:t>厂</w:t>
      </w:r>
      <w:r>
        <w:rPr>
          <w:szCs w:val="24"/>
          <w:lang w:val="zh-CN"/>
        </w:rPr>
        <w:t>区内设置初期雨水池。降雨及较大事故时利用潜在污染雨水系统管道作为事故排污管道，将污染雨水、污染消防排水和泄露物料导入初期雨水池。</w:t>
      </w:r>
    </w:p>
    <w:p>
      <w:pPr>
        <w:ind w:firstLine="480"/>
        <w:rPr>
          <w:szCs w:val="24"/>
          <w:lang w:val="zh-CN"/>
        </w:rPr>
      </w:pPr>
      <w:r>
        <w:rPr>
          <w:szCs w:val="24"/>
          <w:lang w:val="zh-CN"/>
        </w:rPr>
        <w:t>（3）三级防控措施</w:t>
      </w:r>
    </w:p>
    <w:p>
      <w:pPr>
        <w:ind w:firstLine="480"/>
        <w:rPr>
          <w:szCs w:val="24"/>
          <w:lang w:val="zh-CN"/>
        </w:rPr>
      </w:pPr>
      <w:r>
        <w:rPr>
          <w:szCs w:val="24"/>
          <w:lang w:val="zh-CN"/>
        </w:rPr>
        <w:t>本项目三级防控措施为全厂</w:t>
      </w:r>
      <w:r>
        <w:rPr>
          <w:szCs w:val="24"/>
        </w:rPr>
        <w:t>应急池</w:t>
      </w:r>
      <w:r>
        <w:rPr>
          <w:rFonts w:hint="eastAsia"/>
          <w:szCs w:val="24"/>
          <w:lang w:val="zh-CN"/>
        </w:rPr>
        <w:t>，本次</w:t>
      </w:r>
      <w:r>
        <w:rPr>
          <w:szCs w:val="24"/>
          <w:lang w:val="zh-CN"/>
        </w:rPr>
        <w:t>环评要求厂区内设置事故池，</w:t>
      </w:r>
      <w:r>
        <w:rPr>
          <w:rFonts w:hint="eastAsia"/>
          <w:szCs w:val="24"/>
          <w:lang w:val="zh-CN"/>
        </w:rPr>
        <w:t>根据</w:t>
      </w:r>
      <w:r>
        <w:rPr>
          <w:szCs w:val="24"/>
          <w:lang w:val="zh-CN"/>
        </w:rPr>
        <w:t>《</w:t>
      </w:r>
      <w:r>
        <w:rPr>
          <w:rFonts w:hint="eastAsia"/>
          <w:szCs w:val="24"/>
          <w:lang w:val="zh-CN"/>
        </w:rPr>
        <w:t>事故</w:t>
      </w:r>
      <w:r>
        <w:rPr>
          <w:szCs w:val="24"/>
          <w:lang w:val="zh-CN"/>
        </w:rPr>
        <w:t>状态下</w:t>
      </w:r>
      <w:r>
        <w:rPr>
          <w:rFonts w:hint="eastAsia"/>
          <w:szCs w:val="24"/>
          <w:lang w:val="zh-CN"/>
        </w:rPr>
        <w:t>水体</w:t>
      </w:r>
      <w:r>
        <w:rPr>
          <w:szCs w:val="24"/>
          <w:lang w:val="zh-CN"/>
        </w:rPr>
        <w:t>污染的预防与控制技术要求》</w:t>
      </w:r>
      <w:r>
        <w:rPr>
          <w:rFonts w:hint="eastAsia"/>
          <w:szCs w:val="24"/>
          <w:lang w:val="zh-CN"/>
        </w:rPr>
        <w:t>（Q</w:t>
      </w:r>
      <w:r>
        <w:rPr>
          <w:szCs w:val="24"/>
          <w:lang w:val="zh-CN"/>
        </w:rPr>
        <w:t>/SY08190-2019</w:t>
      </w:r>
      <w:r>
        <w:rPr>
          <w:rFonts w:hint="eastAsia"/>
          <w:szCs w:val="24"/>
          <w:lang w:val="zh-CN"/>
        </w:rPr>
        <w:t>），</w:t>
      </w:r>
      <w:r>
        <w:rPr>
          <w:szCs w:val="24"/>
          <w:lang w:val="zh-CN"/>
        </w:rPr>
        <w:t>本项目事故水池容积计算如下：</w:t>
      </w:r>
    </w:p>
    <w:p>
      <w:pPr>
        <w:ind w:firstLine="480"/>
        <w:jc w:val="center"/>
        <w:rPr>
          <w:szCs w:val="24"/>
          <w:vertAlign w:val="subscript"/>
          <w:lang w:val="zh-CN"/>
        </w:rPr>
      </w:pPr>
      <w:r>
        <w:rPr>
          <w:rFonts w:hint="eastAsia"/>
          <w:szCs w:val="24"/>
          <w:lang w:val="zh-CN"/>
        </w:rPr>
        <w:t>V</w:t>
      </w:r>
      <w:r>
        <w:rPr>
          <w:szCs w:val="24"/>
          <w:vertAlign w:val="subscript"/>
          <w:lang w:val="zh-CN"/>
        </w:rPr>
        <w:t>总</w:t>
      </w:r>
      <w:r>
        <w:rPr>
          <w:szCs w:val="24"/>
          <w:lang w:val="zh-CN"/>
        </w:rPr>
        <w:t>=（V</w:t>
      </w:r>
      <w:r>
        <w:rPr>
          <w:szCs w:val="24"/>
          <w:vertAlign w:val="subscript"/>
          <w:lang w:val="zh-CN"/>
        </w:rPr>
        <w:t>1</w:t>
      </w:r>
      <w:r>
        <w:rPr>
          <w:szCs w:val="24"/>
          <w:lang w:val="zh-CN"/>
        </w:rPr>
        <w:t>+V</w:t>
      </w:r>
      <w:r>
        <w:rPr>
          <w:szCs w:val="24"/>
          <w:vertAlign w:val="subscript"/>
          <w:lang w:val="zh-CN"/>
        </w:rPr>
        <w:t>2</w:t>
      </w:r>
      <w:r>
        <w:rPr>
          <w:szCs w:val="24"/>
          <w:lang w:val="zh-CN"/>
        </w:rPr>
        <w:t>-V</w:t>
      </w:r>
      <w:r>
        <w:rPr>
          <w:szCs w:val="24"/>
          <w:vertAlign w:val="subscript"/>
          <w:lang w:val="zh-CN"/>
        </w:rPr>
        <w:t>3</w:t>
      </w:r>
      <w:r>
        <w:rPr>
          <w:szCs w:val="24"/>
          <w:lang w:val="zh-CN"/>
        </w:rPr>
        <w:t>）</w:t>
      </w:r>
      <w:r>
        <w:rPr>
          <w:rFonts w:hint="eastAsia"/>
          <w:szCs w:val="24"/>
          <w:lang w:val="zh-CN"/>
        </w:rPr>
        <w:t>+</w:t>
      </w:r>
      <w:r>
        <w:rPr>
          <w:szCs w:val="24"/>
          <w:lang w:val="zh-CN"/>
        </w:rPr>
        <w:t>V</w:t>
      </w:r>
      <w:r>
        <w:rPr>
          <w:szCs w:val="24"/>
          <w:vertAlign w:val="subscript"/>
          <w:lang w:val="zh-CN"/>
        </w:rPr>
        <w:t>4</w:t>
      </w:r>
      <w:r>
        <w:rPr>
          <w:szCs w:val="24"/>
          <w:lang w:val="zh-CN"/>
        </w:rPr>
        <w:t>+V</w:t>
      </w:r>
      <w:r>
        <w:rPr>
          <w:szCs w:val="24"/>
          <w:vertAlign w:val="subscript"/>
          <w:lang w:val="zh-CN"/>
        </w:rPr>
        <w:t>5</w:t>
      </w:r>
    </w:p>
    <w:p>
      <w:pPr>
        <w:ind w:firstLine="480"/>
        <w:jc w:val="center"/>
        <w:rPr>
          <w:szCs w:val="24"/>
          <w:lang w:val="zh-CN"/>
        </w:rPr>
      </w:pPr>
      <w:r>
        <w:rPr>
          <w:szCs w:val="24"/>
          <w:lang w:val="zh-CN"/>
        </w:rPr>
        <w:t>V</w:t>
      </w:r>
      <w:r>
        <w:rPr>
          <w:szCs w:val="24"/>
          <w:vertAlign w:val="subscript"/>
          <w:lang w:val="zh-CN"/>
        </w:rPr>
        <w:t>2</w:t>
      </w:r>
      <w:r>
        <w:rPr>
          <w:szCs w:val="24"/>
          <w:lang w:val="zh-CN"/>
        </w:rPr>
        <w:t>=Q</w:t>
      </w:r>
      <w:r>
        <w:rPr>
          <w:rFonts w:hint="eastAsia"/>
          <w:szCs w:val="24"/>
          <w:vertAlign w:val="subscript"/>
          <w:lang w:val="zh-CN"/>
        </w:rPr>
        <w:t>消</w:t>
      </w:r>
      <w:r>
        <w:rPr>
          <w:szCs w:val="24"/>
          <w:lang w:val="zh-CN"/>
        </w:rPr>
        <w:t>×t</w:t>
      </w:r>
      <w:r>
        <w:rPr>
          <w:rFonts w:hint="eastAsia"/>
          <w:szCs w:val="24"/>
          <w:vertAlign w:val="subscript"/>
          <w:lang w:val="zh-CN"/>
        </w:rPr>
        <w:t>消</w:t>
      </w:r>
    </w:p>
    <w:p>
      <w:pPr>
        <w:ind w:firstLine="480"/>
        <w:jc w:val="center"/>
        <w:rPr>
          <w:szCs w:val="24"/>
          <w:lang w:val="zh-CN"/>
        </w:rPr>
      </w:pPr>
      <w:r>
        <w:rPr>
          <w:rFonts w:hint="eastAsia"/>
          <w:szCs w:val="24"/>
          <w:lang w:val="zh-CN"/>
        </w:rPr>
        <w:t>V</w:t>
      </w:r>
      <w:r>
        <w:rPr>
          <w:szCs w:val="24"/>
          <w:vertAlign w:val="subscript"/>
          <w:lang w:val="zh-CN"/>
        </w:rPr>
        <w:t>5</w:t>
      </w:r>
      <w:r>
        <w:rPr>
          <w:szCs w:val="24"/>
          <w:lang w:val="zh-CN"/>
        </w:rPr>
        <w:t>=10q×f</w:t>
      </w:r>
    </w:p>
    <w:p>
      <w:pPr>
        <w:ind w:firstLine="480"/>
        <w:jc w:val="center"/>
        <w:rPr>
          <w:szCs w:val="24"/>
          <w:lang w:val="zh-CN"/>
        </w:rPr>
      </w:pPr>
      <w:r>
        <w:rPr>
          <w:szCs w:val="24"/>
          <w:lang w:val="zh-CN"/>
        </w:rPr>
        <w:t>q=q</w:t>
      </w:r>
      <w:r>
        <w:rPr>
          <w:szCs w:val="24"/>
          <w:vertAlign w:val="subscript"/>
          <w:lang w:val="zh-CN"/>
        </w:rPr>
        <w:t>n</w:t>
      </w:r>
      <w:r>
        <w:rPr>
          <w:szCs w:val="24"/>
          <w:lang w:val="zh-CN"/>
        </w:rPr>
        <w:t>/n</w:t>
      </w:r>
    </w:p>
    <w:p>
      <w:pPr>
        <w:ind w:firstLine="480"/>
        <w:rPr>
          <w:szCs w:val="24"/>
          <w:lang w:val="zh-CN"/>
        </w:rPr>
      </w:pPr>
      <w:r>
        <w:rPr>
          <w:rFonts w:hint="eastAsia"/>
          <w:szCs w:val="24"/>
          <w:lang w:val="zh-CN"/>
        </w:rPr>
        <w:t>式中</w:t>
      </w:r>
      <w:r>
        <w:rPr>
          <w:szCs w:val="24"/>
          <w:lang w:val="zh-CN"/>
        </w:rPr>
        <w:t>：</w:t>
      </w:r>
    </w:p>
    <w:p>
      <w:pPr>
        <w:ind w:firstLine="480"/>
        <w:rPr>
          <w:szCs w:val="24"/>
          <w:lang w:val="zh-CN"/>
        </w:rPr>
      </w:pPr>
      <w:r>
        <w:rPr>
          <w:rFonts w:hint="eastAsia"/>
          <w:szCs w:val="24"/>
          <w:lang w:val="zh-CN"/>
        </w:rPr>
        <w:t>V</w:t>
      </w:r>
      <w:r>
        <w:rPr>
          <w:szCs w:val="24"/>
          <w:vertAlign w:val="subscript"/>
          <w:lang w:val="zh-CN"/>
        </w:rPr>
        <w:t>总</w:t>
      </w:r>
      <w:r>
        <w:rPr>
          <w:szCs w:val="24"/>
          <w:lang w:val="zh-CN"/>
        </w:rPr>
        <w:t>——事故缓冲设施总有效容积，单位为m</w:t>
      </w:r>
      <w:r>
        <w:rPr>
          <w:szCs w:val="24"/>
          <w:vertAlign w:val="superscript"/>
          <w:lang w:val="zh-CN"/>
        </w:rPr>
        <w:t>3</w:t>
      </w:r>
      <w:r>
        <w:rPr>
          <w:rFonts w:hint="eastAsia"/>
          <w:szCs w:val="24"/>
          <w:lang w:val="zh-CN"/>
        </w:rPr>
        <w:t>；</w:t>
      </w:r>
    </w:p>
    <w:p>
      <w:pPr>
        <w:ind w:firstLine="480"/>
        <w:rPr>
          <w:szCs w:val="24"/>
          <w:lang w:val="zh-CN"/>
        </w:rPr>
      </w:pPr>
      <w:r>
        <w:rPr>
          <w:rFonts w:hint="eastAsia"/>
          <w:szCs w:val="24"/>
          <w:lang w:val="zh-CN"/>
        </w:rPr>
        <w:t>V</w:t>
      </w:r>
      <w:r>
        <w:rPr>
          <w:rFonts w:hint="eastAsia"/>
          <w:szCs w:val="24"/>
          <w:vertAlign w:val="subscript"/>
          <w:lang w:val="zh-CN"/>
        </w:rPr>
        <w:t>1</w:t>
      </w:r>
      <w:r>
        <w:rPr>
          <w:szCs w:val="24"/>
          <w:lang w:val="zh-CN"/>
        </w:rPr>
        <w:t>——事故收集范围内发生</w:t>
      </w:r>
      <w:r>
        <w:rPr>
          <w:rFonts w:hint="eastAsia"/>
          <w:szCs w:val="24"/>
          <w:lang w:val="zh-CN"/>
        </w:rPr>
        <w:t>事故</w:t>
      </w:r>
      <w:r>
        <w:rPr>
          <w:szCs w:val="24"/>
          <w:lang w:val="zh-CN"/>
        </w:rPr>
        <w:t>的物料量，单位为m</w:t>
      </w:r>
      <w:r>
        <w:rPr>
          <w:szCs w:val="24"/>
          <w:vertAlign w:val="superscript"/>
          <w:lang w:val="zh-CN"/>
        </w:rPr>
        <w:t>3</w:t>
      </w:r>
      <w:r>
        <w:rPr>
          <w:szCs w:val="24"/>
          <w:lang w:val="zh-CN"/>
        </w:rPr>
        <w:t>；</w:t>
      </w:r>
    </w:p>
    <w:p>
      <w:pPr>
        <w:ind w:firstLine="480"/>
        <w:rPr>
          <w:szCs w:val="24"/>
          <w:lang w:val="zh-CN"/>
        </w:rPr>
      </w:pPr>
      <w:r>
        <w:rPr>
          <w:rFonts w:hint="eastAsia"/>
          <w:szCs w:val="24"/>
          <w:lang w:val="zh-CN"/>
        </w:rPr>
        <w:t>V</w:t>
      </w:r>
      <w:r>
        <w:rPr>
          <w:rFonts w:hint="eastAsia"/>
          <w:szCs w:val="24"/>
          <w:vertAlign w:val="subscript"/>
          <w:lang w:val="zh-CN"/>
        </w:rPr>
        <w:t>2</w:t>
      </w:r>
      <w:r>
        <w:rPr>
          <w:szCs w:val="24"/>
          <w:lang w:val="zh-CN"/>
        </w:rPr>
        <w:t>——发生事故的储罐、装置或铁路、汽车装卸区的消防</w:t>
      </w:r>
      <w:r>
        <w:rPr>
          <w:rFonts w:hint="eastAsia"/>
          <w:szCs w:val="24"/>
          <w:lang w:val="zh-CN"/>
        </w:rPr>
        <w:t>水量</w:t>
      </w:r>
      <w:r>
        <w:rPr>
          <w:szCs w:val="24"/>
          <w:lang w:val="zh-CN"/>
        </w:rPr>
        <w:t>，单位</w:t>
      </w:r>
      <w:r>
        <w:rPr>
          <w:rFonts w:hint="eastAsia"/>
          <w:szCs w:val="24"/>
          <w:lang w:val="zh-CN"/>
        </w:rPr>
        <w:t>为</w:t>
      </w:r>
      <w:r>
        <w:rPr>
          <w:szCs w:val="24"/>
          <w:lang w:val="zh-CN"/>
        </w:rPr>
        <w:t>m</w:t>
      </w:r>
      <w:r>
        <w:rPr>
          <w:szCs w:val="24"/>
          <w:vertAlign w:val="superscript"/>
          <w:lang w:val="zh-CN"/>
        </w:rPr>
        <w:t>3</w:t>
      </w:r>
      <w:r>
        <w:rPr>
          <w:szCs w:val="24"/>
          <w:lang w:val="zh-CN"/>
        </w:rPr>
        <w:t>；</w:t>
      </w:r>
    </w:p>
    <w:p>
      <w:pPr>
        <w:ind w:firstLine="480"/>
        <w:rPr>
          <w:szCs w:val="24"/>
          <w:lang w:val="zh-CN"/>
        </w:rPr>
      </w:pPr>
      <w:r>
        <w:rPr>
          <w:rFonts w:hint="eastAsia"/>
          <w:szCs w:val="24"/>
          <w:lang w:val="zh-CN"/>
        </w:rPr>
        <w:t>Q</w:t>
      </w:r>
      <w:r>
        <w:rPr>
          <w:szCs w:val="24"/>
          <w:vertAlign w:val="subscript"/>
          <w:lang w:val="zh-CN"/>
        </w:rPr>
        <w:t>消</w:t>
      </w:r>
      <w:r>
        <w:rPr>
          <w:szCs w:val="24"/>
          <w:lang w:val="zh-CN"/>
        </w:rPr>
        <w:t>——发生事故的储罐、装置或铁路、汽车装卸区</w:t>
      </w:r>
      <w:r>
        <w:rPr>
          <w:rFonts w:hint="eastAsia"/>
          <w:szCs w:val="24"/>
          <w:lang w:val="zh-CN"/>
        </w:rPr>
        <w:t>同时</w:t>
      </w:r>
      <w:r>
        <w:rPr>
          <w:szCs w:val="24"/>
          <w:lang w:val="zh-CN"/>
        </w:rPr>
        <w:t>使用的消防设施给水流量，单位为m</w:t>
      </w:r>
      <w:r>
        <w:rPr>
          <w:szCs w:val="24"/>
          <w:vertAlign w:val="superscript"/>
          <w:lang w:val="zh-CN"/>
        </w:rPr>
        <w:t>3</w:t>
      </w:r>
      <w:r>
        <w:rPr>
          <w:szCs w:val="24"/>
          <w:lang w:val="zh-CN"/>
        </w:rPr>
        <w:t>/h；</w:t>
      </w:r>
    </w:p>
    <w:p>
      <w:pPr>
        <w:ind w:firstLine="480"/>
        <w:rPr>
          <w:szCs w:val="24"/>
          <w:lang w:val="zh-CN"/>
        </w:rPr>
      </w:pPr>
      <w:r>
        <w:rPr>
          <w:szCs w:val="24"/>
          <w:lang w:val="zh-CN"/>
        </w:rPr>
        <w:t>t</w:t>
      </w:r>
      <w:r>
        <w:rPr>
          <w:rFonts w:hint="eastAsia"/>
          <w:szCs w:val="24"/>
          <w:lang w:val="zh-CN"/>
        </w:rPr>
        <w:t>消——</w:t>
      </w:r>
      <w:r>
        <w:rPr>
          <w:szCs w:val="24"/>
          <w:lang w:val="zh-CN"/>
        </w:rPr>
        <w:t>消防设施对应的设计消防历时</w:t>
      </w:r>
      <w:r>
        <w:rPr>
          <w:rFonts w:hint="eastAsia"/>
          <w:szCs w:val="24"/>
          <w:lang w:val="zh-CN"/>
        </w:rPr>
        <w:t>，</w:t>
      </w:r>
      <w:r>
        <w:rPr>
          <w:szCs w:val="24"/>
          <w:lang w:val="zh-CN"/>
        </w:rPr>
        <w:t>单位为h</w:t>
      </w:r>
      <w:r>
        <w:rPr>
          <w:rFonts w:hint="eastAsia"/>
          <w:szCs w:val="24"/>
          <w:lang w:val="zh-CN"/>
        </w:rPr>
        <w:t>，</w:t>
      </w:r>
      <w:r>
        <w:rPr>
          <w:szCs w:val="24"/>
          <w:lang w:val="zh-CN"/>
        </w:rPr>
        <w:t>计算的V</w:t>
      </w:r>
      <w:r>
        <w:rPr>
          <w:szCs w:val="24"/>
          <w:vertAlign w:val="subscript"/>
          <w:lang w:val="zh-CN"/>
        </w:rPr>
        <w:t>2</w:t>
      </w:r>
      <w:r>
        <w:rPr>
          <w:szCs w:val="24"/>
          <w:lang w:val="zh-CN"/>
        </w:rPr>
        <w:t>=27m</w:t>
      </w:r>
      <w:r>
        <w:rPr>
          <w:szCs w:val="24"/>
          <w:vertAlign w:val="superscript"/>
          <w:lang w:val="zh-CN"/>
        </w:rPr>
        <w:t>3</w:t>
      </w:r>
      <w:r>
        <w:rPr>
          <w:szCs w:val="24"/>
          <w:lang w:val="zh-CN"/>
        </w:rPr>
        <w:t>；</w:t>
      </w:r>
    </w:p>
    <w:p>
      <w:pPr>
        <w:ind w:firstLine="480"/>
        <w:rPr>
          <w:szCs w:val="24"/>
          <w:lang w:val="zh-CN"/>
        </w:rPr>
      </w:pPr>
      <w:r>
        <w:rPr>
          <w:rFonts w:hint="eastAsia"/>
          <w:szCs w:val="24"/>
          <w:lang w:val="zh-CN"/>
        </w:rPr>
        <w:t>V</w:t>
      </w:r>
      <w:r>
        <w:rPr>
          <w:rFonts w:hint="eastAsia"/>
          <w:szCs w:val="24"/>
          <w:vertAlign w:val="subscript"/>
          <w:lang w:val="zh-CN"/>
        </w:rPr>
        <w:t>3</w:t>
      </w:r>
      <w:r>
        <w:rPr>
          <w:szCs w:val="24"/>
          <w:lang w:val="zh-CN"/>
        </w:rPr>
        <w:t>——</w:t>
      </w:r>
      <w:r>
        <w:rPr>
          <w:rFonts w:hint="eastAsia"/>
          <w:szCs w:val="24"/>
          <w:lang w:val="zh-CN"/>
        </w:rPr>
        <w:t>发生</w:t>
      </w:r>
      <w:r>
        <w:rPr>
          <w:szCs w:val="24"/>
          <w:lang w:val="zh-CN"/>
        </w:rPr>
        <w:t>事故时可以转输</w:t>
      </w:r>
      <w:r>
        <w:rPr>
          <w:rFonts w:hint="eastAsia"/>
          <w:szCs w:val="24"/>
          <w:lang w:val="zh-CN"/>
        </w:rPr>
        <w:t>到</w:t>
      </w:r>
      <w:r>
        <w:rPr>
          <w:szCs w:val="24"/>
          <w:lang w:val="zh-CN"/>
        </w:rPr>
        <w:t>其他储存或者处理设施的物料量，单位</w:t>
      </w:r>
      <w:r>
        <w:rPr>
          <w:rFonts w:hint="eastAsia"/>
          <w:szCs w:val="24"/>
          <w:lang w:val="zh-CN"/>
        </w:rPr>
        <w:t>为</w:t>
      </w:r>
      <w:r>
        <w:rPr>
          <w:szCs w:val="24"/>
          <w:lang w:val="zh-CN"/>
        </w:rPr>
        <w:t>m</w:t>
      </w:r>
      <w:r>
        <w:rPr>
          <w:szCs w:val="24"/>
          <w:vertAlign w:val="superscript"/>
          <w:lang w:val="zh-CN"/>
        </w:rPr>
        <w:t>3</w:t>
      </w:r>
      <w:r>
        <w:rPr>
          <w:rFonts w:hint="eastAsia"/>
          <w:szCs w:val="24"/>
          <w:lang w:val="zh-CN"/>
        </w:rPr>
        <w:t>，</w:t>
      </w:r>
      <w:r>
        <w:rPr>
          <w:szCs w:val="24"/>
          <w:lang w:val="zh-CN"/>
        </w:rPr>
        <w:t>本项目</w:t>
      </w:r>
      <w:r>
        <w:rPr>
          <w:rFonts w:hint="eastAsia"/>
          <w:szCs w:val="24"/>
          <w:lang w:val="zh-CN"/>
        </w:rPr>
        <w:t>为0</w:t>
      </w:r>
      <w:r>
        <w:rPr>
          <w:szCs w:val="24"/>
          <w:lang w:val="zh-CN"/>
        </w:rPr>
        <w:t>；</w:t>
      </w:r>
    </w:p>
    <w:p>
      <w:pPr>
        <w:ind w:firstLine="480"/>
        <w:rPr>
          <w:szCs w:val="24"/>
          <w:lang w:val="zh-CN"/>
        </w:rPr>
      </w:pPr>
      <w:r>
        <w:rPr>
          <w:rFonts w:hint="eastAsia"/>
          <w:szCs w:val="24"/>
          <w:lang w:val="zh-CN"/>
        </w:rPr>
        <w:t>V</w:t>
      </w:r>
      <w:r>
        <w:rPr>
          <w:rFonts w:hint="eastAsia"/>
          <w:szCs w:val="24"/>
          <w:vertAlign w:val="subscript"/>
          <w:lang w:val="zh-CN"/>
        </w:rPr>
        <w:t>4</w:t>
      </w:r>
      <w:r>
        <w:rPr>
          <w:szCs w:val="24"/>
          <w:lang w:val="zh-CN"/>
        </w:rPr>
        <w:t>——发生事故时</w:t>
      </w:r>
      <w:r>
        <w:rPr>
          <w:rFonts w:hint="eastAsia"/>
          <w:szCs w:val="24"/>
          <w:lang w:val="zh-CN"/>
        </w:rPr>
        <w:t>仍</w:t>
      </w:r>
      <w:r>
        <w:rPr>
          <w:szCs w:val="24"/>
          <w:lang w:val="zh-CN"/>
        </w:rPr>
        <w:t>必须进入该收集系统的</w:t>
      </w:r>
      <w:r>
        <w:rPr>
          <w:rFonts w:hint="eastAsia"/>
          <w:szCs w:val="24"/>
          <w:lang w:val="zh-CN"/>
        </w:rPr>
        <w:t>生产废水量</w:t>
      </w:r>
      <w:r>
        <w:rPr>
          <w:szCs w:val="24"/>
          <w:lang w:val="zh-CN"/>
        </w:rPr>
        <w:t>，单位</w:t>
      </w:r>
      <w:r>
        <w:rPr>
          <w:rFonts w:hint="eastAsia"/>
          <w:szCs w:val="24"/>
          <w:lang w:val="zh-CN"/>
        </w:rPr>
        <w:t>为</w:t>
      </w:r>
      <w:r>
        <w:rPr>
          <w:szCs w:val="24"/>
          <w:lang w:val="zh-CN"/>
        </w:rPr>
        <w:t>m</w:t>
      </w:r>
      <w:r>
        <w:rPr>
          <w:szCs w:val="24"/>
          <w:vertAlign w:val="superscript"/>
          <w:lang w:val="zh-CN"/>
        </w:rPr>
        <w:t>3</w:t>
      </w:r>
      <w:r>
        <w:rPr>
          <w:rFonts w:hint="eastAsia"/>
          <w:szCs w:val="24"/>
          <w:lang w:val="zh-CN"/>
        </w:rPr>
        <w:t>，</w:t>
      </w:r>
      <w:r>
        <w:rPr>
          <w:szCs w:val="24"/>
          <w:lang w:val="zh-CN"/>
        </w:rPr>
        <w:t>本项目取</w:t>
      </w:r>
      <w:r>
        <w:rPr>
          <w:rFonts w:hint="eastAsia"/>
          <w:szCs w:val="24"/>
          <w:lang w:val="zh-CN"/>
        </w:rPr>
        <w:t>0</w:t>
      </w:r>
      <w:r>
        <w:rPr>
          <w:szCs w:val="24"/>
          <w:lang w:val="zh-CN"/>
        </w:rPr>
        <w:t>；</w:t>
      </w:r>
    </w:p>
    <w:p>
      <w:pPr>
        <w:ind w:firstLine="480"/>
        <w:rPr>
          <w:szCs w:val="24"/>
          <w:lang w:val="zh-CN"/>
        </w:rPr>
      </w:pPr>
      <w:r>
        <w:rPr>
          <w:rFonts w:hint="eastAsia"/>
          <w:szCs w:val="24"/>
          <w:lang w:val="zh-CN"/>
        </w:rPr>
        <w:t>V</w:t>
      </w:r>
      <w:r>
        <w:rPr>
          <w:rFonts w:hint="eastAsia"/>
          <w:szCs w:val="24"/>
          <w:vertAlign w:val="subscript"/>
          <w:lang w:val="zh-CN"/>
        </w:rPr>
        <w:t>5</w:t>
      </w:r>
      <w:r>
        <w:rPr>
          <w:szCs w:val="24"/>
          <w:lang w:val="zh-CN"/>
        </w:rPr>
        <w:t>——发生事故时可能进入该收集系统的降雨量，</w:t>
      </w:r>
      <w:r>
        <w:rPr>
          <w:rFonts w:hint="eastAsia"/>
          <w:szCs w:val="24"/>
          <w:lang w:val="zh-CN"/>
        </w:rPr>
        <w:t>单位为</w:t>
      </w:r>
      <w:r>
        <w:rPr>
          <w:szCs w:val="24"/>
          <w:lang w:val="zh-CN"/>
        </w:rPr>
        <w:t>m</w:t>
      </w:r>
      <w:r>
        <w:rPr>
          <w:szCs w:val="24"/>
          <w:vertAlign w:val="superscript"/>
          <w:lang w:val="zh-CN"/>
        </w:rPr>
        <w:t>3</w:t>
      </w:r>
      <w:r>
        <w:rPr>
          <w:rFonts w:hint="eastAsia"/>
          <w:szCs w:val="24"/>
          <w:lang w:val="zh-CN"/>
        </w:rPr>
        <w:t>，</w:t>
      </w:r>
      <w:r>
        <w:rPr>
          <w:szCs w:val="24"/>
          <w:lang w:val="zh-CN"/>
        </w:rPr>
        <w:t>本项目为</w:t>
      </w:r>
      <w:r>
        <w:rPr>
          <w:rFonts w:hint="eastAsia"/>
          <w:szCs w:val="24"/>
          <w:lang w:val="zh-CN"/>
        </w:rPr>
        <w:t>44.12</w:t>
      </w:r>
      <w:r>
        <w:rPr>
          <w:szCs w:val="24"/>
          <w:lang w:val="zh-CN"/>
        </w:rPr>
        <w:t>；</w:t>
      </w:r>
    </w:p>
    <w:p>
      <w:pPr>
        <w:ind w:firstLine="480"/>
        <w:rPr>
          <w:szCs w:val="24"/>
          <w:lang w:val="zh-CN"/>
        </w:rPr>
      </w:pPr>
      <w:r>
        <w:rPr>
          <w:szCs w:val="24"/>
          <w:lang w:val="zh-CN"/>
        </w:rPr>
        <w:t>q——</w:t>
      </w:r>
      <w:r>
        <w:rPr>
          <w:rFonts w:hint="eastAsia"/>
          <w:szCs w:val="24"/>
          <w:lang w:val="zh-CN"/>
        </w:rPr>
        <w:t>降雨</w:t>
      </w:r>
      <w:r>
        <w:rPr>
          <w:szCs w:val="24"/>
          <w:lang w:val="zh-CN"/>
        </w:rPr>
        <w:t>强度，按平均日降雨量，单位为</w:t>
      </w:r>
      <w:r>
        <w:rPr>
          <w:rFonts w:hint="eastAsia"/>
          <w:szCs w:val="24"/>
          <w:lang w:val="zh-CN"/>
        </w:rPr>
        <w:t>mm，</w:t>
      </w:r>
      <w:r>
        <w:rPr>
          <w:szCs w:val="24"/>
          <w:lang w:val="zh-CN"/>
        </w:rPr>
        <w:t>q=q</w:t>
      </w:r>
      <w:r>
        <w:rPr>
          <w:szCs w:val="24"/>
          <w:vertAlign w:val="subscript"/>
          <w:lang w:val="zh-CN"/>
        </w:rPr>
        <w:t>n</w:t>
      </w:r>
      <w:r>
        <w:rPr>
          <w:szCs w:val="24"/>
          <w:lang w:val="zh-CN"/>
        </w:rPr>
        <w:t>/n=11.03mm；</w:t>
      </w:r>
    </w:p>
    <w:p>
      <w:pPr>
        <w:ind w:firstLine="480"/>
        <w:rPr>
          <w:szCs w:val="24"/>
          <w:lang w:val="zh-CN"/>
        </w:rPr>
      </w:pPr>
      <w:r>
        <w:rPr>
          <w:rFonts w:hint="eastAsia"/>
          <w:szCs w:val="24"/>
          <w:lang w:val="zh-CN"/>
        </w:rPr>
        <w:t>q</w:t>
      </w:r>
      <w:r>
        <w:rPr>
          <w:szCs w:val="24"/>
          <w:vertAlign w:val="subscript"/>
          <w:lang w:val="zh-CN"/>
        </w:rPr>
        <w:t>n</w:t>
      </w:r>
      <w:r>
        <w:rPr>
          <w:szCs w:val="24"/>
          <w:lang w:val="zh-CN"/>
        </w:rPr>
        <w:t>——</w:t>
      </w:r>
      <w:r>
        <w:rPr>
          <w:rFonts w:hint="eastAsia"/>
          <w:szCs w:val="24"/>
          <w:lang w:val="zh-CN"/>
        </w:rPr>
        <w:t>年</w:t>
      </w:r>
      <w:r>
        <w:rPr>
          <w:szCs w:val="24"/>
          <w:lang w:val="zh-CN"/>
        </w:rPr>
        <w:t>平均降雨量，单位为mm</w:t>
      </w:r>
      <w:r>
        <w:rPr>
          <w:rFonts w:hint="eastAsia"/>
          <w:szCs w:val="24"/>
          <w:lang w:val="zh-CN"/>
        </w:rPr>
        <w:t>，</w:t>
      </w:r>
      <w:r>
        <w:rPr>
          <w:szCs w:val="24"/>
          <w:lang w:val="zh-CN"/>
        </w:rPr>
        <w:t>本项目为</w:t>
      </w:r>
      <w:r>
        <w:rPr>
          <w:rFonts w:hint="eastAsia"/>
          <w:szCs w:val="24"/>
          <w:lang w:val="zh-CN"/>
        </w:rPr>
        <w:t>805</w:t>
      </w:r>
      <w:r>
        <w:rPr>
          <w:szCs w:val="24"/>
          <w:lang w:val="zh-CN"/>
        </w:rPr>
        <w:t>mm；</w:t>
      </w:r>
    </w:p>
    <w:p>
      <w:pPr>
        <w:ind w:firstLine="480"/>
        <w:rPr>
          <w:szCs w:val="24"/>
          <w:lang w:val="zh-CN"/>
        </w:rPr>
      </w:pPr>
      <w:r>
        <w:rPr>
          <w:rFonts w:hint="eastAsia"/>
          <w:szCs w:val="24"/>
          <w:lang w:val="zh-CN"/>
        </w:rPr>
        <w:t>n</w:t>
      </w:r>
      <w:r>
        <w:rPr>
          <w:szCs w:val="24"/>
          <w:lang w:val="zh-CN"/>
        </w:rPr>
        <w:t>——</w:t>
      </w:r>
      <w:r>
        <w:rPr>
          <w:rFonts w:hint="eastAsia"/>
          <w:szCs w:val="24"/>
          <w:lang w:val="zh-CN"/>
        </w:rPr>
        <w:t>年</w:t>
      </w:r>
      <w:r>
        <w:rPr>
          <w:szCs w:val="24"/>
          <w:lang w:val="zh-CN"/>
        </w:rPr>
        <w:t>平均</w:t>
      </w:r>
      <w:r>
        <w:rPr>
          <w:rFonts w:hint="eastAsia"/>
          <w:szCs w:val="24"/>
          <w:lang w:val="zh-CN"/>
        </w:rPr>
        <w:t>降雨</w:t>
      </w:r>
      <w:r>
        <w:rPr>
          <w:szCs w:val="24"/>
          <w:lang w:val="zh-CN"/>
        </w:rPr>
        <w:t>日数</w:t>
      </w:r>
      <w:r>
        <w:rPr>
          <w:rFonts w:hint="eastAsia"/>
          <w:szCs w:val="24"/>
          <w:lang w:val="zh-CN"/>
        </w:rPr>
        <w:t>，</w:t>
      </w:r>
      <w:r>
        <w:rPr>
          <w:szCs w:val="24"/>
          <w:lang w:val="zh-CN"/>
        </w:rPr>
        <w:t>单位为d</w:t>
      </w:r>
      <w:r>
        <w:rPr>
          <w:rFonts w:hint="eastAsia"/>
          <w:szCs w:val="24"/>
          <w:lang w:val="zh-CN"/>
        </w:rPr>
        <w:t>，</w:t>
      </w:r>
      <w:r>
        <w:rPr>
          <w:szCs w:val="24"/>
          <w:lang w:val="zh-CN"/>
        </w:rPr>
        <w:t>本项目取</w:t>
      </w:r>
      <w:r>
        <w:rPr>
          <w:rFonts w:hint="eastAsia"/>
          <w:szCs w:val="24"/>
          <w:lang w:val="zh-CN"/>
        </w:rPr>
        <w:t>73</w:t>
      </w:r>
      <w:r>
        <w:rPr>
          <w:szCs w:val="24"/>
          <w:lang w:val="zh-CN"/>
        </w:rPr>
        <w:t>d；</w:t>
      </w:r>
    </w:p>
    <w:p>
      <w:pPr>
        <w:ind w:firstLine="480"/>
        <w:rPr>
          <w:szCs w:val="24"/>
          <w:lang w:val="zh-CN"/>
        </w:rPr>
      </w:pPr>
      <w:r>
        <w:rPr>
          <w:szCs w:val="24"/>
          <w:lang w:val="zh-CN"/>
        </w:rPr>
        <w:t>f——必须进入事故废水收集系统的雨水</w:t>
      </w:r>
      <w:r>
        <w:rPr>
          <w:rFonts w:hint="eastAsia"/>
          <w:szCs w:val="24"/>
          <w:lang w:val="zh-CN"/>
        </w:rPr>
        <w:t>汇水</w:t>
      </w:r>
      <w:r>
        <w:rPr>
          <w:szCs w:val="24"/>
          <w:lang w:val="zh-CN"/>
        </w:rPr>
        <w:t>面积，单位为</w:t>
      </w:r>
      <w:r>
        <w:rPr>
          <w:rFonts w:hint="eastAsia"/>
          <w:szCs w:val="24"/>
          <w:lang w:val="zh-CN"/>
        </w:rPr>
        <w:t>ha，</w:t>
      </w:r>
      <w:r>
        <w:rPr>
          <w:szCs w:val="24"/>
          <w:lang w:val="zh-CN"/>
        </w:rPr>
        <w:t>本项目为</w:t>
      </w:r>
      <w:r>
        <w:rPr>
          <w:rFonts w:hint="eastAsia"/>
          <w:szCs w:val="24"/>
          <w:lang w:val="zh-CN"/>
        </w:rPr>
        <w:t>0.4</w:t>
      </w:r>
      <w:r>
        <w:rPr>
          <w:szCs w:val="24"/>
          <w:lang w:val="zh-CN"/>
        </w:rPr>
        <w:t>。</w:t>
      </w:r>
    </w:p>
    <w:p>
      <w:pPr>
        <w:ind w:firstLine="480"/>
        <w:rPr>
          <w:szCs w:val="24"/>
          <w:lang w:val="zh-CN"/>
        </w:rPr>
      </w:pPr>
      <w:r>
        <w:rPr>
          <w:rFonts w:hint="eastAsia"/>
          <w:szCs w:val="24"/>
          <w:lang w:val="zh-CN"/>
        </w:rPr>
        <w:t>由</w:t>
      </w:r>
      <w:r>
        <w:rPr>
          <w:szCs w:val="24"/>
          <w:lang w:val="zh-CN"/>
        </w:rPr>
        <w:t>以上计算，本项目</w:t>
      </w:r>
      <w:r>
        <w:rPr>
          <w:szCs w:val="24"/>
        </w:rPr>
        <w:t>事故池</w:t>
      </w:r>
      <w:r>
        <w:rPr>
          <w:szCs w:val="24"/>
          <w:lang w:val="zh-CN"/>
        </w:rPr>
        <w:t>有效容积</w:t>
      </w:r>
      <w:r>
        <w:rPr>
          <w:szCs w:val="24"/>
        </w:rPr>
        <w:t>130</w:t>
      </w:r>
      <w:r>
        <w:rPr>
          <w:szCs w:val="24"/>
          <w:lang w:val="zh-CN"/>
        </w:rPr>
        <w:t>m</w:t>
      </w:r>
      <w:r>
        <w:rPr>
          <w:szCs w:val="24"/>
          <w:vertAlign w:val="superscript"/>
          <w:lang w:val="zh-CN"/>
        </w:rPr>
        <w:t>3</w:t>
      </w:r>
      <w:r>
        <w:rPr>
          <w:szCs w:val="24"/>
          <w:lang w:val="zh-CN"/>
        </w:rPr>
        <w:t>，在降雨及较大事故同时发生时，利用全厂雨水管网作为事故排污管道，通过事故污水连通管上的闸门切换，将事故过程中产生的消防废水、泄漏物料及事故过程中可能受污染的雨水等导入全厂</w:t>
      </w:r>
      <w:r>
        <w:rPr>
          <w:szCs w:val="24"/>
        </w:rPr>
        <w:t>应急</w:t>
      </w:r>
      <w:r>
        <w:rPr>
          <w:szCs w:val="24"/>
          <w:lang w:val="zh-CN"/>
        </w:rPr>
        <w:t>。</w:t>
      </w:r>
    </w:p>
    <w:p>
      <w:pPr>
        <w:ind w:firstLine="480"/>
        <w:rPr>
          <w:lang w:val="zh-CN"/>
        </w:rPr>
      </w:pPr>
      <w:r>
        <w:rPr>
          <w:szCs w:val="24"/>
          <w:lang w:val="zh-CN"/>
        </w:rPr>
        <w:t>事故池在非事故状态下不得占用以保证可以随时容纳可能发生的事故产生的废水。企业应计有效防止泄漏物质、消防水、污染雨水等扩散至外环境的收集、导流、拦截、降污等环境风险防范设施。对排入应急事故水池的废水应进行必</w:t>
      </w:r>
      <w:r>
        <w:rPr>
          <w:lang w:val="zh-CN"/>
        </w:rPr>
        <w:t>要的监测，能够回用的回用；对不符合</w:t>
      </w:r>
      <w:r>
        <w:rPr>
          <w:rFonts w:hint="eastAsia"/>
          <w:lang w:val="zh-CN"/>
        </w:rPr>
        <w:t>回用</w:t>
      </w:r>
      <w:r>
        <w:rPr>
          <w:lang w:val="zh-CN"/>
        </w:rPr>
        <w:t>要求的废水，应采取处理措施或外送处理。</w:t>
      </w:r>
    </w:p>
    <w:p>
      <w:pPr>
        <w:ind w:firstLine="480"/>
        <w:rPr>
          <w:lang w:val="zh-CN"/>
        </w:rPr>
      </w:pPr>
      <w:r>
        <w:rPr>
          <w:lang w:val="zh-CN"/>
        </w:rPr>
        <w:t>根据平面布置图，本项目事故池位于厂区</w:t>
      </w:r>
      <w:r>
        <w:rPr>
          <w:rFonts w:hint="eastAsia"/>
        </w:rPr>
        <w:t>西南</w:t>
      </w:r>
      <w:r>
        <w:rPr>
          <w:lang w:val="zh-CN"/>
        </w:rPr>
        <w:t>侧，整体地形</w:t>
      </w:r>
      <w:r>
        <w:rPr>
          <w:rFonts w:hint="eastAsia"/>
        </w:rPr>
        <w:t>北</w:t>
      </w:r>
      <w:r>
        <w:rPr>
          <w:lang w:val="zh-CN"/>
        </w:rPr>
        <w:t>高</w:t>
      </w:r>
      <w:r>
        <w:rPr>
          <w:rFonts w:hint="eastAsia"/>
        </w:rPr>
        <w:t>南</w:t>
      </w:r>
      <w:r>
        <w:rPr>
          <w:lang w:val="zh-CN"/>
        </w:rPr>
        <w:t>低，消防废水及危险物料可以自流入事故池内。本项目事故水三级防控系统示意见图</w:t>
      </w:r>
      <w:r>
        <w:rPr>
          <w:rFonts w:hint="eastAsia"/>
        </w:rPr>
        <w:t>8.</w:t>
      </w:r>
      <w:r>
        <w:t>6-1</w:t>
      </w:r>
      <w:r>
        <w:rPr>
          <w:lang w:val="zh-CN"/>
        </w:rPr>
        <w:t>。</w:t>
      </w:r>
    </w:p>
    <w:p>
      <w:pPr>
        <w:ind w:firstLine="440"/>
        <w:jc w:val="center"/>
      </w:pPr>
      <w:r>
        <w:rPr>
          <w:kern w:val="0"/>
          <w:sz w:val="22"/>
          <w:szCs w:val="21"/>
        </w:rPr>
        <mc:AlternateContent>
          <mc:Choice Requires="wps">
            <w:drawing>
              <wp:anchor distT="0" distB="0" distL="114300" distR="114300" simplePos="0" relativeHeight="252321792" behindDoc="0" locked="0" layoutInCell="1" allowOverlap="1">
                <wp:simplePos x="0" y="0"/>
                <wp:positionH relativeFrom="column">
                  <wp:posOffset>1961515</wp:posOffset>
                </wp:positionH>
                <wp:positionV relativeFrom="paragraph">
                  <wp:posOffset>3184525</wp:posOffset>
                </wp:positionV>
                <wp:extent cx="1104265" cy="457200"/>
                <wp:effectExtent l="0" t="0" r="19685" b="19050"/>
                <wp:wrapNone/>
                <wp:docPr id="10" name="文本框 10"/>
                <wp:cNvGraphicFramePr/>
                <a:graphic xmlns:a="http://schemas.openxmlformats.org/drawingml/2006/main">
                  <a:graphicData uri="http://schemas.microsoft.com/office/word/2010/wordprocessingShape">
                    <wps:wsp>
                      <wps:cNvSpPr txBox="1"/>
                      <wps:spPr>
                        <a:xfrm>
                          <a:off x="0" y="0"/>
                          <a:ext cx="110440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jc w:val="center"/>
                            </w:pPr>
                            <w:r>
                              <w:rPr>
                                <w:rFonts w:hint="eastAsia"/>
                              </w:rPr>
                              <w:t>自行或</w:t>
                            </w:r>
                            <w:r>
                              <w:t>委外</w:t>
                            </w:r>
                          </w:p>
                          <w:p>
                            <w:pPr>
                              <w:spacing w:line="240" w:lineRule="auto"/>
                              <w:ind w:firstLine="0" w:firstLineChars="0"/>
                              <w:jc w:val="center"/>
                            </w:pPr>
                            <w:r>
                              <w:t>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5pt;margin-top:250.75pt;height:36pt;width:86.95pt;z-index:252321792;mso-width-relative:page;mso-height-relative:page;" fillcolor="#FFFFFF [3201]" filled="t" stroked="t" coordsize="21600,21600" o:gfxdata="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PnRpfYAAAACwEAAA8AAAAAAAAAAQAgAAAAIgAA&#10;AGRycy9kb3ducmV2LnhtbFBLAQIUABQAAAAIAIdO4kBP6lSyQQIAAHkEAAAOAAAAAAAAAAEAIAAA&#10;ACcBAABkcnMvZTJvRG9jLnhtbFBLBQYAAAAABgAGAFkBAADaBQAAAAA=&#10;">
                <v:fill on="t" focussize="0,0"/>
                <v:stroke weight="0.5pt" color="#000000 [3204]" joinstyle="round"/>
                <v:imagedata o:title=""/>
                <o:lock v:ext="edit" aspectratio="f"/>
                <v:textbox>
                  <w:txbxContent>
                    <w:p>
                      <w:pPr>
                        <w:spacing w:line="240" w:lineRule="auto"/>
                        <w:ind w:firstLine="0" w:firstLineChars="0"/>
                        <w:jc w:val="center"/>
                      </w:pPr>
                      <w:r>
                        <w:rPr>
                          <w:rFonts w:hint="eastAsia"/>
                        </w:rPr>
                        <w:t>自行或</w:t>
                      </w:r>
                      <w:r>
                        <w:t>委外</w:t>
                      </w:r>
                    </w:p>
                    <w:p>
                      <w:pPr>
                        <w:spacing w:line="240" w:lineRule="auto"/>
                        <w:ind w:firstLine="0" w:firstLineChars="0"/>
                        <w:jc w:val="center"/>
                      </w:pPr>
                      <w:r>
                        <w:t>处理</w:t>
                      </w:r>
                    </w:p>
                  </w:txbxContent>
                </v:textbox>
              </v:shape>
            </w:pict>
          </mc:Fallback>
        </mc:AlternateContent>
      </w:r>
      <w:r>
        <w:rPr>
          <w:kern w:val="0"/>
          <w:sz w:val="22"/>
          <w:szCs w:val="21"/>
        </w:rPr>
        <w:drawing>
          <wp:inline distT="0" distB="0" distL="114300" distR="114300">
            <wp:extent cx="3429000" cy="3551555"/>
            <wp:effectExtent l="0" t="0" r="0" b="0"/>
            <wp:docPr id="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6"/>
                    <pic:cNvPicPr>
                      <a:picLocks noChangeAspect="1"/>
                    </pic:cNvPicPr>
                  </pic:nvPicPr>
                  <pic:blipFill>
                    <a:blip r:embed="rId111"/>
                    <a:stretch>
                      <a:fillRect/>
                    </a:stretch>
                  </pic:blipFill>
                  <pic:spPr>
                    <a:xfrm>
                      <a:off x="0" y="0"/>
                      <a:ext cx="3435404" cy="3558370"/>
                    </a:xfrm>
                    <a:prstGeom prst="rect">
                      <a:avLst/>
                    </a:prstGeom>
                    <a:noFill/>
                    <a:ln>
                      <a:noFill/>
                    </a:ln>
                  </pic:spPr>
                </pic:pic>
              </a:graphicData>
            </a:graphic>
          </wp:inline>
        </w:drawing>
      </w:r>
    </w:p>
    <w:p>
      <w:pPr>
        <w:pStyle w:val="93"/>
      </w:pPr>
      <w:r>
        <w:t>图6.9-1  水污染三级防控体系示意图</w:t>
      </w:r>
    </w:p>
    <w:p>
      <w:pPr>
        <w:pStyle w:val="93"/>
        <w:rPr>
          <w:highlight w:val="yellow"/>
        </w:rPr>
      </w:pPr>
    </w:p>
    <w:p>
      <w:pPr>
        <w:pStyle w:val="3"/>
      </w:pPr>
      <w:bookmarkStart w:id="165" w:name="_Toc82502968"/>
      <w:r>
        <w:rPr>
          <w:rFonts w:hint="eastAsia"/>
        </w:rPr>
        <w:t>环境风险管理</w:t>
      </w:r>
      <w:r>
        <w:t>及事故应急预案</w:t>
      </w:r>
      <w:r>
        <w:rPr>
          <w:rFonts w:hint="eastAsia"/>
        </w:rPr>
        <w:t>要求</w:t>
      </w:r>
      <w:bookmarkEnd w:id="165"/>
      <w:r>
        <w:rPr>
          <w:rFonts w:hint="eastAsia"/>
        </w:rPr>
        <w:t xml:space="preserve"> </w:t>
      </w:r>
    </w:p>
    <w:p>
      <w:pPr>
        <w:pStyle w:val="4"/>
      </w:pPr>
      <w:r>
        <w:rPr>
          <w:rFonts w:hint="eastAsia"/>
        </w:rPr>
        <w:t>环境</w:t>
      </w:r>
      <w:r>
        <w:t>风险管理</w:t>
      </w:r>
    </w:p>
    <w:p>
      <w:pPr>
        <w:ind w:firstLine="480"/>
      </w:pPr>
      <w:r>
        <w:rPr>
          <w:rFonts w:hint="eastAsia"/>
        </w:rPr>
        <w:t>企业应根据《国家突发环境事件应急预案》（国办函[2014]119号）、《陕西省环境保护厅关于进一步加强风险防范严格环境影响评价管理的通知》（陕环函[2012]764号）等相关文件要求，严格环境风险管理，制定完善的事故应急预案。主要要求如下：</w:t>
      </w:r>
    </w:p>
    <w:p>
      <w:pPr>
        <w:ind w:firstLine="480"/>
      </w:pPr>
      <w:r>
        <w:rPr>
          <w:rFonts w:hint="eastAsia"/>
        </w:rPr>
        <w:t>（1）建设单位及其所属企业是环境风险防范的责任主体，应建立有效的环境风险防范与应急管理体系并不断完善。</w:t>
      </w:r>
    </w:p>
    <w:p>
      <w:pPr>
        <w:ind w:firstLine="480"/>
      </w:pPr>
      <w:r>
        <w:rPr>
          <w:rFonts w:hint="eastAsia"/>
        </w:rPr>
        <w:t>（2）建设项目的环境风险防范设施和应急措施是企业环境风险防范与应急管理体系的组成部分，也是企业制定和完善突发环境事件应急预案的基础。企业突发环境事件应急预案的编制、评估、备案和实施等，《企业事业单位突发环境事件应急预案备案管理办法（试行）》（环发[2015]4号）、《企业突发环境事件风险评估指南（试行）》（环办[2014]34号）等相关规定执行。</w:t>
      </w:r>
    </w:p>
    <w:p>
      <w:pPr>
        <w:ind w:firstLine="480"/>
      </w:pPr>
      <w:r>
        <w:rPr>
          <w:rFonts w:hint="eastAsia"/>
        </w:rPr>
        <w:t>（3）建设项目设计阶段，应参照《化工建设项目环境保护设计规范》（GB50483）等国家标准和规范要求，设计有效防止泄漏物质、消防水、污染雨水等扩散至外环境的收集、导流、拦截、降污等环境风险防范设施。</w:t>
      </w:r>
    </w:p>
    <w:p>
      <w:pPr>
        <w:ind w:firstLine="480"/>
        <w:rPr>
          <w:szCs w:val="21"/>
          <w:lang w:val="zh-CN"/>
        </w:rPr>
      </w:pPr>
      <w:r>
        <w:rPr>
          <w:szCs w:val="21"/>
          <w:lang w:val="zh-CN"/>
        </w:rPr>
        <w:t>（4）建设项目应在其设计方案确定后、设计文件批复前，逐项对比防治污染、防止生态破坏以及防范环境风险设施的设计方案与环境影响评价文件及批复要求的相符性。建设单位应将上述环保设施在设计阶段的落实情况报环境影响评价文件审批部门备案，并抄报当地环保部门。</w:t>
      </w:r>
    </w:p>
    <w:p>
      <w:pPr>
        <w:ind w:firstLine="480"/>
        <w:rPr>
          <w:szCs w:val="21"/>
          <w:lang w:val="zh-CN"/>
        </w:rPr>
      </w:pPr>
      <w:r>
        <w:rPr>
          <w:szCs w:val="21"/>
          <w:lang w:val="zh-CN"/>
        </w:rPr>
        <w:t>（5）企业应建设并完善日常和应急监测系统，配备大气、水环境特征污染物监控设备，编制日常和应急监测方案，提高监控水平、应急响应速度和应急处理能力；建立完备的环境信息平台，定期向社会公布企业环境信息，接受公众监督。将企业突发环境事件应急预案演练和应急物资管理作为日常工作任务，不断提升环境风险防范应急保障能力。</w:t>
      </w:r>
    </w:p>
    <w:p>
      <w:pPr>
        <w:ind w:firstLine="480"/>
        <w:rPr>
          <w:szCs w:val="21"/>
          <w:lang w:val="zh-CN"/>
        </w:rPr>
      </w:pPr>
      <w:r>
        <w:rPr>
          <w:szCs w:val="21"/>
          <w:lang w:val="zh-CN"/>
        </w:rPr>
        <w:t>（6）企业应积极配合当地政府建设和完善项目所在园区环境风险预警体系、环境风险防控工程、环境应急保障体系。企业突发环境事件应急预案应与当地政府和相关部门以及周边企业、园区的应急预案相衔接，加强区域应急物资调配管理，构建区域环境风险联控机制。</w:t>
      </w:r>
    </w:p>
    <w:p>
      <w:pPr>
        <w:pStyle w:val="4"/>
      </w:pPr>
      <w:r>
        <w:rPr>
          <w:rFonts w:hint="eastAsia"/>
        </w:rPr>
        <w:t>应急</w:t>
      </w:r>
      <w:r>
        <w:t>预案</w:t>
      </w:r>
    </w:p>
    <w:p>
      <w:pPr>
        <w:ind w:firstLine="480"/>
      </w:pPr>
      <w:r>
        <w:rPr>
          <w:rFonts w:hint="eastAsia"/>
        </w:rPr>
        <w:t>根据《关于进一步加强环境影响评价管理防范环境风险的通知》（环发[2012]77 号）的要求，通过对污染事故的风险评价，各有关企业单位应制定防止重大环境污染事故的工作计划，消除事故隐患及突发性事故应急处理办法等。</w:t>
      </w:r>
    </w:p>
    <w:p>
      <w:pPr>
        <w:ind w:firstLine="480"/>
      </w:pPr>
      <w:r>
        <w:rPr>
          <w:rFonts w:hint="eastAsia"/>
        </w:rPr>
        <w:t>1、总要求</w:t>
      </w:r>
    </w:p>
    <w:p>
      <w:pPr>
        <w:ind w:firstLine="480"/>
      </w:pPr>
      <w:r>
        <w:rPr>
          <w:rFonts w:hint="eastAsia"/>
        </w:rPr>
        <w:t>应急组织要坚持“主动预防、积极抢救”的原则，应能够处理疫情、火灾爆炸等突发事故，快速的反应和正确的处理措施。</w:t>
      </w:r>
    </w:p>
    <w:p>
      <w:pPr>
        <w:ind w:firstLine="480"/>
      </w:pPr>
      <w:r>
        <w:rPr>
          <w:rFonts w:hint="eastAsia"/>
        </w:rPr>
        <w:t>2、快速的反应</w:t>
      </w:r>
    </w:p>
    <w:p>
      <w:pPr>
        <w:ind w:firstLine="480"/>
      </w:pPr>
      <w:r>
        <w:rPr>
          <w:rFonts w:hint="eastAsia"/>
        </w:rPr>
        <w:t>迅速查清事故发生的位置、环境、规模及可能产生的危害；迅速沟通应急领导机构、应急队伍、辅助人员以及灾害区内部人员之间的联络；迅速启动各类应急设施、调动应急人员；迅速组织医疗、后勤、保卫等队伍各司其责；迅速通报灾情，通知相关方做好各项必要的准备。</w:t>
      </w:r>
    </w:p>
    <w:p>
      <w:pPr>
        <w:ind w:firstLine="480"/>
      </w:pPr>
      <w:r>
        <w:rPr>
          <w:rFonts w:hint="eastAsia"/>
        </w:rPr>
        <w:t>3、正确的措施</w:t>
      </w:r>
    </w:p>
    <w:p>
      <w:pPr>
        <w:ind w:firstLine="480"/>
      </w:pPr>
      <w:r>
        <w:rPr>
          <w:rFonts w:hint="eastAsia"/>
        </w:rPr>
        <w:t>保护或设置好避灾通道和安全联络设备，撤离受灾人员。采取必要的自救措施，力争迅速消灭疫情或灾害，并注意采取隔离措施。</w:t>
      </w:r>
    </w:p>
    <w:p>
      <w:pPr>
        <w:ind w:firstLine="480"/>
      </w:pPr>
      <w:r>
        <w:rPr>
          <w:rFonts w:hint="eastAsia"/>
        </w:rPr>
        <w:t>应急预案计划应包括：</w:t>
      </w:r>
    </w:p>
    <w:p>
      <w:pPr>
        <w:ind w:firstLine="480"/>
      </w:pPr>
      <w:r>
        <w:rPr>
          <w:rFonts w:hint="eastAsia"/>
        </w:rPr>
        <w:t>1、进行应急反应和事故控制的组织、责任、授权人和程序，包括内部和外部通讯；</w:t>
      </w:r>
    </w:p>
    <w:p>
      <w:pPr>
        <w:ind w:firstLine="480"/>
      </w:pPr>
      <w:r>
        <w:rPr>
          <w:rFonts w:hint="eastAsia"/>
        </w:rPr>
        <w:t>2、提供人员避险、撤退、救援和医疗处理的系统和程序；</w:t>
      </w:r>
    </w:p>
    <w:p>
      <w:pPr>
        <w:ind w:firstLine="480"/>
      </w:pPr>
      <w:r>
        <w:rPr>
          <w:rFonts w:hint="eastAsia"/>
        </w:rPr>
        <w:t>3、防止、削减和监测应急行动产生的环境影响的系统和程序；</w:t>
      </w:r>
    </w:p>
    <w:p>
      <w:pPr>
        <w:ind w:firstLine="480"/>
      </w:pPr>
      <w:r>
        <w:rPr>
          <w:rFonts w:hint="eastAsia"/>
        </w:rPr>
        <w:t>4、与授权人、有关人员和相关方通讯联系的程序；</w:t>
      </w:r>
    </w:p>
    <w:p>
      <w:pPr>
        <w:ind w:firstLine="480"/>
      </w:pPr>
      <w:r>
        <w:rPr>
          <w:rFonts w:hint="eastAsia"/>
        </w:rPr>
        <w:t>5、调动地方资源进行应急支持的安排和程序；</w:t>
      </w:r>
    </w:p>
    <w:p>
      <w:pPr>
        <w:ind w:firstLine="480"/>
      </w:pPr>
      <w:r>
        <w:rPr>
          <w:rFonts w:hint="eastAsia"/>
        </w:rPr>
        <w:t>6、训练应急反应和试验应急系统和程序的安排。</w:t>
      </w:r>
    </w:p>
    <w:p>
      <w:pPr>
        <w:ind w:firstLine="480"/>
        <w:rPr>
          <w:b/>
          <w:sz w:val="21"/>
          <w:szCs w:val="24"/>
        </w:rPr>
      </w:pPr>
      <w:r>
        <w:t>应急预案的主要内容</w:t>
      </w:r>
      <w:r>
        <w:rPr>
          <w:rFonts w:hint="eastAsia"/>
        </w:rPr>
        <w:t>见</w:t>
      </w:r>
      <w:r>
        <w:t>表</w:t>
      </w:r>
      <w:r>
        <w:rPr>
          <w:rFonts w:hint="eastAsia"/>
        </w:rPr>
        <w:t>6.</w:t>
      </w:r>
      <w:r>
        <w:t>10</w:t>
      </w:r>
      <w:r>
        <w:rPr>
          <w:rFonts w:hint="eastAsia"/>
        </w:rPr>
        <w:t>-1。</w:t>
      </w:r>
      <w:bookmarkStart w:id="166" w:name="_Ref25768370"/>
    </w:p>
    <w:p>
      <w:pPr>
        <w:spacing w:line="240" w:lineRule="auto"/>
        <w:ind w:firstLine="0" w:firstLineChars="0"/>
        <w:jc w:val="center"/>
        <w:rPr>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6.10</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166"/>
      <w:r>
        <w:rPr>
          <w:b/>
          <w:sz w:val="21"/>
          <w:szCs w:val="24"/>
        </w:rPr>
        <w:t xml:space="preserve">  风险事故应急预案的主要内容</w:t>
      </w:r>
    </w:p>
    <w:tbl>
      <w:tblPr>
        <w:tblStyle w:val="107"/>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097"/>
        <w:gridCol w:w="5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序号</w:t>
            </w: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项目</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应急计划区</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危险目标：生产车间、</w:t>
            </w:r>
            <w:r>
              <w:rPr>
                <w:rFonts w:hint="eastAsia"/>
                <w:kern w:val="0"/>
                <w:sz w:val="21"/>
                <w:szCs w:val="20"/>
              </w:rPr>
              <w:t>储罐区</w:t>
            </w:r>
            <w:r>
              <w:rPr>
                <w:kern w:val="0"/>
                <w:sz w:val="21"/>
                <w:szCs w:val="20"/>
              </w:rPr>
              <w:t>、环境保护目标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应急组织机构、人员</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企业、地区应急组织机构、人员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应急分级响应条件</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应急救援保障</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应急设施</w:t>
            </w:r>
            <w:r>
              <w:rPr>
                <w:rFonts w:hint="eastAsia"/>
                <w:kern w:val="0"/>
                <w:sz w:val="21"/>
                <w:szCs w:val="20"/>
              </w:rPr>
              <w:t>、</w:t>
            </w:r>
            <w:r>
              <w:rPr>
                <w:kern w:val="0"/>
                <w:sz w:val="21"/>
                <w:szCs w:val="20"/>
              </w:rPr>
              <w:t>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报警、通讯联络方式</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应急环境监测、抢险、救援及控制措施</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由专业队伍负责对事故现场进行</w:t>
            </w:r>
            <w:r>
              <w:rPr>
                <w:rFonts w:hint="eastAsia"/>
                <w:kern w:val="0"/>
                <w:sz w:val="21"/>
                <w:szCs w:val="20"/>
              </w:rPr>
              <w:t>检查</w:t>
            </w:r>
            <w:r>
              <w:rPr>
                <w:kern w:val="0"/>
                <w:sz w:val="21"/>
                <w:szCs w:val="20"/>
              </w:rPr>
              <w:t>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应急检测、防护措施、清除泄漏措施和器材</w:t>
            </w:r>
          </w:p>
        </w:tc>
        <w:tc>
          <w:tcPr>
            <w:tcW w:w="5185" w:type="dxa"/>
            <w:vAlign w:val="center"/>
          </w:tcPr>
          <w:p>
            <w:pPr>
              <w:tabs>
                <w:tab w:val="left" w:pos="2340"/>
              </w:tabs>
              <w:adjustRightInd/>
              <w:spacing w:line="240" w:lineRule="auto"/>
              <w:ind w:firstLine="0" w:firstLineChars="0"/>
              <w:jc w:val="center"/>
              <w:rPr>
                <w:kern w:val="0"/>
                <w:sz w:val="21"/>
                <w:szCs w:val="20"/>
              </w:rPr>
            </w:pPr>
            <w:r>
              <w:rPr>
                <w:kern w:val="0"/>
                <w:sz w:val="21"/>
                <w:szCs w:val="20"/>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人员紧急撤离、疏散，应急剂量控制、撤离组织计划</w:t>
            </w:r>
          </w:p>
        </w:tc>
        <w:tc>
          <w:tcPr>
            <w:tcW w:w="5185" w:type="dxa"/>
            <w:vAlign w:val="center"/>
          </w:tcPr>
          <w:p>
            <w:pPr>
              <w:tabs>
                <w:tab w:val="left" w:pos="2340"/>
              </w:tabs>
              <w:adjustRightInd/>
              <w:spacing w:line="240" w:lineRule="auto"/>
              <w:ind w:firstLine="0" w:firstLineChars="0"/>
              <w:jc w:val="left"/>
              <w:rPr>
                <w:kern w:val="0"/>
                <w:sz w:val="21"/>
                <w:szCs w:val="20"/>
              </w:rPr>
            </w:pPr>
            <w:r>
              <w:rPr>
                <w:kern w:val="0"/>
                <w:sz w:val="21"/>
                <w:szCs w:val="20"/>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事故应急救援关闭程序与恢复措施</w:t>
            </w:r>
          </w:p>
        </w:tc>
        <w:tc>
          <w:tcPr>
            <w:tcW w:w="5185" w:type="dxa"/>
            <w:vAlign w:val="center"/>
          </w:tcPr>
          <w:p>
            <w:pPr>
              <w:tabs>
                <w:tab w:val="left" w:pos="2340"/>
              </w:tabs>
              <w:adjustRightInd/>
              <w:spacing w:line="240" w:lineRule="auto"/>
              <w:ind w:firstLine="0" w:firstLineChars="0"/>
              <w:jc w:val="left"/>
              <w:rPr>
                <w:kern w:val="0"/>
                <w:sz w:val="21"/>
                <w:szCs w:val="20"/>
              </w:rPr>
            </w:pPr>
            <w:r>
              <w:rPr>
                <w:kern w:val="0"/>
                <w:sz w:val="21"/>
                <w:szCs w:val="20"/>
              </w:rPr>
              <w:t>规定应急状态终止程序</w:t>
            </w:r>
          </w:p>
          <w:p>
            <w:pPr>
              <w:tabs>
                <w:tab w:val="left" w:pos="2340"/>
              </w:tabs>
              <w:adjustRightInd/>
              <w:spacing w:line="240" w:lineRule="auto"/>
              <w:ind w:firstLine="0" w:firstLineChars="0"/>
              <w:jc w:val="left"/>
              <w:rPr>
                <w:kern w:val="0"/>
                <w:sz w:val="21"/>
                <w:szCs w:val="20"/>
              </w:rPr>
            </w:pPr>
            <w:r>
              <w:rPr>
                <w:kern w:val="0"/>
                <w:sz w:val="21"/>
                <w:szCs w:val="20"/>
              </w:rPr>
              <w:t>事故现场善后处理，恢复措施</w:t>
            </w:r>
          </w:p>
          <w:p>
            <w:pPr>
              <w:tabs>
                <w:tab w:val="left" w:pos="2340"/>
              </w:tabs>
              <w:adjustRightInd/>
              <w:spacing w:line="240" w:lineRule="auto"/>
              <w:ind w:firstLine="0" w:firstLineChars="0"/>
              <w:jc w:val="left"/>
              <w:rPr>
                <w:kern w:val="0"/>
                <w:sz w:val="21"/>
                <w:szCs w:val="20"/>
              </w:rPr>
            </w:pPr>
            <w:r>
              <w:rPr>
                <w:kern w:val="0"/>
                <w:sz w:val="21"/>
                <w:szCs w:val="20"/>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应急培训计划</w:t>
            </w:r>
          </w:p>
        </w:tc>
        <w:tc>
          <w:tcPr>
            <w:tcW w:w="5185" w:type="dxa"/>
            <w:vAlign w:val="center"/>
          </w:tcPr>
          <w:p>
            <w:pPr>
              <w:tabs>
                <w:tab w:val="left" w:pos="2340"/>
              </w:tabs>
              <w:adjustRightInd/>
              <w:spacing w:line="240" w:lineRule="auto"/>
              <w:ind w:firstLine="0" w:firstLineChars="0"/>
              <w:jc w:val="left"/>
              <w:rPr>
                <w:kern w:val="0"/>
                <w:sz w:val="21"/>
                <w:szCs w:val="20"/>
              </w:rPr>
            </w:pPr>
            <w:r>
              <w:rPr>
                <w:kern w:val="0"/>
                <w:sz w:val="21"/>
                <w:szCs w:val="20"/>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58" w:type="dxa"/>
            <w:vAlign w:val="center"/>
          </w:tcPr>
          <w:p>
            <w:pPr>
              <w:numPr>
                <w:ilvl w:val="0"/>
                <w:numId w:val="14"/>
              </w:numPr>
              <w:autoSpaceDE w:val="0"/>
              <w:autoSpaceDN w:val="0"/>
              <w:adjustRightInd/>
              <w:snapToGrid/>
              <w:spacing w:line="240" w:lineRule="auto"/>
              <w:ind w:firstLineChars="0"/>
              <w:jc w:val="center"/>
              <w:textAlignment w:val="bottom"/>
              <w:rPr>
                <w:kern w:val="0"/>
                <w:sz w:val="21"/>
                <w:szCs w:val="20"/>
              </w:rPr>
            </w:pPr>
          </w:p>
        </w:tc>
        <w:tc>
          <w:tcPr>
            <w:tcW w:w="3097" w:type="dxa"/>
            <w:vAlign w:val="center"/>
          </w:tcPr>
          <w:p>
            <w:pPr>
              <w:tabs>
                <w:tab w:val="left" w:pos="2340"/>
              </w:tabs>
              <w:adjustRightInd/>
              <w:spacing w:line="240" w:lineRule="auto"/>
              <w:ind w:firstLine="0" w:firstLineChars="0"/>
              <w:jc w:val="center"/>
              <w:rPr>
                <w:kern w:val="0"/>
                <w:sz w:val="21"/>
                <w:szCs w:val="20"/>
              </w:rPr>
            </w:pPr>
            <w:r>
              <w:rPr>
                <w:kern w:val="0"/>
                <w:sz w:val="21"/>
                <w:szCs w:val="20"/>
              </w:rPr>
              <w:t>公众教育和信息</w:t>
            </w:r>
          </w:p>
        </w:tc>
        <w:tc>
          <w:tcPr>
            <w:tcW w:w="5185" w:type="dxa"/>
            <w:vAlign w:val="center"/>
          </w:tcPr>
          <w:p>
            <w:pPr>
              <w:tabs>
                <w:tab w:val="left" w:pos="2340"/>
              </w:tabs>
              <w:adjustRightInd/>
              <w:spacing w:line="240" w:lineRule="auto"/>
              <w:ind w:firstLine="0" w:firstLineChars="0"/>
              <w:jc w:val="left"/>
              <w:rPr>
                <w:kern w:val="0"/>
                <w:sz w:val="21"/>
                <w:szCs w:val="20"/>
              </w:rPr>
            </w:pPr>
            <w:r>
              <w:rPr>
                <w:kern w:val="0"/>
                <w:sz w:val="21"/>
                <w:szCs w:val="20"/>
              </w:rPr>
              <w:t>对工厂邻近地区开展公众教育、培训和发布有关信息</w:t>
            </w:r>
          </w:p>
        </w:tc>
      </w:tr>
    </w:tbl>
    <w:p>
      <w:pPr>
        <w:pStyle w:val="3"/>
      </w:pPr>
      <w:bookmarkStart w:id="167" w:name="_Toc82502969"/>
      <w:r>
        <w:rPr>
          <w:rFonts w:hint="eastAsia"/>
        </w:rPr>
        <w:t>风险</w:t>
      </w:r>
      <w:r>
        <w:t>评价小结</w:t>
      </w:r>
      <w:bookmarkEnd w:id="167"/>
    </w:p>
    <w:p>
      <w:pPr>
        <w:ind w:firstLine="480"/>
      </w:pPr>
      <w:r>
        <w:rPr>
          <w:rFonts w:hint="eastAsia"/>
        </w:rPr>
        <w:t>本项目存在的环境风险主要为甲醇</w:t>
      </w:r>
      <w:r>
        <w:t>、硫酸、石油醚、危险废物等发生</w:t>
      </w:r>
      <w:r>
        <w:rPr>
          <w:rFonts w:hint="eastAsia"/>
        </w:rPr>
        <w:t>泄漏、发生火灾爆炸引发</w:t>
      </w:r>
      <w:r>
        <w:t>的</w:t>
      </w:r>
      <w:r>
        <w:rPr>
          <w:rFonts w:hint="eastAsia"/>
        </w:rPr>
        <w:t>伴生</w:t>
      </w:r>
      <w:r>
        <w:t>、次生</w:t>
      </w:r>
      <w:r>
        <w:rPr>
          <w:rFonts w:hint="eastAsia"/>
        </w:rPr>
        <w:t>污染等风险。根据风险事故的特点，评价对项目存在的环境风险提出了相应的措施和应急预案。在采取有效的防范措施和应急预案后，本项目的风险水平是可以接受的。风险</w:t>
      </w:r>
      <w:r>
        <w:t>自查表见附表</w:t>
      </w:r>
      <w:r>
        <w:rPr>
          <w:rFonts w:hint="eastAsia"/>
        </w:rPr>
        <w:t>4。</w:t>
      </w:r>
    </w:p>
    <w:p>
      <w:pPr>
        <w:ind w:firstLine="199" w:firstLineChars="83"/>
        <w:rPr>
          <w:highlight w:val="yellow"/>
        </w:rPr>
        <w:sectPr>
          <w:headerReference r:id="rId54" w:type="default"/>
          <w:headerReference r:id="rId55" w:type="even"/>
          <w:pgSz w:w="11906" w:h="16838"/>
          <w:pgMar w:top="1440" w:right="1418" w:bottom="1440" w:left="1418" w:header="992" w:footer="992" w:gutter="0"/>
          <w:pgNumType w:fmt="numberInDash"/>
          <w:cols w:space="425" w:num="1"/>
          <w:docGrid w:type="lines" w:linePitch="326" w:charSpace="0"/>
        </w:sectPr>
      </w:pPr>
    </w:p>
    <w:p>
      <w:pPr>
        <w:pStyle w:val="2"/>
      </w:pPr>
      <w:bookmarkStart w:id="168" w:name="_Toc488102180"/>
      <w:bookmarkStart w:id="169" w:name="_Toc82502970"/>
      <w:r>
        <w:rPr>
          <w:rFonts w:hint="eastAsia"/>
        </w:rPr>
        <w:t>环境保护措施及其可行性论证</w:t>
      </w:r>
      <w:bookmarkEnd w:id="168"/>
      <w:bookmarkEnd w:id="169"/>
    </w:p>
    <w:p>
      <w:pPr>
        <w:pStyle w:val="3"/>
      </w:pPr>
      <w:bookmarkStart w:id="170" w:name="_Toc391912418"/>
      <w:bookmarkStart w:id="171" w:name="_Toc488102181"/>
      <w:bookmarkStart w:id="172" w:name="_Toc24232"/>
      <w:bookmarkStart w:id="173" w:name="_Toc406942398"/>
      <w:bookmarkStart w:id="174" w:name="_Toc29310"/>
      <w:bookmarkStart w:id="175" w:name="_Toc382810920"/>
      <w:bookmarkStart w:id="176" w:name="_Toc400975797"/>
      <w:bookmarkStart w:id="177" w:name="_Toc30659"/>
      <w:r>
        <w:rPr>
          <w:rFonts w:hint="eastAsia"/>
        </w:rPr>
        <w:t xml:space="preserve"> </w:t>
      </w:r>
      <w:bookmarkStart w:id="178" w:name="_Toc82502971"/>
      <w:r>
        <w:t>施工期污染防治措施及技术经济分析</w:t>
      </w:r>
      <w:bookmarkEnd w:id="170"/>
      <w:bookmarkEnd w:id="171"/>
      <w:bookmarkEnd w:id="172"/>
      <w:bookmarkEnd w:id="173"/>
      <w:bookmarkEnd w:id="174"/>
      <w:bookmarkEnd w:id="175"/>
      <w:bookmarkEnd w:id="176"/>
      <w:bookmarkEnd w:id="177"/>
      <w:bookmarkEnd w:id="178"/>
    </w:p>
    <w:p>
      <w:pPr>
        <w:pStyle w:val="4"/>
      </w:pPr>
      <w:bookmarkStart w:id="179" w:name="_Toc391912419"/>
      <w:bookmarkStart w:id="180" w:name="_Toc406942399"/>
      <w:bookmarkStart w:id="181" w:name="_Toc24687"/>
      <w:bookmarkStart w:id="182" w:name="_Toc400975798"/>
      <w:bookmarkStart w:id="183" w:name="_Toc382810921"/>
      <w:bookmarkStart w:id="184" w:name="_Toc18600"/>
      <w:bookmarkStart w:id="185" w:name="_Toc447"/>
      <w:r>
        <w:rPr>
          <w:rFonts w:hint="eastAsia"/>
        </w:rPr>
        <w:t xml:space="preserve"> </w:t>
      </w:r>
      <w:bookmarkEnd w:id="179"/>
      <w:bookmarkEnd w:id="180"/>
      <w:bookmarkEnd w:id="181"/>
      <w:bookmarkEnd w:id="182"/>
      <w:bookmarkEnd w:id="183"/>
      <w:bookmarkEnd w:id="184"/>
      <w:bookmarkEnd w:id="185"/>
      <w:r>
        <w:rPr>
          <w:rFonts w:hint="eastAsia"/>
        </w:rPr>
        <w:t>施工期环境空气污染</w:t>
      </w:r>
      <w:r>
        <w:t>防治措施</w:t>
      </w:r>
    </w:p>
    <w:p>
      <w:pPr>
        <w:pStyle w:val="87"/>
        <w:ind w:firstLine="480"/>
      </w:pPr>
      <w:r>
        <w:rPr>
          <w:rStyle w:val="88"/>
          <w:rFonts w:hint="eastAsia"/>
        </w:rPr>
        <w:t>本项目施工期废气主要来源于厂房设备安装以及汽车运输过程中产生的扬尘、施工运输车辆排放的少量尾气。为保护环境空气质量，降低施工过程对周围区域及环境保护目标的扬尘污染，建设单位应严格按照《大气污染防治行动计划》（国发</w:t>
      </w:r>
      <w:r>
        <w:rPr>
          <w:rStyle w:val="88"/>
        </w:rPr>
        <w:t>[2013]37</w:t>
      </w:r>
      <w:r>
        <w:rPr>
          <w:rStyle w:val="88"/>
          <w:rFonts w:hint="eastAsia"/>
        </w:rPr>
        <w:t>号），《陕西省大气污染防治条例》以及《防治城市扬尘污染技术规范》（</w:t>
      </w:r>
      <w:r>
        <w:rPr>
          <w:rStyle w:val="88"/>
        </w:rPr>
        <w:t>HJ/T393-2007</w:t>
      </w:r>
      <w:r>
        <w:rPr>
          <w:rStyle w:val="88"/>
          <w:rFonts w:hint="eastAsia"/>
        </w:rPr>
        <w:t>）及《陕西省铁腕治霾打赢蓝天保卫战三年行动方案》（</w:t>
      </w:r>
      <w:r>
        <w:rPr>
          <w:rStyle w:val="88"/>
        </w:rPr>
        <w:t>2018-2020</w:t>
      </w:r>
      <w:r>
        <w:rPr>
          <w:rStyle w:val="88"/>
          <w:rFonts w:hint="eastAsia"/>
        </w:rPr>
        <w:t>）（修订版）中相关要求，并结合</w:t>
      </w:r>
      <w:r>
        <w:rPr>
          <w:rFonts w:hint="eastAsia"/>
        </w:rPr>
        <w:t>《安康市铁腕治霾打赢蓝天保卫战三年行动方案（2018-2020年）》</w:t>
      </w:r>
      <w:r>
        <w:rPr>
          <w:rStyle w:val="88"/>
          <w:rFonts w:hint="eastAsia"/>
        </w:rPr>
        <w:t>及本工程施工场地特点与周边情况，针对施工期大气环境污染防治制定如下措施</w:t>
      </w:r>
      <w:r>
        <w:rPr>
          <w:rFonts w:hint="eastAsia" w:cs="Times New Roman"/>
        </w:rPr>
        <w:t>：</w:t>
      </w:r>
    </w:p>
    <w:p>
      <w:pPr>
        <w:pStyle w:val="87"/>
        <w:ind w:firstLine="480"/>
        <w:rPr>
          <w:snapToGrid w:val="0"/>
        </w:rPr>
      </w:pPr>
      <w:r>
        <w:rPr>
          <w:rFonts w:hint="eastAsia"/>
          <w:snapToGrid w:val="0"/>
        </w:rPr>
        <w:t>（1）对运输建筑材料及建筑垃圾的车辆加盖蓬布减少洒落。车辆进出、装卸时应用水将轮胎冲洗干净；车辆行驶路线应确定，尽量避开文教区及居住区。</w:t>
      </w:r>
    </w:p>
    <w:p>
      <w:pPr>
        <w:pStyle w:val="87"/>
        <w:ind w:firstLine="480"/>
        <w:rPr>
          <w:snapToGrid w:val="0"/>
        </w:rPr>
      </w:pPr>
      <w:r>
        <w:rPr>
          <w:rFonts w:hint="eastAsia"/>
          <w:snapToGrid w:val="0"/>
        </w:rPr>
        <w:t>（2）对建筑垃圾应及时处理、清运，以减少占地，防止扬尘污染，改善施工场地的环境。</w:t>
      </w:r>
    </w:p>
    <w:p>
      <w:pPr>
        <w:pStyle w:val="87"/>
        <w:ind w:firstLine="480"/>
      </w:pPr>
      <w:r>
        <w:rPr>
          <w:rFonts w:hint="eastAsia"/>
        </w:rPr>
        <w:t>（3）设备运输车辆排放的废气，其排放浓度能达到国家“机动车尾气排放标准”的要求，但应对车辆进行定期检查，保持良好的车况。为减少机动车尾气和扬尘影响，施工中应尽量少用或不用柴油内燃机和柴油车辆，并保持厂内运输道路路面清洁和湿润，以减少汽车轮胎与路面接触而引起的地面扬尘污染。</w:t>
      </w:r>
    </w:p>
    <w:p>
      <w:pPr>
        <w:pStyle w:val="4"/>
      </w:pPr>
      <w:r>
        <w:rPr>
          <w:rFonts w:hint="eastAsia"/>
        </w:rPr>
        <w:t>施工期</w:t>
      </w:r>
      <w:r>
        <w:t>水污染防治措施</w:t>
      </w:r>
    </w:p>
    <w:p>
      <w:pPr>
        <w:ind w:firstLine="480"/>
      </w:pPr>
      <w:r>
        <w:rPr>
          <w:rFonts w:hint="eastAsia"/>
        </w:rPr>
        <w:t>施工期无</w:t>
      </w:r>
      <w:r>
        <w:t>生产废水产生，</w:t>
      </w:r>
      <w:r>
        <w:rPr>
          <w:rFonts w:hint="eastAsia"/>
        </w:rPr>
        <w:t>废水主要</w:t>
      </w:r>
      <w:r>
        <w:t>来自</w:t>
      </w:r>
      <w:r>
        <w:rPr>
          <w:rFonts w:hint="eastAsia"/>
        </w:rPr>
        <w:t>施工人员的生活污水。</w:t>
      </w:r>
      <w:r>
        <w:t>施工期生活污水排放量为0.45m</w:t>
      </w:r>
      <w:r>
        <w:rPr>
          <w:vertAlign w:val="superscript"/>
        </w:rPr>
        <w:t>3</w:t>
      </w:r>
      <w:r>
        <w:t>/d，</w:t>
      </w:r>
      <w:r>
        <w:rPr>
          <w:rFonts w:hint="eastAsia"/>
        </w:rPr>
        <w:t>施工</w:t>
      </w:r>
      <w:r>
        <w:t>场地生活污水</w:t>
      </w:r>
      <w:r>
        <w:rPr>
          <w:rFonts w:hint="eastAsia"/>
        </w:rPr>
        <w:t>依托厂区</w:t>
      </w:r>
      <w:r>
        <w:t>已建成</w:t>
      </w:r>
      <w:r>
        <w:rPr>
          <w:rFonts w:hint="eastAsia"/>
        </w:rPr>
        <w:t>化粪池排入市政管网，</w:t>
      </w:r>
      <w:r>
        <w:t>对项目周围的水环境影响较小。</w:t>
      </w:r>
    </w:p>
    <w:p>
      <w:pPr>
        <w:pStyle w:val="4"/>
      </w:pPr>
      <w:r>
        <w:rPr>
          <w:rFonts w:hint="eastAsia"/>
        </w:rPr>
        <w:t>施工期</w:t>
      </w:r>
      <w:r>
        <w:t>噪声污染防治措施</w:t>
      </w:r>
    </w:p>
    <w:p>
      <w:pPr>
        <w:pStyle w:val="87"/>
        <w:ind w:firstLine="480"/>
      </w:pPr>
      <w:r>
        <w:t>施工期相对运营期而言其噪声影响是短暂的，一旦施工活动结束，施工噪声也将随之结束。为保证项目周边敏感点声环境不受</w:t>
      </w:r>
      <w:r>
        <w:rPr>
          <w:rFonts w:hint="eastAsia"/>
        </w:rPr>
        <w:t>严重</w:t>
      </w:r>
      <w:r>
        <w:t>的影响，施工单位</w:t>
      </w:r>
      <w:r>
        <w:rPr>
          <w:rFonts w:hint="eastAsia"/>
        </w:rPr>
        <w:t>和建设</w:t>
      </w:r>
      <w:r>
        <w:t>单位务必规范施工行为，采取</w:t>
      </w:r>
      <w:r>
        <w:rPr>
          <w:rFonts w:hint="eastAsia"/>
        </w:rPr>
        <w:t>相应</w:t>
      </w:r>
      <w:r>
        <w:t>的措施以减小施工噪声对周围环境的影响，污染防范措施如下：</w:t>
      </w:r>
    </w:p>
    <w:p>
      <w:pPr>
        <w:pStyle w:val="87"/>
        <w:ind w:firstLine="480"/>
      </w:pPr>
      <w:r>
        <w:t>（1）</w:t>
      </w:r>
      <w:r>
        <w:rPr>
          <w:rFonts w:hint="eastAsia"/>
        </w:rPr>
        <w:t>从</w:t>
      </w:r>
      <w:r>
        <w:t>声源上控制：</w:t>
      </w:r>
      <w:r>
        <w:rPr>
          <w:rFonts w:hint="eastAsia"/>
        </w:rPr>
        <w:t>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pPr>
        <w:ind w:firstLine="480"/>
      </w:pPr>
      <w:r>
        <w:t>（2）</w:t>
      </w:r>
      <w:r>
        <w:rPr>
          <w:rFonts w:hint="eastAsia"/>
        </w:rPr>
        <w:t>合理</w:t>
      </w:r>
      <w:r>
        <w:t>安排施工时间：</w:t>
      </w:r>
      <w:r>
        <w:rPr>
          <w:rFonts w:hint="eastAsia"/>
        </w:rPr>
        <w:t>施工单位应严格遵守相关规章制度，合理安排好施工时间，除工程必须，并取得环保部门批准外，严禁夜间施工（夜间</w:t>
      </w:r>
      <w:r>
        <w:t>22</w:t>
      </w:r>
      <w:r>
        <w:rPr>
          <w:rFonts w:hint="eastAsia"/>
        </w:rPr>
        <w:t>：</w:t>
      </w:r>
      <w:r>
        <w:t>00</w:t>
      </w:r>
      <w:r>
        <w:rPr>
          <w:rFonts w:hint="eastAsia"/>
        </w:rPr>
        <w:t>～</w:t>
      </w:r>
      <w:r>
        <w:t>06</w:t>
      </w:r>
      <w:r>
        <w:rPr>
          <w:rFonts w:hint="eastAsia"/>
        </w:rPr>
        <w:t>：</w:t>
      </w:r>
      <w:r>
        <w:t>00</w:t>
      </w:r>
      <w:r>
        <w:rPr>
          <w:rFonts w:hint="eastAsia"/>
        </w:rPr>
        <w:t>）。</w:t>
      </w:r>
    </w:p>
    <w:p>
      <w:pPr>
        <w:ind w:firstLine="480"/>
      </w:pPr>
      <w:r>
        <w:t>（3）采用距离防护措施：在不影响施工情况下将强噪声设备尽量不集中安排，尽量布设在项目</w:t>
      </w:r>
      <w:r>
        <w:rPr>
          <w:rFonts w:hint="eastAsia"/>
        </w:rPr>
        <w:t>西侧</w:t>
      </w:r>
      <w:r>
        <w:t>，</w:t>
      </w:r>
      <w:r>
        <w:rPr>
          <w:rFonts w:hint="eastAsia"/>
        </w:rPr>
        <w:t>以</w:t>
      </w:r>
      <w:r>
        <w:t>减少对</w:t>
      </w:r>
      <w:r>
        <w:rPr>
          <w:rFonts w:hint="eastAsia"/>
        </w:rPr>
        <w:t>东侧</w:t>
      </w:r>
      <w:r>
        <w:t>50m的</w:t>
      </w:r>
      <w:r>
        <w:rPr>
          <w:rFonts w:hint="eastAsia"/>
        </w:rPr>
        <w:t>江家店村的</w:t>
      </w:r>
      <w:r>
        <w:t>影响。</w:t>
      </w:r>
    </w:p>
    <w:p>
      <w:pPr>
        <w:pStyle w:val="4"/>
      </w:pPr>
      <w:bookmarkStart w:id="186" w:name="_Toc400975800"/>
      <w:bookmarkStart w:id="187" w:name="_Toc391912421"/>
      <w:bookmarkStart w:id="188" w:name="_Toc15079"/>
      <w:bookmarkStart w:id="189" w:name="_Toc20832"/>
      <w:bookmarkStart w:id="190" w:name="_Toc26964"/>
      <w:bookmarkStart w:id="191" w:name="_Toc406942401"/>
      <w:r>
        <w:rPr>
          <w:rFonts w:hint="eastAsia"/>
        </w:rPr>
        <w:t>施工期</w:t>
      </w:r>
      <w:r>
        <w:t>固体废物</w:t>
      </w:r>
      <w:bookmarkEnd w:id="186"/>
      <w:bookmarkEnd w:id="187"/>
      <w:bookmarkEnd w:id="188"/>
      <w:bookmarkEnd w:id="189"/>
      <w:bookmarkEnd w:id="190"/>
      <w:bookmarkEnd w:id="191"/>
      <w:r>
        <w:rPr>
          <w:rFonts w:hint="eastAsia"/>
        </w:rPr>
        <w:t>污染</w:t>
      </w:r>
      <w:r>
        <w:t>防治措施</w:t>
      </w:r>
    </w:p>
    <w:p>
      <w:pPr>
        <w:pStyle w:val="87"/>
        <w:ind w:firstLine="480"/>
      </w:pPr>
      <w:r>
        <w:rPr>
          <w:rFonts w:hint="eastAsia"/>
        </w:rPr>
        <w:t>施工期建筑垃圾收集后统一运往制定地点填埋统一处理，施工期产生的废包装垃圾收集后外售，施工期产生的生活垃圾，统一收集后由环卫部门统一运送到垃圾处理场集中处理。</w:t>
      </w:r>
    </w:p>
    <w:p>
      <w:pPr>
        <w:pStyle w:val="3"/>
      </w:pPr>
      <w:bookmarkStart w:id="192" w:name="_Toc29931"/>
      <w:bookmarkStart w:id="193" w:name="_Toc488102182"/>
      <w:bookmarkStart w:id="194" w:name="_Toc400975803"/>
      <w:bookmarkStart w:id="195" w:name="_Toc754"/>
      <w:bookmarkStart w:id="196" w:name="_Toc406942404"/>
      <w:bookmarkStart w:id="197" w:name="_Toc12923"/>
      <w:bookmarkStart w:id="198" w:name="_Toc391912424"/>
      <w:bookmarkStart w:id="199" w:name="_Toc82502972"/>
      <w:r>
        <w:t>运营期污染防治措施及技术经济分析</w:t>
      </w:r>
      <w:bookmarkEnd w:id="192"/>
      <w:bookmarkEnd w:id="193"/>
      <w:bookmarkEnd w:id="194"/>
      <w:bookmarkEnd w:id="195"/>
      <w:bookmarkEnd w:id="196"/>
      <w:bookmarkEnd w:id="197"/>
      <w:bookmarkEnd w:id="198"/>
      <w:bookmarkEnd w:id="199"/>
    </w:p>
    <w:p>
      <w:pPr>
        <w:pStyle w:val="4"/>
      </w:pPr>
      <w:bookmarkStart w:id="200" w:name="_Toc32472"/>
      <w:r>
        <w:t>废气污染防治措施分析</w:t>
      </w:r>
      <w:bookmarkEnd w:id="200"/>
    </w:p>
    <w:p>
      <w:pPr>
        <w:pStyle w:val="5"/>
      </w:pPr>
      <w:r>
        <w:rPr>
          <w:rFonts w:hint="eastAsia"/>
        </w:rPr>
        <w:t>粉尘</w:t>
      </w:r>
    </w:p>
    <w:p>
      <w:pPr>
        <w:ind w:firstLine="480"/>
      </w:pPr>
      <w:r>
        <w:rPr>
          <w:rFonts w:hint="eastAsia"/>
        </w:rPr>
        <w:t>（1）拟采取</w:t>
      </w:r>
      <w:r>
        <w:t>的处理</w:t>
      </w:r>
      <w:r>
        <w:rPr>
          <w:rFonts w:hint="eastAsia"/>
        </w:rPr>
        <w:t>措施</w:t>
      </w:r>
    </w:p>
    <w:p>
      <w:pPr>
        <w:ind w:firstLine="480"/>
      </w:pPr>
      <w:r>
        <w:rPr>
          <w:rFonts w:hint="eastAsia"/>
        </w:rPr>
        <w:t>项目</w:t>
      </w:r>
      <w:r>
        <w:t>产生的粉尘主要为黄姜初清、</w:t>
      </w:r>
      <w:r>
        <w:rPr>
          <w:rFonts w:hint="eastAsia"/>
        </w:rPr>
        <w:t>粗粉</w:t>
      </w:r>
      <w:r>
        <w:t>、微粉工序过程中产生的粉尘，</w:t>
      </w:r>
      <w:r>
        <w:rPr>
          <w:rFonts w:hint="eastAsia"/>
        </w:rPr>
        <w:t>拟</w:t>
      </w:r>
      <w:r>
        <w:t>采用旋风收尘</w:t>
      </w:r>
      <w:r>
        <w:rPr>
          <w:rFonts w:hint="eastAsia"/>
        </w:rPr>
        <w:t>+布袋</w:t>
      </w:r>
      <w:r>
        <w:t>除尘+15m排气筒的措施</w:t>
      </w:r>
      <w:r>
        <w:rPr>
          <w:rFonts w:hint="eastAsia"/>
        </w:rPr>
        <w:t>进行</w:t>
      </w:r>
      <w:r>
        <w:t>处理</w:t>
      </w:r>
      <w:r>
        <w:rPr>
          <w:rFonts w:hint="eastAsia"/>
        </w:rPr>
        <w:t>，处置</w:t>
      </w:r>
      <w:r>
        <w:t>措施效率为</w:t>
      </w:r>
      <w:r>
        <w:rPr>
          <w:rFonts w:hint="eastAsia"/>
        </w:rPr>
        <w:t>99</w:t>
      </w:r>
      <w:r>
        <w:t>%。</w:t>
      </w:r>
    </w:p>
    <w:p>
      <w:pPr>
        <w:ind w:firstLine="480"/>
      </w:pPr>
      <w:r>
        <w:rPr>
          <w:rFonts w:hint="eastAsia"/>
        </w:rPr>
        <w:t>（2）污染</w:t>
      </w:r>
      <w:r>
        <w:t>防治措施可行性</w:t>
      </w:r>
    </w:p>
    <w:p>
      <w:pPr>
        <w:ind w:firstLine="480"/>
      </w:pPr>
      <w:r>
        <w:t>除尘器可分为两大类：</w:t>
      </w:r>
      <w:r>
        <w:rPr>
          <w:rFonts w:hint="eastAsia" w:ascii="宋体" w:hAnsi="宋体" w:cs="宋体"/>
        </w:rPr>
        <w:t>①</w:t>
      </w:r>
      <w:r>
        <w:t>干式除尘器：包括重力沉降室、惯性除尘器、电除尘器、布袋除尘器、滤筒除尘器、旋风除尘器。</w:t>
      </w:r>
      <w:r>
        <w:rPr>
          <w:rFonts w:hint="eastAsia" w:ascii="宋体" w:hAnsi="宋体" w:cs="宋体"/>
        </w:rPr>
        <w:t>②</w:t>
      </w:r>
      <w:r>
        <w:t>湿式除尘器：包括喷淋塔、冲击式除尘器、文丘里洗涤剂、泡沫除尘器和水膜除尘器等。正常运行时，除尘器的运行效率高低排序是袋式除尘器＞电除尘器及文丘里除尘器＞水膜旋风除尘器＞旋风除尘器＞惯性除尘器＞重力除尘器。</w:t>
      </w:r>
    </w:p>
    <w:p>
      <w:pPr>
        <w:ind w:firstLine="480"/>
      </w:pPr>
      <w:r>
        <w:t>本项目所采取的除尘措施为</w:t>
      </w:r>
      <w:r>
        <w:rPr>
          <w:rFonts w:hint="eastAsia"/>
        </w:rPr>
        <w:t>旋风</w:t>
      </w:r>
      <w:r>
        <w:t>收尘</w:t>
      </w:r>
      <w:r>
        <w:rPr>
          <w:rFonts w:hint="eastAsia"/>
        </w:rPr>
        <w:t>+</w:t>
      </w:r>
      <w:r>
        <w:t>布袋除尘器。布袋除尘器属于高效除尘器，对粉尘处理效率在99%以上。袋式除尘器适用于捕集细小、干燥、非纤维性粉尘。滤袋采用纺织的滤布或非纺织的毡制成，利用纤维织物的过滤作用对含尘气体进行过滤。含尘气体在引风机吸引力的作用下进入灰斗，经导流板后被均匀分配到各条滤袋上。粉尘被拦截在滤袋外表面，气体则穿过滤袋，经过净气室后外排。袋式除尘器捕集在滤袋外表面上的粉尘会导致滤袋透气性的减少，使除尘器的阻力不断增加，等到阻力达到设定值，通常处于关闭状态的脉冲阀会打开极短暂的一段时间，高压气体瞬间从气包进入喷吹管，并高速喷出。喷射气流与二次引流的共同作用使滤袋内侧的压力迅速升高，产生一个很大的反向加速度，吸附在滤袋上的粉尘在这反向加速度作用下，脱离滤袋表面，落入灰斗，将粉尘从滤袋表面清除。</w:t>
      </w:r>
    </w:p>
    <w:p>
      <w:pPr>
        <w:ind w:firstLine="480"/>
      </w:pPr>
      <w:r>
        <w:rPr>
          <w:rFonts w:hint="eastAsia"/>
        </w:rPr>
        <w:t>经工程</w:t>
      </w:r>
      <w:r>
        <w:t>分析，前处理工序初清、粗粉、微粉产生的粉尘</w:t>
      </w:r>
      <w:r>
        <w:rPr>
          <w:rFonts w:hint="eastAsia"/>
        </w:rPr>
        <w:t>经旋风</w:t>
      </w:r>
      <w:r>
        <w:t>收尘</w:t>
      </w:r>
      <w:r>
        <w:rPr>
          <w:rFonts w:hint="eastAsia"/>
        </w:rPr>
        <w:t>+布袋</w:t>
      </w:r>
      <w:r>
        <w:t>除尘器处理后</w:t>
      </w:r>
      <w:r>
        <w:rPr>
          <w:rFonts w:hint="eastAsia"/>
        </w:rPr>
        <w:t>满足《大气污染物综合排放标准》（GB16297-1996）二级标准</w:t>
      </w:r>
      <w:r>
        <w:t>要求</w:t>
      </w:r>
      <w:r>
        <w:rPr>
          <w:rFonts w:hint="eastAsia"/>
        </w:rPr>
        <w:t>，</w:t>
      </w:r>
      <w:r>
        <w:t>粉尘处理措施可行。</w:t>
      </w:r>
    </w:p>
    <w:p>
      <w:pPr>
        <w:pStyle w:val="5"/>
      </w:pPr>
      <w:r>
        <w:rPr>
          <w:rFonts w:hint="eastAsia"/>
        </w:rPr>
        <w:t>溶剂</w:t>
      </w:r>
      <w:r>
        <w:t>废气</w:t>
      </w:r>
    </w:p>
    <w:p>
      <w:pPr>
        <w:pStyle w:val="87"/>
        <w:ind w:firstLine="480"/>
      </w:pPr>
      <w:r>
        <w:rPr>
          <w:rFonts w:hint="eastAsia"/>
        </w:rPr>
        <w:t>项目</w:t>
      </w:r>
      <w:r>
        <w:t>萃取环节采用甲醇进行</w:t>
      </w:r>
      <w:r>
        <w:rPr>
          <w:rFonts w:hint="eastAsia"/>
        </w:rPr>
        <w:t>萃取，</w:t>
      </w:r>
      <w:r>
        <w:t>通过蒸发浓缩</w:t>
      </w:r>
      <w:r>
        <w:rPr>
          <w:rFonts w:hint="eastAsia"/>
        </w:rPr>
        <w:t>-冷冻</w:t>
      </w:r>
      <w:r>
        <w:t>回收甲醇，</w:t>
      </w:r>
      <w:r>
        <w:rPr>
          <w:rFonts w:hint="eastAsia"/>
        </w:rPr>
        <w:t>甲醇冷冻</w:t>
      </w:r>
      <w:r>
        <w:t>回收</w:t>
      </w:r>
      <w:r>
        <w:rPr>
          <w:rFonts w:hint="eastAsia"/>
        </w:rPr>
        <w:t>对甲醇</w:t>
      </w:r>
      <w:r>
        <w:t>的处理效率</w:t>
      </w:r>
      <w:r>
        <w:rPr>
          <w:rFonts w:hint="eastAsia"/>
        </w:rPr>
        <w:t>以75</w:t>
      </w:r>
      <w:r>
        <w:t>%</w:t>
      </w:r>
      <w:r>
        <w:rPr>
          <w:rFonts w:hint="eastAsia"/>
        </w:rPr>
        <w:t>计算，甲醇</w:t>
      </w:r>
      <w:r>
        <w:t>回收排气筒排放的甲醇满足</w:t>
      </w:r>
      <w:r>
        <w:rPr>
          <w:rFonts w:hint="eastAsia"/>
        </w:rPr>
        <w:t>《挥发性有机物排放控制标准》（DB61/T 1061-2017）中医药制造行业标准（甲醇浓度60</w:t>
      </w:r>
      <w:r>
        <w:t>mg/m</w:t>
      </w:r>
      <w:r>
        <w:rPr>
          <w:vertAlign w:val="superscript"/>
        </w:rPr>
        <w:t>3</w:t>
      </w:r>
      <w:r>
        <w:rPr>
          <w:rFonts w:hint="eastAsia"/>
        </w:rPr>
        <w:t>），</w:t>
      </w:r>
      <w:r>
        <w:t>废气处理措施可行。</w:t>
      </w:r>
    </w:p>
    <w:p>
      <w:pPr>
        <w:pStyle w:val="87"/>
        <w:ind w:firstLine="480"/>
      </w:pPr>
      <w:r>
        <w:rPr>
          <w:rFonts w:hint="eastAsia"/>
        </w:rPr>
        <w:t>项目提取工序采用石油醚进行提取，提取过程位于密闭的提取罐中，结晶析出后通过离心获取，离心脱离后的石油醚直接通过管道全部回流至提取罐循环使用。蒸发结晶</w:t>
      </w:r>
      <w:r>
        <w:t>工序产生的石油醚</w:t>
      </w:r>
      <w:r>
        <w:rPr>
          <w:rFonts w:hint="eastAsia"/>
        </w:rPr>
        <w:t>闭路循环</w:t>
      </w:r>
      <w:r>
        <w:t>至冷冻回收装置，冷冻回收的石油醚全部回用于生产。</w:t>
      </w:r>
      <w:r>
        <w:rPr>
          <w:rFonts w:hint="eastAsia"/>
        </w:rPr>
        <w:t>溶剂废气</w:t>
      </w:r>
      <w:r>
        <w:t>处理措施可行。</w:t>
      </w:r>
    </w:p>
    <w:p>
      <w:pPr>
        <w:pStyle w:val="5"/>
      </w:pPr>
      <w:r>
        <w:rPr>
          <w:rFonts w:hint="eastAsia"/>
        </w:rPr>
        <w:t>天然气</w:t>
      </w:r>
      <w:r>
        <w:t>锅炉废气</w:t>
      </w:r>
    </w:p>
    <w:p>
      <w:pPr>
        <w:ind w:firstLine="480"/>
      </w:pPr>
      <w:r>
        <w:rPr>
          <w:rFonts w:hint="eastAsia"/>
        </w:rPr>
        <w:t>本项目设置1台</w:t>
      </w:r>
      <w:r>
        <w:t>4</w:t>
      </w:r>
      <w:r>
        <w:rPr>
          <w:rFonts w:hint="eastAsia"/>
        </w:rPr>
        <w:t>t/h燃气锅炉，燃料为天然气，锅炉通过加装低氮燃烧器后废气通过15m高排气筒排放。低氮燃烧技术将80%－85%的燃料送入主燃区在空气过量系数α&gt;１的条件下燃烧，其余15%－20%的燃料作为还原剂在主燃烧器的上部某一合适位置喷入形成再燃区，再燃区空气过量系数α&lt;１，再燃区不仅使已经生成的NOx得到还原，同时还抑制了新的NOx的生成，可进一步降低NOx的排放浓度。再燃区上方布置燃尽风以形成燃尽区，保证再燃区出口的未完全燃烧产物燃尽。同其他低NOx燃烧技术比较，再燃低NOx燃烧技术可以大幅度降低NOx排放，一般情况下可以使NOx排放浓度降低50%以上。</w:t>
      </w:r>
    </w:p>
    <w:p>
      <w:pPr>
        <w:ind w:firstLine="480"/>
      </w:pPr>
      <w:r>
        <w:rPr>
          <w:rFonts w:hint="eastAsia"/>
        </w:rPr>
        <w:t>经</w:t>
      </w:r>
      <w:r>
        <w:t>计算，天然气锅炉排放的烟尘、</w:t>
      </w:r>
      <w:r>
        <w:rPr>
          <w:rFonts w:hint="eastAsia"/>
        </w:rPr>
        <w:t>SO</w:t>
      </w:r>
      <w:r>
        <w:rPr>
          <w:rFonts w:hint="eastAsia"/>
          <w:vertAlign w:val="subscript"/>
        </w:rPr>
        <w:t>2</w:t>
      </w:r>
      <w:r>
        <w:rPr>
          <w:rFonts w:hint="eastAsia"/>
        </w:rPr>
        <w:t>、NOx均满足《锅炉大气污染物排放标准》（DB61/1226-2018）中燃气锅炉标准限值，采取以上措施，锅炉尾气污染防治控制措施可行。</w:t>
      </w:r>
    </w:p>
    <w:p>
      <w:pPr>
        <w:pStyle w:val="4"/>
      </w:pPr>
      <w:bookmarkStart w:id="201" w:name="_Toc15468"/>
      <w:bookmarkStart w:id="202" w:name="_Toc1789"/>
      <w:bookmarkStart w:id="203" w:name="_Toc29095"/>
      <w:r>
        <w:t>废水处理及综合利用措施分析</w:t>
      </w:r>
      <w:bookmarkEnd w:id="201"/>
      <w:bookmarkEnd w:id="202"/>
      <w:bookmarkEnd w:id="203"/>
    </w:p>
    <w:p>
      <w:pPr>
        <w:pStyle w:val="5"/>
      </w:pPr>
      <w:r>
        <w:rPr>
          <w:rFonts w:hint="eastAsia"/>
        </w:rPr>
        <w:t>废水</w:t>
      </w:r>
      <w:r>
        <w:t>处理</w:t>
      </w:r>
      <w:r>
        <w:rPr>
          <w:rFonts w:hint="eastAsia"/>
        </w:rPr>
        <w:t>可行性</w:t>
      </w:r>
      <w:r>
        <w:t>分析</w:t>
      </w:r>
    </w:p>
    <w:p>
      <w:pPr>
        <w:ind w:firstLine="496"/>
        <w:rPr>
          <w:spacing w:val="4"/>
        </w:rPr>
      </w:pPr>
      <w:r>
        <w:rPr>
          <w:rFonts w:hint="eastAsia"/>
          <w:spacing w:val="4"/>
        </w:rPr>
        <w:t>营运期的废水主要为员工生活污水</w:t>
      </w:r>
      <w:r>
        <w:rPr>
          <w:rFonts w:hint="eastAsia"/>
        </w:rPr>
        <w:t>、</w:t>
      </w:r>
      <w:r>
        <w:t>锅炉排污水和软水制备系统</w:t>
      </w:r>
      <w:r>
        <w:rPr>
          <w:rFonts w:hint="eastAsia"/>
        </w:rPr>
        <w:t>的</w:t>
      </w:r>
      <w:r>
        <w:t>浓水</w:t>
      </w:r>
      <w:r>
        <w:rPr>
          <w:rFonts w:hint="eastAsia"/>
          <w:spacing w:val="4"/>
        </w:rPr>
        <w:t>。项目排水总量为6.97m</w:t>
      </w:r>
      <w:r>
        <w:rPr>
          <w:rFonts w:hint="eastAsia"/>
          <w:spacing w:val="4"/>
          <w:vertAlign w:val="superscript"/>
        </w:rPr>
        <w:t>3</w:t>
      </w:r>
      <w:r>
        <w:rPr>
          <w:rFonts w:hint="eastAsia"/>
          <w:spacing w:val="4"/>
        </w:rPr>
        <w:t>/d，</w:t>
      </w:r>
      <w:r>
        <w:rPr>
          <w:spacing w:val="4"/>
        </w:rPr>
        <w:t>1254.6</w:t>
      </w:r>
      <w:r>
        <w:rPr>
          <w:rFonts w:hint="eastAsia"/>
          <w:spacing w:val="4"/>
        </w:rPr>
        <w:t>m</w:t>
      </w:r>
      <w:r>
        <w:rPr>
          <w:rFonts w:hint="eastAsia"/>
          <w:spacing w:val="4"/>
          <w:vertAlign w:val="superscript"/>
        </w:rPr>
        <w:t>3</w:t>
      </w:r>
      <w:r>
        <w:rPr>
          <w:rFonts w:hint="eastAsia"/>
          <w:spacing w:val="4"/>
        </w:rPr>
        <w:t>/a，其中生活污水0.89m</w:t>
      </w:r>
      <w:r>
        <w:rPr>
          <w:rFonts w:hint="eastAsia"/>
          <w:spacing w:val="4"/>
          <w:vertAlign w:val="superscript"/>
        </w:rPr>
        <w:t>3</w:t>
      </w:r>
      <w:r>
        <w:rPr>
          <w:rFonts w:hint="eastAsia"/>
          <w:spacing w:val="4"/>
        </w:rPr>
        <w:t>/d，</w:t>
      </w:r>
      <w:r>
        <w:rPr>
          <w:spacing w:val="4"/>
        </w:rPr>
        <w:t>160.2</w:t>
      </w:r>
      <w:r>
        <w:rPr>
          <w:rFonts w:hint="eastAsia"/>
          <w:spacing w:val="4"/>
        </w:rPr>
        <w:t>m</w:t>
      </w:r>
      <w:r>
        <w:rPr>
          <w:rFonts w:hint="eastAsia"/>
          <w:spacing w:val="4"/>
          <w:vertAlign w:val="superscript"/>
        </w:rPr>
        <w:t>3</w:t>
      </w:r>
      <w:r>
        <w:rPr>
          <w:rFonts w:hint="eastAsia"/>
          <w:spacing w:val="4"/>
        </w:rPr>
        <w:t>/a，经化粪池处理后排入吕河镇污水处理厂处理，锅炉排污水和软水制备系统浓水排放为6.08m</w:t>
      </w:r>
      <w:r>
        <w:rPr>
          <w:rFonts w:hint="eastAsia"/>
          <w:spacing w:val="4"/>
          <w:vertAlign w:val="superscript"/>
        </w:rPr>
        <w:t>3</w:t>
      </w:r>
      <w:r>
        <w:rPr>
          <w:rFonts w:hint="eastAsia"/>
          <w:spacing w:val="4"/>
        </w:rPr>
        <w:t>/d，</w:t>
      </w:r>
      <w:r>
        <w:rPr>
          <w:spacing w:val="4"/>
        </w:rPr>
        <w:t>1094.4</w:t>
      </w:r>
      <w:r>
        <w:rPr>
          <w:rFonts w:hint="eastAsia"/>
          <w:spacing w:val="4"/>
        </w:rPr>
        <w:t>m</w:t>
      </w:r>
      <w:r>
        <w:rPr>
          <w:rFonts w:hint="eastAsia"/>
          <w:spacing w:val="4"/>
          <w:vertAlign w:val="superscript"/>
        </w:rPr>
        <w:t>3</w:t>
      </w:r>
      <w:r>
        <w:rPr>
          <w:rFonts w:hint="eastAsia"/>
          <w:spacing w:val="4"/>
        </w:rPr>
        <w:t>/a，排入雨水管网。</w:t>
      </w:r>
    </w:p>
    <w:p>
      <w:pPr>
        <w:ind w:firstLine="480"/>
      </w:pPr>
      <w:r>
        <w:rPr>
          <w:rFonts w:hint="eastAsia"/>
        </w:rPr>
        <w:t>根据</w:t>
      </w:r>
      <w:r>
        <w:t>现场调查，</w:t>
      </w:r>
      <w:r>
        <w:rPr>
          <w:rFonts w:hint="eastAsia"/>
        </w:rPr>
        <w:t>化粪池</w:t>
      </w:r>
      <w:r>
        <w:t>依托厂区已建成化粪池，项目周边</w:t>
      </w:r>
      <w:r>
        <w:rPr>
          <w:rFonts w:hint="eastAsia"/>
        </w:rPr>
        <w:t>市政污水</w:t>
      </w:r>
      <w:r>
        <w:t>管网和雨水管网已经敷设到位，废水</w:t>
      </w:r>
      <w:r>
        <w:rPr>
          <w:rFonts w:hint="eastAsia"/>
        </w:rPr>
        <w:t>可</w:t>
      </w:r>
      <w:r>
        <w:t>排入管网，</w:t>
      </w:r>
      <w:r>
        <w:rPr>
          <w:rFonts w:hint="eastAsia"/>
        </w:rPr>
        <w:t>外排</w:t>
      </w:r>
      <w:r>
        <w:t>污水满足</w:t>
      </w:r>
      <w:r>
        <w:rPr>
          <w:rFonts w:hint="eastAsia"/>
        </w:rPr>
        <w:t>《污水综合排放标准》（GB8978-1996）表4中三级标准及《污水排入城镇下水道水质标准》（GB/T 31962-2015）表1中B级标准，废水</w:t>
      </w:r>
      <w:r>
        <w:t>处理措施措施可行</w:t>
      </w:r>
      <w:r>
        <w:rPr>
          <w:rFonts w:hint="eastAsia"/>
        </w:rPr>
        <w:t>。</w:t>
      </w:r>
    </w:p>
    <w:p>
      <w:pPr>
        <w:pStyle w:val="5"/>
      </w:pPr>
      <w:bookmarkStart w:id="204" w:name="_Toc25395"/>
      <w:bookmarkStart w:id="205" w:name="_Toc31375"/>
      <w:bookmarkStart w:id="206" w:name="_Toc7584"/>
      <w:r>
        <w:rPr>
          <w:rFonts w:hint="eastAsia"/>
        </w:rPr>
        <w:t>污水处理厂</w:t>
      </w:r>
      <w:r>
        <w:t>依托可行性分析</w:t>
      </w:r>
    </w:p>
    <w:p>
      <w:pPr>
        <w:ind w:firstLine="480"/>
      </w:pPr>
      <w:r>
        <w:rPr>
          <w:rFonts w:hint="eastAsia"/>
        </w:rPr>
        <w:t>项目</w:t>
      </w:r>
      <w:r>
        <w:t>生活污水经化粪池处理后</w:t>
      </w:r>
      <w:r>
        <w:rPr>
          <w:rFonts w:hint="eastAsia"/>
        </w:rPr>
        <w:t>经市政</w:t>
      </w:r>
      <w:r>
        <w:t>管网排入吕河镇污水处理厂</w:t>
      </w:r>
      <w:r>
        <w:rPr>
          <w:rFonts w:hint="eastAsia"/>
        </w:rPr>
        <w:t>处理</w:t>
      </w:r>
      <w:r>
        <w:t>，</w:t>
      </w:r>
      <w:r>
        <w:rPr>
          <w:rFonts w:hint="eastAsia"/>
          <w:kern w:val="0"/>
          <w:szCs w:val="20"/>
        </w:rPr>
        <w:t>旬阳市吕河镇镇区污水处理厂</w:t>
      </w:r>
      <w:r>
        <w:rPr>
          <w:kern w:val="0"/>
          <w:szCs w:val="20"/>
        </w:rPr>
        <w:t>位于</w:t>
      </w:r>
      <w:r>
        <w:rPr>
          <w:rFonts w:hint="eastAsia"/>
          <w:kern w:val="0"/>
          <w:szCs w:val="20"/>
        </w:rPr>
        <w:t>旬阳市吕河镇敖院村组</w:t>
      </w:r>
      <w:r>
        <w:rPr>
          <w:kern w:val="0"/>
          <w:szCs w:val="20"/>
        </w:rPr>
        <w:t>，</w:t>
      </w:r>
      <w:r>
        <w:rPr>
          <w:rFonts w:hint="eastAsia"/>
          <w:kern w:val="0"/>
          <w:szCs w:val="20"/>
        </w:rPr>
        <w:t>服务范围包括吕河工业园区，本项目位于</w:t>
      </w:r>
      <w:r>
        <w:rPr>
          <w:kern w:val="0"/>
          <w:szCs w:val="24"/>
        </w:rPr>
        <w:t>陕西省</w:t>
      </w:r>
      <w:r>
        <w:rPr>
          <w:rFonts w:hint="eastAsia"/>
          <w:kern w:val="0"/>
          <w:szCs w:val="24"/>
        </w:rPr>
        <w:t>安康市</w:t>
      </w:r>
      <w:r>
        <w:rPr>
          <w:kern w:val="0"/>
          <w:szCs w:val="24"/>
        </w:rPr>
        <w:t>旬阳高新区吕河工业园</w:t>
      </w:r>
      <w:r>
        <w:rPr>
          <w:rFonts w:hint="eastAsia"/>
          <w:kern w:val="0"/>
          <w:szCs w:val="24"/>
        </w:rPr>
        <w:t>内，在其污水处理厂服务范围内。污水处理厂</w:t>
      </w:r>
      <w:r>
        <w:rPr>
          <w:kern w:val="0"/>
          <w:szCs w:val="20"/>
        </w:rPr>
        <w:t>采取的污水处理工艺为</w:t>
      </w:r>
      <w:r>
        <w:rPr>
          <w:rFonts w:hint="eastAsia"/>
          <w:kern w:val="0"/>
          <w:szCs w:val="20"/>
        </w:rPr>
        <w:t>预处理段水解酸化、二级生物处理段，其中预处理采用“格栅、提升水解酸化沉淀池”，生化处理阶段采用生物转盘处理工艺， </w:t>
      </w:r>
      <w:r>
        <w:rPr>
          <w:kern w:val="0"/>
          <w:szCs w:val="20"/>
        </w:rPr>
        <w:t>其</w:t>
      </w:r>
      <w:r>
        <w:rPr>
          <w:rFonts w:hint="eastAsia"/>
          <w:kern w:val="0"/>
          <w:szCs w:val="20"/>
        </w:rPr>
        <w:t>近期建设规模为2000m</w:t>
      </w:r>
      <w:r>
        <w:rPr>
          <w:rFonts w:hint="eastAsia"/>
          <w:kern w:val="0"/>
          <w:szCs w:val="20"/>
          <w:vertAlign w:val="superscript"/>
        </w:rPr>
        <w:t>3</w:t>
      </w:r>
      <w:r>
        <w:rPr>
          <w:kern w:val="0"/>
          <w:szCs w:val="20"/>
        </w:rPr>
        <w:t>/</w:t>
      </w:r>
      <w:r>
        <w:rPr>
          <w:rFonts w:hint="eastAsia"/>
          <w:kern w:val="0"/>
          <w:szCs w:val="20"/>
        </w:rPr>
        <w:t>d</w:t>
      </w:r>
      <w:r>
        <w:rPr>
          <w:kern w:val="0"/>
          <w:szCs w:val="20"/>
        </w:rPr>
        <w:t>，处理的废水类型主要是工业废水+生活污水</w:t>
      </w:r>
      <w:r>
        <w:rPr>
          <w:rFonts w:hint="eastAsia"/>
          <w:kern w:val="0"/>
          <w:szCs w:val="20"/>
        </w:rPr>
        <w:t>。2017年污水处理厂对出水水质由一级B提高至一级A，达到一级A后进行排放。</w:t>
      </w:r>
      <w:r>
        <w:rPr>
          <w:kern w:val="0"/>
          <w:szCs w:val="20"/>
        </w:rPr>
        <w:t>本项目污水日排放量627m</w:t>
      </w:r>
      <w:r>
        <w:rPr>
          <w:kern w:val="0"/>
          <w:szCs w:val="20"/>
          <w:vertAlign w:val="superscript"/>
        </w:rPr>
        <w:t>3</w:t>
      </w:r>
      <w:r>
        <w:rPr>
          <w:kern w:val="0"/>
          <w:szCs w:val="20"/>
        </w:rPr>
        <w:t>/d，仅占</w:t>
      </w:r>
      <w:r>
        <w:rPr>
          <w:rFonts w:hint="eastAsia"/>
          <w:kern w:val="0"/>
          <w:szCs w:val="20"/>
        </w:rPr>
        <w:t>旬阳市吕河镇镇区污水处理厂</w:t>
      </w:r>
      <w:r>
        <w:rPr>
          <w:kern w:val="0"/>
          <w:szCs w:val="20"/>
        </w:rPr>
        <w:t>日处理能力的</w:t>
      </w:r>
      <w:r>
        <w:rPr>
          <w:rFonts w:hint="eastAsia"/>
          <w:kern w:val="0"/>
          <w:szCs w:val="20"/>
        </w:rPr>
        <w:t>0.</w:t>
      </w:r>
      <w:r>
        <w:rPr>
          <w:kern w:val="0"/>
          <w:szCs w:val="20"/>
        </w:rPr>
        <w:t>31%，对污水处理厂的影响很小</w:t>
      </w:r>
      <w:r>
        <w:rPr>
          <w:rFonts w:hint="eastAsia"/>
          <w:kern w:val="0"/>
          <w:szCs w:val="20"/>
        </w:rPr>
        <w:t>，因此</w:t>
      </w:r>
      <w:r>
        <w:rPr>
          <w:kern w:val="0"/>
          <w:szCs w:val="20"/>
        </w:rPr>
        <w:t>，项目生活污水依托旬阳市吕河镇污水处理产处理措施可行</w:t>
      </w:r>
      <w:r>
        <w:rPr>
          <w:rFonts w:hint="eastAsia"/>
          <w:kern w:val="0"/>
          <w:szCs w:val="20"/>
        </w:rPr>
        <w:t>。</w:t>
      </w:r>
    </w:p>
    <w:p>
      <w:pPr>
        <w:pStyle w:val="4"/>
      </w:pPr>
      <w:r>
        <w:rPr>
          <w:rFonts w:hint="eastAsia"/>
        </w:rPr>
        <w:t>地下水</w:t>
      </w:r>
      <w:r>
        <w:t>污染防治措施可行性</w:t>
      </w:r>
    </w:p>
    <w:p>
      <w:pPr>
        <w:pStyle w:val="87"/>
        <w:ind w:firstLine="480"/>
      </w:pPr>
      <w:r>
        <w:t>本项目地下水污染防治措施按照“源头控制、分区防治、污染监控、应急响应”相结合的原则，从污染物的产生、入渗、扩散、应急响应进行控制。</w:t>
      </w:r>
    </w:p>
    <w:p>
      <w:pPr>
        <w:pStyle w:val="5"/>
      </w:pPr>
      <w:r>
        <w:t>源头控制措施</w:t>
      </w:r>
    </w:p>
    <w:p>
      <w:pPr>
        <w:pStyle w:val="87"/>
        <w:ind w:firstLine="480"/>
      </w:pPr>
      <w:r>
        <w:rPr>
          <w:rFonts w:hint="eastAsia"/>
        </w:rPr>
        <w:t>地下水污染的特殊性（隐蔽性、难以逆转性和复杂性）决定了地下水污染的防治应首先立足于“防”，从源头控制、减少污染物的量，可以有效防止污染物进入地下水环境。项目应对产生的废水进行合理的治理和综合利用，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露的环境风险事故降低到最低程度。针对该项目特点，建议从以下几个方面进行控制污染：</w:t>
      </w:r>
    </w:p>
    <w:p>
      <w:pPr>
        <w:ind w:firstLine="480"/>
        <w:rPr>
          <w:szCs w:val="24"/>
        </w:rPr>
      </w:pPr>
      <w:r>
        <w:rPr>
          <w:rFonts w:hint="eastAsia"/>
          <w:szCs w:val="24"/>
        </w:rPr>
        <w:t>（</w:t>
      </w:r>
      <w:r>
        <w:rPr>
          <w:szCs w:val="24"/>
        </w:rPr>
        <w:t>1</w:t>
      </w:r>
      <w:r>
        <w:rPr>
          <w:rFonts w:hint="eastAsia"/>
          <w:szCs w:val="24"/>
        </w:rPr>
        <w:t>）废水排放措施</w:t>
      </w:r>
    </w:p>
    <w:p>
      <w:pPr>
        <w:ind w:firstLine="480"/>
        <w:rPr>
          <w:szCs w:val="24"/>
        </w:rPr>
      </w:pPr>
      <w:r>
        <w:rPr>
          <w:rFonts w:hint="eastAsia"/>
          <w:szCs w:val="24"/>
        </w:rPr>
        <w:t>污水排放是造成地表水污染从而造成地下水污染的重要原因。因此，防止地下水污染最根本的方法就是减少废水中污染物的排放量。本项目采用节能减排及清洁生产的新工序</w:t>
      </w:r>
      <w:r>
        <w:rPr>
          <w:szCs w:val="24"/>
        </w:rPr>
        <w:t>，生产过程无废水产生，</w:t>
      </w:r>
      <w:r>
        <w:rPr>
          <w:rFonts w:hint="eastAsia"/>
          <w:szCs w:val="24"/>
        </w:rPr>
        <w:t>降低了污染物产生量和排放量，防止环境污染，</w:t>
      </w:r>
      <w:r>
        <w:rPr>
          <w:szCs w:val="24"/>
        </w:rPr>
        <w:t>项目排放的废水主要为生活污水</w:t>
      </w:r>
      <w:r>
        <w:rPr>
          <w:rFonts w:hint="eastAsia"/>
          <w:szCs w:val="24"/>
        </w:rPr>
        <w:t>，经</w:t>
      </w:r>
      <w:r>
        <w:rPr>
          <w:szCs w:val="24"/>
        </w:rPr>
        <w:t>化粪池处理后排入吕河镇污水处理厂，</w:t>
      </w:r>
      <w:r>
        <w:rPr>
          <w:rFonts w:hint="eastAsia"/>
          <w:szCs w:val="24"/>
        </w:rPr>
        <w:t>。</w:t>
      </w:r>
    </w:p>
    <w:p>
      <w:pPr>
        <w:ind w:firstLine="480"/>
        <w:rPr>
          <w:szCs w:val="24"/>
        </w:rPr>
      </w:pPr>
      <w:r>
        <w:rPr>
          <w:rFonts w:hint="eastAsia"/>
          <w:szCs w:val="24"/>
        </w:rPr>
        <w:t>（</w:t>
      </w:r>
      <w:r>
        <w:rPr>
          <w:szCs w:val="24"/>
        </w:rPr>
        <w:t>2</w:t>
      </w:r>
      <w:r>
        <w:rPr>
          <w:rFonts w:hint="eastAsia"/>
          <w:szCs w:val="24"/>
        </w:rPr>
        <w:t>）</w:t>
      </w:r>
      <w:r>
        <w:rPr>
          <w:rFonts w:hint="eastAsia"/>
        </w:rPr>
        <w:t>固体废物厂内临时堆存措施</w:t>
      </w:r>
    </w:p>
    <w:p>
      <w:pPr>
        <w:pStyle w:val="87"/>
        <w:ind w:firstLine="480"/>
        <w:rPr>
          <w:rFonts w:cs="Times New Roman"/>
        </w:rPr>
      </w:pPr>
      <w:r>
        <w:rPr>
          <w:rFonts w:hint="eastAsia"/>
        </w:rPr>
        <w:t>危险固废临时堆场，严格按照</w:t>
      </w:r>
      <w:r>
        <w:rPr>
          <w:rFonts w:cs="Times New Roman"/>
        </w:rPr>
        <w:t>《危险废物贮存污染控制标准》（</w:t>
      </w:r>
      <w:r>
        <w:rPr>
          <w:rFonts w:eastAsia="TimesNewRomanPSMT" w:cs="Times New Roman"/>
        </w:rPr>
        <w:t>GB18597-2001</w:t>
      </w:r>
      <w:r>
        <w:rPr>
          <w:rFonts w:cs="Times New Roman"/>
        </w:rPr>
        <w:t>）、《危险废物转移联单管理办法》（国家环保总局</w:t>
      </w:r>
      <w:r>
        <w:rPr>
          <w:rFonts w:eastAsia="TimesNewRomanPSMT" w:cs="Times New Roman"/>
        </w:rPr>
        <w:t xml:space="preserve">5 </w:t>
      </w:r>
      <w:r>
        <w:rPr>
          <w:rFonts w:cs="Times New Roman"/>
        </w:rPr>
        <w:t>号令）及《危险废物收集、贮存、运输技术规范》（</w:t>
      </w:r>
      <w:r>
        <w:rPr>
          <w:rFonts w:eastAsia="TimesNewRomanPSMT" w:cs="Times New Roman"/>
        </w:rPr>
        <w:t>HJ2025-2012</w:t>
      </w:r>
      <w:r>
        <w:rPr>
          <w:rFonts w:cs="Times New Roman"/>
        </w:rPr>
        <w:t>）相关要求对其进行收集、贮存、转移及运输，不得随意堆放、贮存，保证危险废物不进入环境，以防止对地下水造成污染。</w:t>
      </w:r>
    </w:p>
    <w:p>
      <w:pPr>
        <w:pStyle w:val="87"/>
        <w:ind w:firstLine="480"/>
        <w:rPr>
          <w:rFonts w:cs="Times New Roman"/>
        </w:rPr>
      </w:pPr>
      <w:r>
        <w:rPr>
          <w:rFonts w:cs="Times New Roman"/>
        </w:rPr>
        <w:t>一般固体废物严格按照《一般工业固体废物贮存</w:t>
      </w:r>
      <w:r>
        <w:rPr>
          <w:rFonts w:hint="eastAsia" w:cs="Times New Roman"/>
        </w:rPr>
        <w:t>和填埋</w:t>
      </w:r>
      <w:r>
        <w:rPr>
          <w:rFonts w:cs="Times New Roman"/>
        </w:rPr>
        <w:t>污染控制标准》</w:t>
      </w:r>
      <w:r>
        <w:rPr>
          <w:rFonts w:eastAsia="TimesNewRomanPSMT" w:cs="Times New Roman"/>
        </w:rPr>
        <w:t>(GB18599-2020</w:t>
      </w:r>
      <w:r>
        <w:rPr>
          <w:rFonts w:hint="eastAsia" w:eastAsia="TimesNewRomanPSMT" w:cs="Times New Roman"/>
        </w:rPr>
        <w:t>)</w:t>
      </w:r>
      <w:r>
        <w:rPr>
          <w:rFonts w:cs="Times New Roman"/>
        </w:rPr>
        <w:t>要求进行贮存及处置。</w:t>
      </w:r>
    </w:p>
    <w:p>
      <w:pPr>
        <w:ind w:firstLine="480"/>
        <w:rPr>
          <w:szCs w:val="24"/>
        </w:rPr>
      </w:pPr>
      <w:r>
        <w:rPr>
          <w:rFonts w:hint="eastAsia"/>
          <w:szCs w:val="24"/>
        </w:rPr>
        <w:t>（</w:t>
      </w:r>
      <w:r>
        <w:rPr>
          <w:szCs w:val="24"/>
        </w:rPr>
        <w:t>4</w:t>
      </w:r>
      <w:r>
        <w:rPr>
          <w:rFonts w:hint="eastAsia"/>
          <w:szCs w:val="24"/>
        </w:rPr>
        <w:t>）配备专职的安全管理与责任人员，要有专职人员每天巡视、检查可能发生泄露的区域，发现跑、冒、滴、漏情况，及时采取管线修复等措施阻止污染物的进一步扩散泄露，并立即清除被污染的土壤，阻止污染物进一步下渗。</w:t>
      </w:r>
    </w:p>
    <w:p>
      <w:pPr>
        <w:pStyle w:val="5"/>
      </w:pPr>
      <w:r>
        <w:rPr>
          <w:rFonts w:hint="eastAsia"/>
        </w:rPr>
        <w:t>分区</w:t>
      </w:r>
      <w:r>
        <w:t>防渗</w:t>
      </w:r>
    </w:p>
    <w:p>
      <w:pPr>
        <w:pStyle w:val="87"/>
        <w:ind w:firstLine="480"/>
      </w:pPr>
      <w:r>
        <w:rPr>
          <w:rFonts w:hint="eastAsia"/>
        </w:rPr>
        <w:t>本项目排水对地下水的影响途径主要为厂区污水管网的跑冒滴漏、水池的渗漏对地下水的影响等。根据厂区各生产功能单元是否可能对地下水造成污染及其风险程度，将厂区划分为重点防渗区、一般防渗区和简单防渗区。</w:t>
      </w:r>
      <w:r>
        <w:t>参照地下水导则中地下水污染防渗分区参照表，具体见</w:t>
      </w:r>
      <w:r>
        <w:fldChar w:fldCharType="begin"/>
      </w:r>
      <w:r>
        <w:instrText xml:space="preserve"> REF _Ref39049275 \h  \* MERGEFORMAT </w:instrText>
      </w:r>
      <w:r>
        <w:fldChar w:fldCharType="separate"/>
      </w:r>
      <w:r>
        <w:rPr>
          <w:rFonts w:hint="eastAsia"/>
        </w:rPr>
        <w:t>表</w:t>
      </w:r>
      <w:r>
        <w:t>7.2</w:t>
      </w:r>
      <w:r>
        <w:noBreakHyphen/>
      </w:r>
      <w:r>
        <w:t>1</w:t>
      </w:r>
      <w:r>
        <w:fldChar w:fldCharType="end"/>
      </w:r>
      <w:r>
        <w:rPr>
          <w:rFonts w:hint="eastAsia"/>
        </w:rPr>
        <w:t>。</w:t>
      </w:r>
    </w:p>
    <w:p>
      <w:pPr>
        <w:pStyle w:val="93"/>
      </w:pPr>
      <w:bookmarkStart w:id="207" w:name="_Ref39049275"/>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7.2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207"/>
      <w:r>
        <w:t xml:space="preserve">  地下水污染防渗分区参照表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522"/>
        <w:gridCol w:w="1385"/>
        <w:gridCol w:w="1860"/>
        <w:gridCol w:w="2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Align w:val="center"/>
          </w:tcPr>
          <w:p>
            <w:pPr>
              <w:pStyle w:val="48"/>
            </w:pPr>
            <w:r>
              <w:t>防渗分区</w:t>
            </w:r>
          </w:p>
        </w:tc>
        <w:tc>
          <w:tcPr>
            <w:tcW w:w="1522" w:type="dxa"/>
            <w:vAlign w:val="center"/>
          </w:tcPr>
          <w:p>
            <w:pPr>
              <w:pStyle w:val="48"/>
            </w:pPr>
            <w:r>
              <w:t>天然包气带防污性能</w:t>
            </w:r>
          </w:p>
        </w:tc>
        <w:tc>
          <w:tcPr>
            <w:tcW w:w="1385" w:type="dxa"/>
            <w:vAlign w:val="center"/>
          </w:tcPr>
          <w:p>
            <w:pPr>
              <w:pStyle w:val="48"/>
            </w:pPr>
            <w:r>
              <w:t>污染控制难易程度</w:t>
            </w:r>
          </w:p>
        </w:tc>
        <w:tc>
          <w:tcPr>
            <w:tcW w:w="1860" w:type="dxa"/>
            <w:vAlign w:val="center"/>
          </w:tcPr>
          <w:p>
            <w:pPr>
              <w:pStyle w:val="48"/>
            </w:pPr>
            <w:r>
              <w:t>污染物类型</w:t>
            </w:r>
          </w:p>
        </w:tc>
        <w:tc>
          <w:tcPr>
            <w:tcW w:w="2922" w:type="dxa"/>
            <w:vAlign w:val="center"/>
          </w:tcPr>
          <w:p>
            <w:pPr>
              <w:pStyle w:val="48"/>
            </w:pPr>
            <w: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restart"/>
            <w:vAlign w:val="center"/>
          </w:tcPr>
          <w:p>
            <w:pPr>
              <w:pStyle w:val="48"/>
            </w:pPr>
            <w:r>
              <w:t>重点防渗区</w:t>
            </w:r>
          </w:p>
        </w:tc>
        <w:tc>
          <w:tcPr>
            <w:tcW w:w="1522" w:type="dxa"/>
            <w:vAlign w:val="center"/>
          </w:tcPr>
          <w:p>
            <w:pPr>
              <w:pStyle w:val="48"/>
            </w:pPr>
            <w:r>
              <w:t>弱</w:t>
            </w:r>
          </w:p>
        </w:tc>
        <w:tc>
          <w:tcPr>
            <w:tcW w:w="1385" w:type="dxa"/>
            <w:vAlign w:val="center"/>
          </w:tcPr>
          <w:p>
            <w:pPr>
              <w:pStyle w:val="48"/>
            </w:pPr>
            <w:r>
              <w:t>难</w:t>
            </w:r>
          </w:p>
        </w:tc>
        <w:tc>
          <w:tcPr>
            <w:tcW w:w="1860" w:type="dxa"/>
            <w:vMerge w:val="restart"/>
            <w:vAlign w:val="center"/>
          </w:tcPr>
          <w:p>
            <w:pPr>
              <w:pStyle w:val="48"/>
            </w:pPr>
            <w:r>
              <w:t>重金属、持久性有机物污染物</w:t>
            </w:r>
          </w:p>
        </w:tc>
        <w:tc>
          <w:tcPr>
            <w:tcW w:w="2922" w:type="dxa"/>
            <w:vMerge w:val="restart"/>
            <w:vAlign w:val="center"/>
          </w:tcPr>
          <w:p>
            <w:pPr>
              <w:pStyle w:val="48"/>
            </w:pPr>
            <w:r>
              <w:t>等效黏土防渗层Mb≥6.0m，K≤1×10-7cm/s；或参照GB18598执行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continue"/>
            <w:vAlign w:val="center"/>
          </w:tcPr>
          <w:p>
            <w:pPr>
              <w:pStyle w:val="48"/>
            </w:pPr>
          </w:p>
        </w:tc>
        <w:tc>
          <w:tcPr>
            <w:tcW w:w="1522" w:type="dxa"/>
            <w:vAlign w:val="center"/>
          </w:tcPr>
          <w:p>
            <w:pPr>
              <w:pStyle w:val="48"/>
            </w:pPr>
            <w:r>
              <w:t>中-强</w:t>
            </w:r>
          </w:p>
        </w:tc>
        <w:tc>
          <w:tcPr>
            <w:tcW w:w="1385" w:type="dxa"/>
            <w:vAlign w:val="center"/>
          </w:tcPr>
          <w:p>
            <w:pPr>
              <w:pStyle w:val="48"/>
            </w:pPr>
            <w:r>
              <w:t>难</w:t>
            </w:r>
          </w:p>
        </w:tc>
        <w:tc>
          <w:tcPr>
            <w:tcW w:w="1860" w:type="dxa"/>
            <w:vMerge w:val="continue"/>
            <w:vAlign w:val="center"/>
          </w:tcPr>
          <w:p>
            <w:pPr>
              <w:pStyle w:val="48"/>
            </w:pPr>
          </w:p>
        </w:tc>
        <w:tc>
          <w:tcPr>
            <w:tcW w:w="2922"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continue"/>
            <w:vAlign w:val="center"/>
          </w:tcPr>
          <w:p>
            <w:pPr>
              <w:pStyle w:val="48"/>
            </w:pPr>
          </w:p>
        </w:tc>
        <w:tc>
          <w:tcPr>
            <w:tcW w:w="1522" w:type="dxa"/>
            <w:vAlign w:val="center"/>
          </w:tcPr>
          <w:p>
            <w:pPr>
              <w:pStyle w:val="48"/>
            </w:pPr>
            <w:r>
              <w:t>弱</w:t>
            </w:r>
          </w:p>
        </w:tc>
        <w:tc>
          <w:tcPr>
            <w:tcW w:w="1385" w:type="dxa"/>
            <w:vAlign w:val="center"/>
          </w:tcPr>
          <w:p>
            <w:pPr>
              <w:pStyle w:val="48"/>
            </w:pPr>
            <w:r>
              <w:t>易</w:t>
            </w:r>
          </w:p>
        </w:tc>
        <w:tc>
          <w:tcPr>
            <w:tcW w:w="1860" w:type="dxa"/>
            <w:vMerge w:val="continue"/>
            <w:vAlign w:val="center"/>
          </w:tcPr>
          <w:p>
            <w:pPr>
              <w:pStyle w:val="48"/>
            </w:pPr>
          </w:p>
        </w:tc>
        <w:tc>
          <w:tcPr>
            <w:tcW w:w="2922"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restart"/>
            <w:vAlign w:val="center"/>
          </w:tcPr>
          <w:p>
            <w:pPr>
              <w:pStyle w:val="48"/>
            </w:pPr>
            <w:r>
              <w:t>一般防渗区</w:t>
            </w:r>
          </w:p>
        </w:tc>
        <w:tc>
          <w:tcPr>
            <w:tcW w:w="1522" w:type="dxa"/>
            <w:vAlign w:val="center"/>
          </w:tcPr>
          <w:p>
            <w:pPr>
              <w:pStyle w:val="48"/>
            </w:pPr>
            <w:r>
              <w:t>弱</w:t>
            </w:r>
          </w:p>
        </w:tc>
        <w:tc>
          <w:tcPr>
            <w:tcW w:w="1385" w:type="dxa"/>
            <w:vAlign w:val="center"/>
          </w:tcPr>
          <w:p>
            <w:pPr>
              <w:pStyle w:val="48"/>
            </w:pPr>
            <w:r>
              <w:t>易-难</w:t>
            </w:r>
          </w:p>
        </w:tc>
        <w:tc>
          <w:tcPr>
            <w:tcW w:w="1860" w:type="dxa"/>
            <w:vMerge w:val="restart"/>
            <w:vAlign w:val="center"/>
          </w:tcPr>
          <w:p>
            <w:pPr>
              <w:pStyle w:val="48"/>
            </w:pPr>
            <w:r>
              <w:t>其他类型</w:t>
            </w:r>
          </w:p>
        </w:tc>
        <w:tc>
          <w:tcPr>
            <w:tcW w:w="2922" w:type="dxa"/>
            <w:vMerge w:val="restart"/>
            <w:vAlign w:val="center"/>
          </w:tcPr>
          <w:p>
            <w:pPr>
              <w:pStyle w:val="48"/>
            </w:pPr>
            <w:r>
              <w:t>等效黏土防渗层Mb≥1.5m，K≤1×10-7cm/s；或参照GB18598执行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continue"/>
            <w:vAlign w:val="center"/>
          </w:tcPr>
          <w:p>
            <w:pPr>
              <w:pStyle w:val="48"/>
            </w:pPr>
          </w:p>
        </w:tc>
        <w:tc>
          <w:tcPr>
            <w:tcW w:w="1522" w:type="dxa"/>
            <w:vAlign w:val="center"/>
          </w:tcPr>
          <w:p>
            <w:pPr>
              <w:pStyle w:val="48"/>
            </w:pPr>
            <w:r>
              <w:t>中-强</w:t>
            </w:r>
          </w:p>
        </w:tc>
        <w:tc>
          <w:tcPr>
            <w:tcW w:w="1385" w:type="dxa"/>
            <w:vAlign w:val="center"/>
          </w:tcPr>
          <w:p>
            <w:pPr>
              <w:pStyle w:val="48"/>
            </w:pPr>
            <w:r>
              <w:t>难</w:t>
            </w:r>
          </w:p>
        </w:tc>
        <w:tc>
          <w:tcPr>
            <w:tcW w:w="1860" w:type="dxa"/>
            <w:vMerge w:val="continue"/>
            <w:vAlign w:val="center"/>
          </w:tcPr>
          <w:p>
            <w:pPr>
              <w:pStyle w:val="48"/>
            </w:pPr>
          </w:p>
        </w:tc>
        <w:tc>
          <w:tcPr>
            <w:tcW w:w="2922"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continue"/>
            <w:vAlign w:val="center"/>
          </w:tcPr>
          <w:p>
            <w:pPr>
              <w:pStyle w:val="48"/>
            </w:pPr>
          </w:p>
        </w:tc>
        <w:tc>
          <w:tcPr>
            <w:tcW w:w="1522" w:type="dxa"/>
            <w:vAlign w:val="center"/>
          </w:tcPr>
          <w:p>
            <w:pPr>
              <w:pStyle w:val="48"/>
            </w:pPr>
            <w:r>
              <w:t>中</w:t>
            </w:r>
          </w:p>
        </w:tc>
        <w:tc>
          <w:tcPr>
            <w:tcW w:w="1385" w:type="dxa"/>
            <w:vAlign w:val="center"/>
          </w:tcPr>
          <w:p>
            <w:pPr>
              <w:pStyle w:val="48"/>
            </w:pPr>
            <w:r>
              <w:t>易</w:t>
            </w:r>
          </w:p>
        </w:tc>
        <w:tc>
          <w:tcPr>
            <w:tcW w:w="1860" w:type="dxa"/>
            <w:vMerge w:val="restart"/>
            <w:vAlign w:val="center"/>
          </w:tcPr>
          <w:p>
            <w:pPr>
              <w:pStyle w:val="48"/>
            </w:pPr>
            <w:r>
              <w:t>重金属、持久性有机物污染物</w:t>
            </w:r>
          </w:p>
        </w:tc>
        <w:tc>
          <w:tcPr>
            <w:tcW w:w="2922"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Merge w:val="continue"/>
            <w:vAlign w:val="center"/>
          </w:tcPr>
          <w:p>
            <w:pPr>
              <w:pStyle w:val="48"/>
            </w:pPr>
          </w:p>
        </w:tc>
        <w:tc>
          <w:tcPr>
            <w:tcW w:w="1522" w:type="dxa"/>
            <w:vAlign w:val="center"/>
          </w:tcPr>
          <w:p>
            <w:pPr>
              <w:pStyle w:val="48"/>
            </w:pPr>
            <w:r>
              <w:t>强</w:t>
            </w:r>
          </w:p>
        </w:tc>
        <w:tc>
          <w:tcPr>
            <w:tcW w:w="1385" w:type="dxa"/>
            <w:vAlign w:val="center"/>
          </w:tcPr>
          <w:p>
            <w:pPr>
              <w:pStyle w:val="48"/>
            </w:pPr>
            <w:r>
              <w:t>易</w:t>
            </w:r>
          </w:p>
        </w:tc>
        <w:tc>
          <w:tcPr>
            <w:tcW w:w="1860" w:type="dxa"/>
            <w:vMerge w:val="continue"/>
            <w:vAlign w:val="center"/>
          </w:tcPr>
          <w:p>
            <w:pPr>
              <w:pStyle w:val="48"/>
            </w:pPr>
          </w:p>
        </w:tc>
        <w:tc>
          <w:tcPr>
            <w:tcW w:w="2922" w:type="dxa"/>
            <w:vMerge w:val="continue"/>
            <w:vAlign w:val="center"/>
          </w:tcPr>
          <w:p>
            <w:pPr>
              <w:pStyle w:val="4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51" w:type="dxa"/>
            <w:vAlign w:val="center"/>
          </w:tcPr>
          <w:p>
            <w:pPr>
              <w:pStyle w:val="48"/>
            </w:pPr>
            <w:r>
              <w:t>简单防渗区</w:t>
            </w:r>
          </w:p>
        </w:tc>
        <w:tc>
          <w:tcPr>
            <w:tcW w:w="1522" w:type="dxa"/>
            <w:vAlign w:val="center"/>
          </w:tcPr>
          <w:p>
            <w:pPr>
              <w:pStyle w:val="48"/>
            </w:pPr>
            <w:r>
              <w:t>中-强</w:t>
            </w:r>
          </w:p>
        </w:tc>
        <w:tc>
          <w:tcPr>
            <w:tcW w:w="1385" w:type="dxa"/>
            <w:vAlign w:val="center"/>
          </w:tcPr>
          <w:p>
            <w:pPr>
              <w:pStyle w:val="48"/>
            </w:pPr>
            <w:r>
              <w:t>易</w:t>
            </w:r>
          </w:p>
        </w:tc>
        <w:tc>
          <w:tcPr>
            <w:tcW w:w="1860" w:type="dxa"/>
            <w:vAlign w:val="center"/>
          </w:tcPr>
          <w:p>
            <w:pPr>
              <w:pStyle w:val="48"/>
            </w:pPr>
            <w:r>
              <w:t>其他类型</w:t>
            </w:r>
          </w:p>
        </w:tc>
        <w:tc>
          <w:tcPr>
            <w:tcW w:w="2922" w:type="dxa"/>
            <w:vAlign w:val="center"/>
          </w:tcPr>
          <w:p>
            <w:pPr>
              <w:pStyle w:val="48"/>
            </w:pPr>
            <w:r>
              <w:t>一般地面硬化</w:t>
            </w:r>
          </w:p>
        </w:tc>
      </w:tr>
    </w:tbl>
    <w:p>
      <w:pPr>
        <w:pStyle w:val="87"/>
        <w:ind w:firstLine="480"/>
      </w:pPr>
      <w:r>
        <w:rPr>
          <w:rFonts w:hint="eastAsia"/>
        </w:rPr>
        <w:t>重点防渗区是可能会对地下水造成污染，风险程度较高，需要重点防治的区域，主要包括储罐区</w:t>
      </w:r>
      <w:r>
        <w:t>、危险废物暂存间</w:t>
      </w:r>
      <w:r>
        <w:rPr>
          <w:rFonts w:hint="eastAsia"/>
        </w:rPr>
        <w:t>等</w:t>
      </w:r>
      <w:r>
        <w:t>。</w:t>
      </w:r>
    </w:p>
    <w:p>
      <w:pPr>
        <w:pStyle w:val="87"/>
        <w:ind w:firstLine="480"/>
      </w:pPr>
      <w:r>
        <w:rPr>
          <w:rFonts w:hint="eastAsia"/>
        </w:rPr>
        <w:t>一般防渗区是可能对地下水造成污染，但危害性或风险程度相对较低的区域，包括场内生产厂房。</w:t>
      </w:r>
    </w:p>
    <w:p>
      <w:pPr>
        <w:pStyle w:val="87"/>
        <w:ind w:firstLine="480"/>
      </w:pPr>
      <w:r>
        <w:rPr>
          <w:rFonts w:hint="eastAsia"/>
        </w:rPr>
        <w:t>简单防渗区为基本不会对地下水造成污染的区域。项目防渗</w:t>
      </w:r>
      <w:r>
        <w:t>分区见</w:t>
      </w:r>
      <w:r>
        <w:rPr>
          <w:rFonts w:hint="eastAsia"/>
        </w:rPr>
        <w:t>表</w:t>
      </w:r>
      <w:r>
        <w:t>7</w:t>
      </w:r>
      <w:r>
        <w:rPr>
          <w:rFonts w:hint="eastAsia"/>
        </w:rPr>
        <w:t>.2-</w:t>
      </w:r>
      <w:r>
        <w:t>2</w:t>
      </w:r>
      <w:r>
        <w:rPr>
          <w:rFonts w:hint="eastAsia"/>
        </w:rPr>
        <w:t>。</w:t>
      </w:r>
    </w:p>
    <w:p>
      <w:pPr>
        <w:pStyle w:val="93"/>
      </w:pPr>
      <w:r>
        <w:br w:type="column"/>
      </w: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7.2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t xml:space="preserve">  </w:t>
      </w:r>
      <w:r>
        <w:rPr>
          <w:rFonts w:hint="eastAsia"/>
        </w:rPr>
        <w:t>本项目防渗工程污染防治分区</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72"/>
        <w:gridCol w:w="1081"/>
        <w:gridCol w:w="4482"/>
        <w:gridCol w:w="1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6" w:type="dxa"/>
            <w:vAlign w:val="center"/>
          </w:tcPr>
          <w:p>
            <w:pPr>
              <w:pStyle w:val="87"/>
              <w:spacing w:line="240" w:lineRule="auto"/>
              <w:ind w:firstLine="0" w:firstLineChars="0"/>
              <w:jc w:val="center"/>
              <w:rPr>
                <w:sz w:val="21"/>
                <w:szCs w:val="21"/>
              </w:rPr>
            </w:pPr>
            <w:r>
              <w:rPr>
                <w:rFonts w:hint="eastAsia"/>
                <w:sz w:val="21"/>
                <w:szCs w:val="21"/>
              </w:rPr>
              <w:t>序号</w:t>
            </w:r>
          </w:p>
        </w:tc>
        <w:tc>
          <w:tcPr>
            <w:tcW w:w="1372" w:type="dxa"/>
            <w:vAlign w:val="center"/>
          </w:tcPr>
          <w:p>
            <w:pPr>
              <w:pStyle w:val="87"/>
              <w:spacing w:line="240" w:lineRule="auto"/>
              <w:ind w:firstLine="0" w:firstLineChars="0"/>
              <w:jc w:val="center"/>
              <w:rPr>
                <w:sz w:val="21"/>
                <w:szCs w:val="21"/>
              </w:rPr>
            </w:pPr>
            <w:r>
              <w:rPr>
                <w:rFonts w:hint="eastAsia"/>
                <w:sz w:val="21"/>
                <w:szCs w:val="21"/>
              </w:rPr>
              <w:t>名称</w:t>
            </w:r>
          </w:p>
        </w:tc>
        <w:tc>
          <w:tcPr>
            <w:tcW w:w="1081" w:type="dxa"/>
            <w:vAlign w:val="center"/>
          </w:tcPr>
          <w:p>
            <w:pPr>
              <w:pStyle w:val="87"/>
              <w:spacing w:line="240" w:lineRule="auto"/>
              <w:ind w:firstLine="0" w:firstLineChars="0"/>
              <w:jc w:val="center"/>
              <w:rPr>
                <w:sz w:val="21"/>
                <w:szCs w:val="21"/>
              </w:rPr>
            </w:pPr>
            <w:r>
              <w:rPr>
                <w:rFonts w:hint="eastAsia"/>
                <w:sz w:val="21"/>
                <w:szCs w:val="21"/>
              </w:rPr>
              <w:t>防渗</w:t>
            </w:r>
            <w:r>
              <w:rPr>
                <w:sz w:val="21"/>
                <w:szCs w:val="21"/>
              </w:rPr>
              <w:t>区域</w:t>
            </w:r>
          </w:p>
        </w:tc>
        <w:tc>
          <w:tcPr>
            <w:tcW w:w="4482" w:type="dxa"/>
            <w:vAlign w:val="center"/>
          </w:tcPr>
          <w:p>
            <w:pPr>
              <w:pStyle w:val="87"/>
              <w:spacing w:line="240" w:lineRule="auto"/>
              <w:ind w:firstLine="0" w:firstLineChars="0"/>
              <w:jc w:val="center"/>
              <w:rPr>
                <w:sz w:val="21"/>
                <w:szCs w:val="21"/>
              </w:rPr>
            </w:pPr>
            <w:r>
              <w:rPr>
                <w:rFonts w:hint="eastAsia"/>
                <w:sz w:val="21"/>
                <w:szCs w:val="21"/>
              </w:rPr>
              <w:t>防渗</w:t>
            </w:r>
            <w:r>
              <w:rPr>
                <w:sz w:val="21"/>
                <w:szCs w:val="21"/>
              </w:rPr>
              <w:t>措施</w:t>
            </w:r>
          </w:p>
        </w:tc>
        <w:tc>
          <w:tcPr>
            <w:tcW w:w="1329" w:type="dxa"/>
            <w:vAlign w:val="center"/>
          </w:tcPr>
          <w:p>
            <w:pPr>
              <w:pStyle w:val="87"/>
              <w:spacing w:line="240" w:lineRule="auto"/>
              <w:ind w:firstLine="0" w:firstLineChars="0"/>
              <w:jc w:val="center"/>
              <w:rPr>
                <w:sz w:val="21"/>
                <w:szCs w:val="21"/>
              </w:rPr>
            </w:pPr>
            <w:r>
              <w:rPr>
                <w:rFonts w:hint="eastAsia"/>
                <w:sz w:val="21"/>
                <w:szCs w:val="21"/>
              </w:rPr>
              <w:t>防渗</w:t>
            </w:r>
            <w:r>
              <w:rPr>
                <w:sz w:val="21"/>
                <w:szCs w:val="21"/>
              </w:rPr>
              <w:t>分区等级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6" w:type="dxa"/>
            <w:vAlign w:val="center"/>
          </w:tcPr>
          <w:p>
            <w:pPr>
              <w:pStyle w:val="87"/>
              <w:numPr>
                <w:ilvl w:val="0"/>
                <w:numId w:val="15"/>
              </w:numPr>
              <w:spacing w:line="240" w:lineRule="auto"/>
              <w:ind w:firstLineChars="0"/>
              <w:jc w:val="center"/>
              <w:rPr>
                <w:sz w:val="21"/>
                <w:szCs w:val="21"/>
              </w:rPr>
            </w:pPr>
          </w:p>
        </w:tc>
        <w:tc>
          <w:tcPr>
            <w:tcW w:w="1372" w:type="dxa"/>
            <w:vAlign w:val="center"/>
          </w:tcPr>
          <w:p>
            <w:pPr>
              <w:pStyle w:val="87"/>
              <w:spacing w:line="240" w:lineRule="auto"/>
              <w:ind w:firstLine="0" w:firstLineChars="0"/>
              <w:jc w:val="center"/>
              <w:rPr>
                <w:sz w:val="21"/>
                <w:szCs w:val="21"/>
              </w:rPr>
            </w:pPr>
            <w:r>
              <w:rPr>
                <w:rFonts w:hint="eastAsia"/>
                <w:sz w:val="21"/>
                <w:szCs w:val="21"/>
              </w:rPr>
              <w:t>储罐区</w:t>
            </w:r>
          </w:p>
        </w:tc>
        <w:tc>
          <w:tcPr>
            <w:tcW w:w="1081" w:type="dxa"/>
            <w:vAlign w:val="center"/>
          </w:tcPr>
          <w:p>
            <w:pPr>
              <w:pStyle w:val="87"/>
              <w:spacing w:line="240" w:lineRule="auto"/>
              <w:ind w:firstLine="0" w:firstLineChars="0"/>
              <w:jc w:val="center"/>
              <w:rPr>
                <w:sz w:val="21"/>
                <w:szCs w:val="21"/>
              </w:rPr>
            </w:pPr>
            <w:r>
              <w:rPr>
                <w:rFonts w:hint="eastAsia"/>
                <w:sz w:val="21"/>
                <w:szCs w:val="21"/>
              </w:rPr>
              <w:t>罐区底部</w:t>
            </w:r>
          </w:p>
        </w:tc>
        <w:tc>
          <w:tcPr>
            <w:tcW w:w="4482" w:type="dxa"/>
            <w:vMerge w:val="restart"/>
            <w:vAlign w:val="center"/>
          </w:tcPr>
          <w:p>
            <w:pPr>
              <w:pStyle w:val="87"/>
              <w:spacing w:line="240" w:lineRule="auto"/>
              <w:ind w:firstLine="0" w:firstLineChars="0"/>
              <w:rPr>
                <w:sz w:val="21"/>
                <w:szCs w:val="21"/>
              </w:rPr>
            </w:pPr>
            <w:r>
              <w:rPr>
                <w:rFonts w:hint="eastAsia"/>
                <w:sz w:val="21"/>
                <w:szCs w:val="21"/>
              </w:rPr>
              <w:t>等效黏土防渗层Mb≥6.0m， K≤1×10</w:t>
            </w:r>
            <w:r>
              <w:rPr>
                <w:rFonts w:hint="eastAsia"/>
                <w:sz w:val="21"/>
                <w:szCs w:val="21"/>
                <w:vertAlign w:val="superscript"/>
              </w:rPr>
              <w:t>-7</w:t>
            </w:r>
            <w:r>
              <w:rPr>
                <w:rFonts w:hint="eastAsia"/>
                <w:sz w:val="21"/>
                <w:szCs w:val="21"/>
              </w:rPr>
              <w:t>cm/s，或参照</w:t>
            </w:r>
            <w:r>
              <w:rPr>
                <w:sz w:val="21"/>
                <w:szCs w:val="21"/>
              </w:rPr>
              <w:t xml:space="preserve"> GB18598</w:t>
            </w:r>
            <w:r>
              <w:rPr>
                <w:rFonts w:hint="eastAsia"/>
                <w:sz w:val="21"/>
                <w:szCs w:val="21"/>
              </w:rPr>
              <w:t>执行</w:t>
            </w:r>
          </w:p>
        </w:tc>
        <w:tc>
          <w:tcPr>
            <w:tcW w:w="1329" w:type="dxa"/>
            <w:vAlign w:val="center"/>
          </w:tcPr>
          <w:p>
            <w:pPr>
              <w:pStyle w:val="87"/>
              <w:spacing w:line="240" w:lineRule="auto"/>
              <w:ind w:firstLine="0" w:firstLineChars="0"/>
              <w:jc w:val="center"/>
              <w:rPr>
                <w:sz w:val="21"/>
                <w:szCs w:val="21"/>
              </w:rPr>
            </w:pPr>
            <w:r>
              <w:rPr>
                <w:rFonts w:hint="eastAsia"/>
                <w:sz w:val="21"/>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6" w:type="dxa"/>
            <w:vAlign w:val="center"/>
          </w:tcPr>
          <w:p>
            <w:pPr>
              <w:pStyle w:val="87"/>
              <w:numPr>
                <w:ilvl w:val="0"/>
                <w:numId w:val="15"/>
              </w:numPr>
              <w:spacing w:line="240" w:lineRule="auto"/>
              <w:ind w:firstLineChars="0"/>
              <w:jc w:val="center"/>
              <w:rPr>
                <w:sz w:val="21"/>
                <w:szCs w:val="21"/>
              </w:rPr>
            </w:pPr>
          </w:p>
        </w:tc>
        <w:tc>
          <w:tcPr>
            <w:tcW w:w="1372" w:type="dxa"/>
            <w:vAlign w:val="center"/>
          </w:tcPr>
          <w:p>
            <w:pPr>
              <w:pStyle w:val="87"/>
              <w:spacing w:line="240" w:lineRule="auto"/>
              <w:ind w:firstLine="0" w:firstLineChars="0"/>
              <w:jc w:val="center"/>
              <w:rPr>
                <w:sz w:val="21"/>
                <w:szCs w:val="21"/>
              </w:rPr>
            </w:pPr>
            <w:r>
              <w:rPr>
                <w:sz w:val="21"/>
                <w:szCs w:val="21"/>
              </w:rPr>
              <w:t>废物暂存间</w:t>
            </w:r>
          </w:p>
        </w:tc>
        <w:tc>
          <w:tcPr>
            <w:tcW w:w="1081" w:type="dxa"/>
            <w:vAlign w:val="center"/>
          </w:tcPr>
          <w:p>
            <w:pPr>
              <w:pStyle w:val="87"/>
              <w:spacing w:line="240" w:lineRule="auto"/>
              <w:ind w:firstLine="0" w:firstLineChars="0"/>
              <w:jc w:val="center"/>
              <w:rPr>
                <w:sz w:val="21"/>
                <w:szCs w:val="21"/>
              </w:rPr>
            </w:pPr>
            <w:r>
              <w:rPr>
                <w:rFonts w:hint="eastAsia"/>
                <w:sz w:val="21"/>
                <w:szCs w:val="21"/>
              </w:rPr>
              <w:t>地面</w:t>
            </w:r>
          </w:p>
        </w:tc>
        <w:tc>
          <w:tcPr>
            <w:tcW w:w="4482" w:type="dxa"/>
            <w:vMerge w:val="continue"/>
            <w:vAlign w:val="center"/>
          </w:tcPr>
          <w:p>
            <w:pPr>
              <w:pStyle w:val="87"/>
              <w:spacing w:line="240" w:lineRule="auto"/>
              <w:ind w:firstLine="0" w:firstLineChars="0"/>
              <w:jc w:val="center"/>
              <w:rPr>
                <w:sz w:val="21"/>
                <w:szCs w:val="21"/>
              </w:rPr>
            </w:pPr>
          </w:p>
        </w:tc>
        <w:tc>
          <w:tcPr>
            <w:tcW w:w="1329" w:type="dxa"/>
            <w:vAlign w:val="center"/>
          </w:tcPr>
          <w:p>
            <w:pPr>
              <w:pStyle w:val="92"/>
              <w:adjustRightInd w:val="0"/>
              <w:rPr>
                <w:szCs w:val="21"/>
              </w:rPr>
            </w:pPr>
            <w:r>
              <w:rPr>
                <w:rFonts w:hint="eastAsia"/>
                <w:szCs w:val="21"/>
              </w:rPr>
              <w:t>重点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76" w:type="dxa"/>
            <w:vAlign w:val="center"/>
          </w:tcPr>
          <w:p>
            <w:pPr>
              <w:pStyle w:val="87"/>
              <w:numPr>
                <w:ilvl w:val="0"/>
                <w:numId w:val="15"/>
              </w:numPr>
              <w:spacing w:line="240" w:lineRule="auto"/>
              <w:ind w:firstLineChars="0"/>
              <w:jc w:val="center"/>
              <w:rPr>
                <w:sz w:val="21"/>
                <w:szCs w:val="21"/>
              </w:rPr>
            </w:pPr>
          </w:p>
        </w:tc>
        <w:tc>
          <w:tcPr>
            <w:tcW w:w="1372" w:type="dxa"/>
            <w:vAlign w:val="center"/>
          </w:tcPr>
          <w:p>
            <w:pPr>
              <w:pStyle w:val="87"/>
              <w:spacing w:line="240" w:lineRule="auto"/>
              <w:ind w:firstLine="0" w:firstLineChars="0"/>
              <w:jc w:val="center"/>
              <w:rPr>
                <w:sz w:val="21"/>
                <w:szCs w:val="21"/>
              </w:rPr>
            </w:pPr>
            <w:r>
              <w:rPr>
                <w:rFonts w:hint="eastAsia"/>
                <w:sz w:val="21"/>
                <w:szCs w:val="21"/>
              </w:rPr>
              <w:t>生产</w:t>
            </w:r>
            <w:r>
              <w:rPr>
                <w:sz w:val="21"/>
                <w:szCs w:val="21"/>
              </w:rPr>
              <w:t>车间</w:t>
            </w:r>
          </w:p>
        </w:tc>
        <w:tc>
          <w:tcPr>
            <w:tcW w:w="1081" w:type="dxa"/>
            <w:vAlign w:val="center"/>
          </w:tcPr>
          <w:p>
            <w:pPr>
              <w:pStyle w:val="87"/>
              <w:spacing w:line="240" w:lineRule="auto"/>
              <w:ind w:firstLine="0" w:firstLineChars="0"/>
              <w:jc w:val="center"/>
              <w:rPr>
                <w:sz w:val="21"/>
                <w:szCs w:val="21"/>
              </w:rPr>
            </w:pPr>
            <w:r>
              <w:rPr>
                <w:rFonts w:hint="eastAsia"/>
                <w:sz w:val="21"/>
                <w:szCs w:val="21"/>
              </w:rPr>
              <w:t>地面</w:t>
            </w:r>
          </w:p>
        </w:tc>
        <w:tc>
          <w:tcPr>
            <w:tcW w:w="4482" w:type="dxa"/>
            <w:vAlign w:val="center"/>
          </w:tcPr>
          <w:p>
            <w:pPr>
              <w:autoSpaceDE w:val="0"/>
              <w:autoSpaceDN w:val="0"/>
              <w:spacing w:line="240" w:lineRule="auto"/>
              <w:ind w:firstLine="0" w:firstLineChars="0"/>
              <w:rPr>
                <w:kern w:val="0"/>
                <w:sz w:val="21"/>
                <w:szCs w:val="21"/>
              </w:rPr>
            </w:pPr>
            <w:r>
              <w:rPr>
                <w:kern w:val="0"/>
                <w:sz w:val="21"/>
                <w:szCs w:val="21"/>
              </w:rPr>
              <w:t>等效黏土防渗层</w:t>
            </w:r>
            <w:r>
              <w:rPr>
                <w:rFonts w:eastAsia="TimesNewRomanPSMT"/>
                <w:kern w:val="0"/>
                <w:sz w:val="21"/>
                <w:szCs w:val="21"/>
              </w:rPr>
              <w:t>Mb≥1.5m</w:t>
            </w:r>
            <w:r>
              <w:rPr>
                <w:kern w:val="0"/>
                <w:sz w:val="21"/>
                <w:szCs w:val="21"/>
              </w:rPr>
              <w:t>，</w:t>
            </w:r>
            <w:r>
              <w:rPr>
                <w:rFonts w:eastAsia="TimesNewRomanPSMT"/>
                <w:kern w:val="0"/>
                <w:sz w:val="21"/>
                <w:szCs w:val="21"/>
              </w:rPr>
              <w:t>K≤1×10</w:t>
            </w:r>
            <w:r>
              <w:rPr>
                <w:rFonts w:eastAsia="TimesNewRomanPSMT"/>
                <w:kern w:val="0"/>
                <w:sz w:val="21"/>
                <w:szCs w:val="21"/>
                <w:vertAlign w:val="superscript"/>
              </w:rPr>
              <w:t>-7</w:t>
            </w:r>
            <w:r>
              <w:rPr>
                <w:rFonts w:eastAsia="TimesNewRomanPSMT"/>
                <w:kern w:val="0"/>
                <w:sz w:val="21"/>
                <w:szCs w:val="21"/>
              </w:rPr>
              <w:t>cm/s</w:t>
            </w:r>
            <w:r>
              <w:rPr>
                <w:kern w:val="0"/>
                <w:sz w:val="21"/>
                <w:szCs w:val="21"/>
              </w:rPr>
              <w:t>，或参照《生活垃圾填埋场污染控制标准》</w:t>
            </w:r>
            <w:r>
              <w:rPr>
                <w:rFonts w:eastAsia="TimesNewRomanPSMT"/>
                <w:kern w:val="0"/>
                <w:sz w:val="21"/>
                <w:szCs w:val="21"/>
              </w:rPr>
              <w:t>(GB16889-2008)</w:t>
            </w:r>
          </w:p>
        </w:tc>
        <w:tc>
          <w:tcPr>
            <w:tcW w:w="1329" w:type="dxa"/>
            <w:vAlign w:val="center"/>
          </w:tcPr>
          <w:p>
            <w:pPr>
              <w:pStyle w:val="87"/>
              <w:spacing w:line="240" w:lineRule="auto"/>
              <w:ind w:firstLine="0" w:firstLineChars="0"/>
              <w:jc w:val="center"/>
              <w:rPr>
                <w:rFonts w:cs="Times New Roman"/>
                <w:sz w:val="21"/>
                <w:szCs w:val="21"/>
              </w:rPr>
            </w:pPr>
            <w:r>
              <w:rPr>
                <w:rFonts w:cs="Times New Roman"/>
                <w:sz w:val="21"/>
                <w:szCs w:val="21"/>
              </w:rPr>
              <w:t>一般</w:t>
            </w:r>
          </w:p>
        </w:tc>
      </w:tr>
    </w:tbl>
    <w:p>
      <w:pPr>
        <w:pStyle w:val="87"/>
        <w:ind w:firstLine="480"/>
      </w:pPr>
      <w:r>
        <w:rPr>
          <w:rFonts w:hint="eastAsia"/>
        </w:rPr>
        <w:t>因此，在建设单位严格按照本次评价提出的防渗措施对各单元进行治理后，各功能区及各单元的渗透系数均较低，本项目废水、固废向地下水发生渗透的概率较小，因此场区内对地下水的环境影响比较小，措施可行。</w:t>
      </w:r>
    </w:p>
    <w:p>
      <w:pPr>
        <w:pStyle w:val="5"/>
      </w:pPr>
      <w:r>
        <w:rPr>
          <w:rFonts w:hint="eastAsia"/>
        </w:rPr>
        <w:t>地下水</w:t>
      </w:r>
      <w:r>
        <w:t>污染监控</w:t>
      </w:r>
    </w:p>
    <w:p>
      <w:pPr>
        <w:ind w:firstLine="480"/>
        <w:rPr>
          <w:szCs w:val="24"/>
        </w:rPr>
      </w:pPr>
      <w:r>
        <w:rPr>
          <w:rFonts w:hint="eastAsia"/>
          <w:szCs w:val="24"/>
        </w:rPr>
        <w:t>（1）建立地下水环境监测管理体系，包括制定地下水环境影响跟踪监测计划、建立地下水环境影响跟踪监测制度，以便及时发现问题，采取措施。</w:t>
      </w:r>
    </w:p>
    <w:p>
      <w:pPr>
        <w:ind w:firstLine="480"/>
        <w:rPr>
          <w:szCs w:val="24"/>
        </w:rPr>
      </w:pPr>
      <w:r>
        <w:rPr>
          <w:rFonts w:hint="eastAsia"/>
          <w:szCs w:val="24"/>
        </w:rPr>
        <w:t>（2）跟踪监测计划应根据环境水文地质条件和建设项目特点设置跟踪监测点，跟踪监测点应明确与建设项目的位置关系，给出点位、坐标、井深、井结构、监测层位、监测因子及监测频率等相关参数。根据</w:t>
      </w:r>
      <w:r>
        <w:rPr>
          <w:szCs w:val="24"/>
        </w:rPr>
        <w:t>地下水导则，</w:t>
      </w:r>
      <w:r>
        <w:rPr>
          <w:rFonts w:hint="eastAsia"/>
          <w:szCs w:val="24"/>
        </w:rPr>
        <w:t>二级</w:t>
      </w:r>
      <w:r>
        <w:rPr>
          <w:szCs w:val="24"/>
        </w:rPr>
        <w:t>评价的建设项目</w:t>
      </w:r>
      <w:r>
        <w:rPr>
          <w:rFonts w:hint="eastAsia"/>
          <w:szCs w:val="24"/>
        </w:rPr>
        <w:t>，一般不少于3 个，应至少在建设项目场地，上、下游各布设1 个。根据项目位置周围环境，环评建议在建设项目上游</w:t>
      </w:r>
      <w:r>
        <w:rPr>
          <w:szCs w:val="24"/>
        </w:rPr>
        <w:t>江家店村</w:t>
      </w:r>
      <w:r>
        <w:rPr>
          <w:rFonts w:hint="eastAsia"/>
          <w:szCs w:val="24"/>
        </w:rPr>
        <w:t>、</w:t>
      </w:r>
      <w:r>
        <w:rPr>
          <w:szCs w:val="24"/>
        </w:rPr>
        <w:t>项目</w:t>
      </w:r>
      <w:r>
        <w:rPr>
          <w:rFonts w:hint="eastAsia"/>
          <w:szCs w:val="24"/>
        </w:rPr>
        <w:t>场址和下游陈家坪村各设置一个地下水监测点位，便于及时掌握周围地下水动态变化。</w:t>
      </w:r>
    </w:p>
    <w:p>
      <w:pPr>
        <w:ind w:firstLine="480"/>
        <w:rPr>
          <w:szCs w:val="24"/>
        </w:rPr>
      </w:pPr>
      <w:r>
        <w:rPr>
          <w:rFonts w:hint="eastAsia"/>
          <w:szCs w:val="24"/>
        </w:rPr>
        <w:t>（3）制定地下水环境跟踪与信息公开计划，落实跟踪监测报告编制的责任主体，明确地下水环境跟踪监测报告的内容，主要包括地下水环境跟踪监测数据，排放污染物的种类、数量、浓度。生产设备、管廊和管线、贮存与运输装置、污染贮存与处理装置、事故应急装置等设施的运行状况、跑冒滴漏记录、维护记录。信息公开计划至少应包括建设项目特征因子的地下水环境监测值。</w:t>
      </w:r>
    </w:p>
    <w:p>
      <w:pPr>
        <w:pStyle w:val="5"/>
      </w:pPr>
      <w:r>
        <w:rPr>
          <w:rFonts w:hint="eastAsia"/>
        </w:rPr>
        <w:t>风险</w:t>
      </w:r>
      <w:r>
        <w:t>事故</w:t>
      </w:r>
      <w:r>
        <w:rPr>
          <w:rFonts w:hint="eastAsia"/>
        </w:rPr>
        <w:t>应急</w:t>
      </w:r>
      <w:r>
        <w:t>响应</w:t>
      </w:r>
    </w:p>
    <w:p>
      <w:pPr>
        <w:pStyle w:val="87"/>
        <w:ind w:firstLine="480"/>
      </w:pPr>
      <w:r>
        <w:rPr>
          <w:rFonts w:hint="eastAsia"/>
        </w:rPr>
        <w:t>为了应对非正常情况下可能会发生污染地下水的事故，应该制定地下水风险事故应急响应预案，明确风险事故状态下应采取的封闭、截流等措施，以防止受污染的地下水扩散，并对受污染的地下水进行治理。</w:t>
      </w:r>
    </w:p>
    <w:p>
      <w:pPr>
        <w:pStyle w:val="87"/>
        <w:ind w:firstLine="480"/>
      </w:pPr>
      <w:r>
        <w:rPr>
          <w:rFonts w:hint="eastAsia"/>
        </w:rPr>
        <w:t>评价认为，经采取以上防治措施可防止污染地下水环境，措施可行。</w:t>
      </w:r>
    </w:p>
    <w:p>
      <w:pPr>
        <w:pStyle w:val="4"/>
      </w:pPr>
      <w:r>
        <w:t>噪声防治措施</w:t>
      </w:r>
      <w:bookmarkEnd w:id="204"/>
      <w:bookmarkEnd w:id="205"/>
      <w:bookmarkEnd w:id="206"/>
    </w:p>
    <w:p>
      <w:pPr>
        <w:ind w:firstLine="480"/>
      </w:pPr>
      <w:r>
        <w:rPr>
          <w:rFonts w:hint="eastAsia"/>
        </w:rPr>
        <w:t>项目</w:t>
      </w:r>
      <w:r>
        <w:t>噪声主要来源于</w:t>
      </w:r>
      <w:r>
        <w:rPr>
          <w:rFonts w:hint="eastAsia"/>
        </w:rPr>
        <w:t>粉碎机、引风机、循环泵、出料泵、真空泵、冷却塔、空压机等机械设备。</w:t>
      </w:r>
    </w:p>
    <w:p>
      <w:pPr>
        <w:ind w:firstLine="480"/>
        <w:rPr>
          <w:rFonts w:asciiTheme="minorEastAsia" w:hAnsiTheme="minorEastAsia" w:eastAsiaTheme="minorEastAsia"/>
          <w:b/>
          <w:szCs w:val="24"/>
        </w:rPr>
      </w:pPr>
      <w:r>
        <w:rPr>
          <w:rStyle w:val="81"/>
          <w:rFonts w:asciiTheme="minorEastAsia" w:hAnsiTheme="minorEastAsia" w:eastAsiaTheme="minorEastAsia"/>
          <w:b w:val="0"/>
          <w:bCs/>
          <w:sz w:val="24"/>
        </w:rPr>
        <w:t>噪声防治对策首先从声源上进行控制，其次采取有效的隔声、消声和吸声等控制措施，并从场区平面布置上综合考虑设备噪声对场区及周边环境的影响。</w:t>
      </w:r>
      <w:r>
        <w:rPr>
          <w:rFonts w:asciiTheme="minorEastAsia" w:hAnsiTheme="minorEastAsia" w:eastAsiaTheme="minorEastAsia"/>
          <w:b/>
          <w:szCs w:val="24"/>
        </w:rPr>
        <w:t xml:space="preserve"> </w:t>
      </w:r>
    </w:p>
    <w:p>
      <w:pPr>
        <w:ind w:firstLine="480"/>
      </w:pPr>
      <w:r>
        <w:rPr>
          <w:rFonts w:hint="eastAsia"/>
        </w:rPr>
        <w:t>项目在运行过程中对各类噪声采取如下防治措施：</w:t>
      </w:r>
    </w:p>
    <w:p>
      <w:pPr>
        <w:ind w:firstLine="480"/>
      </w:pPr>
      <w:r>
        <w:rPr>
          <w:rFonts w:hint="eastAsia"/>
        </w:rPr>
        <w:t>（1）设备选型：从设备选型入手，设备定货时向设备制造厂提出噪声限值，选择低噪、低转速风机，风机的产噪级别在85dB(A)以下。</w:t>
      </w:r>
    </w:p>
    <w:p>
      <w:pPr>
        <w:ind w:firstLine="480"/>
      </w:pPr>
      <w:r>
        <w:rPr>
          <w:rFonts w:hint="eastAsia"/>
        </w:rPr>
        <w:t>（2）隔声、消声：各类通风机、泵类设备等产噪设备均设置于室内，可降低噪声的影响；在气动性噪声设备上安装相应的消声装置，如引风机应安装消声器。</w:t>
      </w:r>
    </w:p>
    <w:p>
      <w:pPr>
        <w:ind w:firstLine="480"/>
      </w:pPr>
      <w:r>
        <w:rPr>
          <w:rFonts w:hint="eastAsia"/>
        </w:rPr>
        <w:t>（3）减振与隔振：机械设备产生的噪声不仅能以空气为媒介向外传播，还有直接激发固体构件振动以弹性波的形式在基础、地板、墙壁、管道中传播，并在传播过程中向外辐射噪声，为了防止振动产生的噪声污染，各类设备采取基础减振措施。</w:t>
      </w:r>
    </w:p>
    <w:p>
      <w:pPr>
        <w:ind w:firstLine="480"/>
      </w:pPr>
      <w:r>
        <w:rPr>
          <w:rFonts w:hint="eastAsia"/>
        </w:rPr>
        <w:t>（</w:t>
      </w:r>
      <w:r>
        <w:t>4</w:t>
      </w:r>
      <w:r>
        <w:rPr>
          <w:rFonts w:hint="eastAsia"/>
        </w:rPr>
        <w:t>）</w:t>
      </w:r>
      <w:r>
        <w:t>对设备进行定期检修，加强润滑作用，保持设备良好的运转状态，尽量降低噪声</w:t>
      </w:r>
      <w:r>
        <w:rPr>
          <w:rFonts w:hint="eastAsia"/>
        </w:rPr>
        <w:t>.</w:t>
      </w:r>
    </w:p>
    <w:p>
      <w:pPr>
        <w:ind w:firstLine="480"/>
      </w:pPr>
      <w:r>
        <w:rPr>
          <w:rFonts w:hint="eastAsia"/>
        </w:rPr>
        <w:t>在采取了噪声治理措施后，本项目运行时各厂界噪声符合《工业企业厂界环境噪声排放标准》（GB12348-2008）</w:t>
      </w:r>
      <w:r>
        <w:t>3</w:t>
      </w:r>
      <w:r>
        <w:rPr>
          <w:rFonts w:hint="eastAsia"/>
        </w:rPr>
        <w:t>类区标准要求，</w:t>
      </w:r>
      <w:r>
        <w:t>声环境质量也可满足GB 3096-2008《声环境质量标准》3类区昼夜间标准要求，敏感点处声环境质量满足《声环境质量标准》（GB3096-2008）2类标准</w:t>
      </w:r>
      <w:r>
        <w:rPr>
          <w:rFonts w:hint="eastAsia"/>
        </w:rPr>
        <w:t>，</w:t>
      </w:r>
      <w:r>
        <w:t>环境影响可接受，措施可行。</w:t>
      </w:r>
    </w:p>
    <w:p>
      <w:pPr>
        <w:pStyle w:val="4"/>
      </w:pPr>
      <w:bookmarkStart w:id="208" w:name="_Toc22916"/>
      <w:bookmarkStart w:id="209" w:name="_Toc13733"/>
      <w:bookmarkStart w:id="210" w:name="_Toc18564"/>
      <w:r>
        <w:t>固体废物防治措施</w:t>
      </w:r>
      <w:bookmarkEnd w:id="208"/>
      <w:bookmarkEnd w:id="209"/>
      <w:bookmarkEnd w:id="210"/>
    </w:p>
    <w:p>
      <w:pPr>
        <w:ind w:firstLine="480"/>
      </w:pPr>
      <w:r>
        <w:rPr>
          <w:rFonts w:hint="eastAsia"/>
        </w:rPr>
        <w:t>本项目固体废物主要是废渣、设备维修和保养过程中产生的废含油抹布、员工产生的员工生活垃圾等。</w:t>
      </w:r>
    </w:p>
    <w:p>
      <w:pPr>
        <w:ind w:firstLine="480"/>
      </w:pPr>
      <w:r>
        <w:t>生活垃圾的产生量为2.7t/a，收集后</w:t>
      </w:r>
      <w:r>
        <w:rPr>
          <w:rFonts w:hint="eastAsia"/>
        </w:rPr>
        <w:t>由</w:t>
      </w:r>
      <w:r>
        <w:t>环卫部门统一处理。</w:t>
      </w:r>
      <w:r>
        <w:rPr>
          <w:rFonts w:hint="eastAsia"/>
        </w:rPr>
        <w:t>废渣年产生量为178.39t/a，主要成分为蛋白质和纤维素，为一般固体废物，外售综合利用。废</w:t>
      </w:r>
      <w:r>
        <w:t>含油抹布产生量约为</w:t>
      </w:r>
      <w:r>
        <w:rPr>
          <w:rFonts w:hint="eastAsia"/>
        </w:rPr>
        <w:t>0.1</w:t>
      </w:r>
      <w:r>
        <w:t>t/a，</w:t>
      </w:r>
      <w:r>
        <w:rPr>
          <w:rFonts w:hint="eastAsia"/>
        </w:rPr>
        <w:t>废活性炭</w:t>
      </w:r>
      <w:r>
        <w:t>产生量为</w:t>
      </w:r>
      <w:r>
        <w:rPr>
          <w:rFonts w:hint="eastAsia"/>
        </w:rPr>
        <w:t>1.92</w:t>
      </w:r>
      <w:r>
        <w:t>t/a，</w:t>
      </w:r>
      <w:r>
        <w:rPr>
          <w:rFonts w:hint="eastAsia"/>
        </w:rPr>
        <w:t>集中收集后在危险废物暂存间暂存，交有资质单位处置。</w:t>
      </w:r>
    </w:p>
    <w:p>
      <w:pPr>
        <w:ind w:firstLine="480"/>
      </w:pPr>
      <w:r>
        <w:rPr>
          <w:rFonts w:hint="eastAsia"/>
        </w:rPr>
        <w:t>本次环评</w:t>
      </w:r>
      <w:r>
        <w:t>要求危险废物暂存间</w:t>
      </w:r>
      <w:r>
        <w:rPr>
          <w:rFonts w:hint="eastAsia"/>
        </w:rPr>
        <w:t>按</w:t>
      </w:r>
      <w:r>
        <w:t>以下要求进行建设：</w:t>
      </w:r>
    </w:p>
    <w:p>
      <w:pPr>
        <w:ind w:firstLine="480"/>
      </w:pPr>
      <w:r>
        <w:rPr>
          <w:rFonts w:hint="eastAsia"/>
        </w:rPr>
        <w:t>①危险废物贮存间按《环境保护图形标志（GB15562-1995）》的规定设置警示标志，危废间设有顶蓬，四周设围墙等措施，具有防风、防雨、防晒等防止污染环境能力。危险废物转移严格按照《危险废物转移联单管理办法》的相关要求建立危险废物转移联单制度，保证危废得到安全合理处置。</w:t>
      </w:r>
    </w:p>
    <w:p>
      <w:pPr>
        <w:ind w:firstLine="480"/>
      </w:pPr>
      <w:r>
        <w:rPr>
          <w:rFonts w:hint="eastAsia"/>
        </w:rPr>
        <w:t>②</w:t>
      </w:r>
      <w:r>
        <w:t>危险废物要装入容器内，并禁止将不相容(相互反应)的危险废物在同一容器内混装</w:t>
      </w:r>
      <w:r>
        <w:rPr>
          <w:rFonts w:hint="eastAsia"/>
        </w:rPr>
        <w:t>，</w:t>
      </w:r>
      <w:r>
        <w:t>不相容的危险废物必须分开存放并设有隔离间隔离。</w:t>
      </w:r>
    </w:p>
    <w:p>
      <w:pPr>
        <w:ind w:firstLine="480"/>
      </w:pPr>
      <w:r>
        <w:rPr>
          <w:rFonts w:hint="eastAsia"/>
        </w:rPr>
        <w:t>③</w:t>
      </w:r>
      <w:r>
        <w:t>存放间地面与群脚要用兼顾、防渗的材料建筑，并在容器的显眼处粘贴上符合GB18597-2001标准的标签，定期由危险废物处置单位清运处置。</w:t>
      </w:r>
    </w:p>
    <w:p>
      <w:pPr>
        <w:ind w:firstLine="480"/>
      </w:pPr>
      <w:r>
        <w:rPr>
          <w:rFonts w:hint="eastAsia"/>
        </w:rPr>
        <w:t>④</w:t>
      </w:r>
      <w:r>
        <w:t>对于贮存危废的容器，必须定期对其进行检查，若发现破损，应及时采取措施清理和更换。</w:t>
      </w:r>
    </w:p>
    <w:p>
      <w:pPr>
        <w:ind w:firstLine="480"/>
      </w:pPr>
      <w:r>
        <w:rPr>
          <w:rFonts w:hint="eastAsia"/>
        </w:rPr>
        <w:t>⑤</w:t>
      </w:r>
      <w:r>
        <w:t>厂区根据地下水污染程度划分防渗分区，对厂内</w:t>
      </w:r>
      <w:r>
        <w:rPr>
          <w:rFonts w:hint="eastAsia"/>
        </w:rPr>
        <w:t>喷漆</w:t>
      </w:r>
      <w:r>
        <w:t>房</w:t>
      </w:r>
      <w:r>
        <w:rPr>
          <w:rFonts w:hint="eastAsia"/>
        </w:rPr>
        <w:t>、化学品</w:t>
      </w:r>
      <w:r>
        <w:t>仓库、危险废物暂存间列为</w:t>
      </w:r>
      <w:r>
        <w:rPr>
          <w:rFonts w:hint="eastAsia"/>
        </w:rPr>
        <w:t>重点</w:t>
      </w:r>
      <w:r>
        <w:t>防渗区，地面做防渗处理。</w:t>
      </w:r>
      <w:r>
        <w:rPr>
          <w:rFonts w:hint="eastAsia"/>
        </w:rPr>
        <w:t>危险</w:t>
      </w:r>
      <w:r>
        <w:t>废物暂存间</w:t>
      </w:r>
      <w:r>
        <w:rPr>
          <w:rFonts w:hint="eastAsia"/>
        </w:rPr>
        <w:t>重点</w:t>
      </w:r>
      <w:r>
        <w:t>防渗区首先设有切断泄漏物料流入非污染区的途径，污染防治区的地面</w:t>
      </w:r>
      <w:r>
        <w:rPr>
          <w:rFonts w:hint="eastAsia"/>
        </w:rPr>
        <w:t>防渗层</w:t>
      </w:r>
      <w:r>
        <w:t>为至少</w:t>
      </w:r>
      <w:r>
        <w:rPr>
          <w:rFonts w:hint="eastAsia"/>
        </w:rPr>
        <w:t>1</w:t>
      </w:r>
      <w:r>
        <w:t>m厚黏土层（</w:t>
      </w:r>
      <w:r>
        <w:rPr>
          <w:rFonts w:hint="eastAsia"/>
        </w:rPr>
        <w:t>渗透</w:t>
      </w:r>
      <w:r>
        <w:t>系数≤10</w:t>
      </w:r>
      <w:r>
        <w:rPr>
          <w:vertAlign w:val="superscript"/>
        </w:rPr>
        <w:t>-7</w:t>
      </w:r>
      <w:r>
        <w:t>cm/s</w:t>
      </w:r>
      <w:r>
        <w:rPr>
          <w:rFonts w:hint="eastAsia"/>
        </w:rPr>
        <w:t>），</w:t>
      </w:r>
      <w:r>
        <w:t>或</w:t>
      </w:r>
      <w:r>
        <w:rPr>
          <w:rFonts w:hint="eastAsia"/>
        </w:rPr>
        <w:t>2</w:t>
      </w:r>
      <w:r>
        <w:t>mm厚高密度聚乙烯，或至少</w:t>
      </w:r>
      <w:r>
        <w:rPr>
          <w:rFonts w:hint="eastAsia"/>
        </w:rPr>
        <w:t>2</w:t>
      </w:r>
      <w:r>
        <w:t>mm厚的其它人工材料，渗透系数≤10</w:t>
      </w:r>
      <w:r>
        <w:rPr>
          <w:vertAlign w:val="superscript"/>
        </w:rPr>
        <w:t>-10</w:t>
      </w:r>
      <w:r>
        <w:t>cm/s</w:t>
      </w:r>
      <w:r>
        <w:rPr>
          <w:rFonts w:hint="eastAsia"/>
        </w:rPr>
        <w:t>；</w:t>
      </w:r>
      <w:r>
        <w:t>具体参照《</w:t>
      </w:r>
      <w:r>
        <w:rPr>
          <w:rFonts w:hint="eastAsia"/>
        </w:rPr>
        <w:t>危险</w:t>
      </w:r>
      <w:r>
        <w:t>废物贮存污染控制标准》</w:t>
      </w:r>
      <w:r>
        <w:rPr>
          <w:rFonts w:hint="eastAsia"/>
        </w:rPr>
        <w:t>（GB18597-2001</w:t>
      </w:r>
      <w:r>
        <w:t>）</w:t>
      </w:r>
      <w:r>
        <w:rPr>
          <w:rFonts w:hint="eastAsia"/>
        </w:rPr>
        <w:t>。</w:t>
      </w:r>
    </w:p>
    <w:p>
      <w:pPr>
        <w:ind w:firstLine="480"/>
      </w:pPr>
      <w:r>
        <w:t>综上所述，各种固废均得到合理处置，各种固废均采用专门容器存放，存放地点均进行防渗、硬化。经采取以上措施，本项目</w:t>
      </w:r>
      <w:r>
        <w:rPr>
          <w:rFonts w:hint="eastAsia"/>
        </w:rPr>
        <w:t>固废</w:t>
      </w:r>
      <w:r>
        <w:t>对周围环境影响较小。</w:t>
      </w:r>
    </w:p>
    <w:p>
      <w:pPr>
        <w:pStyle w:val="4"/>
      </w:pPr>
      <w:r>
        <w:rPr>
          <w:rFonts w:hint="eastAsia"/>
        </w:rPr>
        <w:t>土壤</w:t>
      </w:r>
      <w:r>
        <w:t>污染防治措施</w:t>
      </w:r>
    </w:p>
    <w:p>
      <w:pPr>
        <w:ind w:firstLine="480"/>
      </w:pPr>
      <w:r>
        <w:rPr>
          <w:rFonts w:hint="eastAsia"/>
        </w:rPr>
        <w:t>（1）源头控制措施</w:t>
      </w:r>
    </w:p>
    <w:p>
      <w:pPr>
        <w:ind w:firstLine="480"/>
      </w:pPr>
      <w:r>
        <w:rPr>
          <w:rFonts w:hint="eastAsia"/>
        </w:rPr>
        <w:t>主要包括工艺、管道、设备、存贮甲醇、</w:t>
      </w:r>
      <w:r>
        <w:t>石油醚</w:t>
      </w:r>
      <w:r>
        <w:rPr>
          <w:rFonts w:hint="eastAsia"/>
        </w:rPr>
        <w:t>的储罐区等应采取严密的污染防治措施，将污染物跑、冒、滴、漏降到最低限度。</w:t>
      </w:r>
    </w:p>
    <w:p>
      <w:pPr>
        <w:ind w:firstLine="480"/>
      </w:pPr>
      <w:r>
        <w:rPr>
          <w:rFonts w:hint="eastAsia"/>
        </w:rPr>
        <w:t>（2）过程防控措施</w:t>
      </w:r>
    </w:p>
    <w:p>
      <w:pPr>
        <w:ind w:firstLine="480"/>
      </w:pPr>
      <w:r>
        <w:rPr>
          <w:rFonts w:hint="eastAsia"/>
        </w:rPr>
        <w:t>一般情况下，应以水平防渗为主，防控措施参照地下水污染防渗措施执行。</w:t>
      </w:r>
    </w:p>
    <w:p>
      <w:pPr>
        <w:ind w:firstLine="480"/>
      </w:pPr>
      <w:r>
        <w:t>厂区全部地面均应硬化，罐区、生产装置区应设置围堰或围墙、以及初期雨水、事故水收集导排设施。结合各生产设备、管廊或管线、贮存与运输装置、污染物贮存与处理装置、事故应急装置等的布局，根据可能进入土壤环境的各种有毒有害原辅材料、中间物料和产品的泄漏（跑、冒、滴、漏）量及其他各类污染物的性质、产生量和排放量，划分污染防治区，提出不同区域的地面防渗方案，给出具体的防渗材料及防渗标准要求，建立防渗设施的检漏系统。</w:t>
      </w:r>
    </w:p>
    <w:p>
      <w:pPr>
        <w:ind w:firstLine="480"/>
      </w:pPr>
      <w:r>
        <w:t xml:space="preserve">工程建设时尽可能根据项目所在地地形特点及周边敏感目标的分布情况优化地面布局，对厂区内可能产生土壤污染的构筑物采取人工防渗、地面硬化、围堰等措施。在保证安全生产的前提下，占地范围内按规定进行绿化，以种植具有较强吸附能力的植物为主。绿化带应高于普通路面，以防止废水从绿化带下渗造成土壤环境污染。 </w:t>
      </w:r>
    </w:p>
    <w:p>
      <w:pPr>
        <w:ind w:firstLine="480"/>
      </w:pPr>
      <w:r>
        <w:rPr>
          <w:rFonts w:hint="eastAsia"/>
        </w:rPr>
        <w:t>（3）土壤环境跟踪监测</w:t>
      </w:r>
    </w:p>
    <w:p>
      <w:pPr>
        <w:ind w:firstLine="480"/>
      </w:pPr>
      <w:r>
        <w:rPr>
          <w:rFonts w:hint="eastAsia"/>
        </w:rPr>
        <w:t>本项目土壤评价等级为一级，应制定和落实土壤环境跟踪监测，</w:t>
      </w:r>
      <w:r>
        <w:t>将土壤跟踪监测纳入全厂环境管理中，自行或者委托第三方定期开展土壤监测，</w:t>
      </w:r>
      <w:r>
        <w:rPr>
          <w:rFonts w:hint="eastAsia"/>
        </w:rPr>
        <w:t>以便及时发现问题，采取措施。</w:t>
      </w:r>
    </w:p>
    <w:p>
      <w:pPr>
        <w:ind w:firstLine="480"/>
      </w:pPr>
      <w:r>
        <w:t>制定土壤污染隐患排查治理制度，定期对各类生产装置、储罐等设施开展隐患排查，发现污染隐患的，应当制定整改方案，及时采取技术、管理措施消除隐患，并如实记录归档。</w:t>
      </w:r>
    </w:p>
    <w:p>
      <w:pPr>
        <w:ind w:firstLine="480"/>
      </w:pPr>
      <w:r>
        <w:rPr>
          <w:rFonts w:hint="eastAsia"/>
        </w:rPr>
        <w:t>在采取以上措施后，可有效防止和避免项目对土壤污染的发生。</w:t>
      </w:r>
    </w:p>
    <w:p>
      <w:pPr>
        <w:pStyle w:val="4"/>
      </w:pPr>
      <w:r>
        <w:rPr>
          <w:rFonts w:hint="eastAsia"/>
        </w:rPr>
        <w:t xml:space="preserve"> 环境</w:t>
      </w:r>
      <w:r>
        <w:t>保护投入分析</w:t>
      </w:r>
    </w:p>
    <w:p>
      <w:pPr>
        <w:pStyle w:val="87"/>
        <w:ind w:firstLine="480"/>
      </w:pPr>
      <w:r>
        <w:rPr>
          <w:rFonts w:cs="Times New Roman"/>
        </w:rPr>
        <w:t>本项目环保投资总额（建设费用）共114万元，约占总投资10000万元的1.14%，</w:t>
      </w:r>
      <w:r>
        <w:t>责任主体为建设单位，实施时段贯穿整个运营期。环保设施运行费、维护费、监测费分别为9万元/a、10.5万元/a、6.5万元/a。项目环保投资明细见</w:t>
      </w:r>
      <w:r>
        <w:rPr>
          <w:rFonts w:hint="eastAsia"/>
        </w:rPr>
        <w:t>表7.2-3</w:t>
      </w:r>
      <w:r>
        <w:t>。</w:t>
      </w:r>
    </w:p>
    <w:p>
      <w:pPr>
        <w:pStyle w:val="93"/>
        <w:ind w:firstLine="480"/>
        <w:rPr>
          <w:rFonts w:hAnsi="Times New Roman"/>
        </w:rPr>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7.2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r>
        <w:rPr>
          <w:rFonts w:hAnsi="Times New Roman"/>
        </w:rPr>
        <w:t xml:space="preserve">  项目环保投入估算表</w:t>
      </w:r>
    </w:p>
    <w:tbl>
      <w:tblPr>
        <w:tblStyle w:val="35"/>
        <w:tblW w:w="904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210"/>
        <w:gridCol w:w="2698"/>
        <w:gridCol w:w="711"/>
        <w:gridCol w:w="797"/>
        <w:gridCol w:w="801"/>
        <w:gridCol w:w="797"/>
        <w:gridCol w:w="801"/>
        <w:gridCol w:w="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636" w:type="dxa"/>
            <w:gridSpan w:val="2"/>
            <w:vAlign w:val="center"/>
          </w:tcPr>
          <w:p>
            <w:pPr>
              <w:pStyle w:val="92"/>
            </w:pPr>
            <w:r>
              <w:t>污染源</w:t>
            </w:r>
          </w:p>
        </w:tc>
        <w:tc>
          <w:tcPr>
            <w:tcW w:w="2698" w:type="dxa"/>
            <w:vAlign w:val="center"/>
          </w:tcPr>
          <w:p>
            <w:pPr>
              <w:pStyle w:val="92"/>
            </w:pPr>
            <w:r>
              <w:t>环保设施名称</w:t>
            </w:r>
          </w:p>
        </w:tc>
        <w:tc>
          <w:tcPr>
            <w:tcW w:w="711" w:type="dxa"/>
            <w:vAlign w:val="center"/>
          </w:tcPr>
          <w:p>
            <w:pPr>
              <w:pStyle w:val="92"/>
            </w:pPr>
            <w:r>
              <w:t>数量</w:t>
            </w:r>
          </w:p>
        </w:tc>
        <w:tc>
          <w:tcPr>
            <w:tcW w:w="797" w:type="dxa"/>
            <w:vAlign w:val="center"/>
          </w:tcPr>
          <w:p>
            <w:pPr>
              <w:pStyle w:val="92"/>
            </w:pPr>
            <w:r>
              <w:t>建设费</w:t>
            </w:r>
          </w:p>
          <w:p>
            <w:pPr>
              <w:pStyle w:val="92"/>
            </w:pPr>
            <w:r>
              <w:t>（万元）</w:t>
            </w:r>
          </w:p>
        </w:tc>
        <w:tc>
          <w:tcPr>
            <w:tcW w:w="801" w:type="dxa"/>
            <w:vAlign w:val="center"/>
          </w:tcPr>
          <w:p>
            <w:pPr>
              <w:pStyle w:val="92"/>
            </w:pPr>
            <w:r>
              <w:t>运行费</w:t>
            </w:r>
          </w:p>
          <w:p>
            <w:pPr>
              <w:pStyle w:val="92"/>
            </w:pPr>
            <w:r>
              <w:t>（万元/a）</w:t>
            </w:r>
          </w:p>
        </w:tc>
        <w:tc>
          <w:tcPr>
            <w:tcW w:w="797" w:type="dxa"/>
            <w:vAlign w:val="center"/>
          </w:tcPr>
          <w:p>
            <w:pPr>
              <w:pStyle w:val="92"/>
            </w:pPr>
            <w:r>
              <w:t>维护费</w:t>
            </w:r>
          </w:p>
          <w:p>
            <w:pPr>
              <w:pStyle w:val="92"/>
            </w:pPr>
            <w:r>
              <w:t>（万元/a）</w:t>
            </w:r>
          </w:p>
        </w:tc>
        <w:tc>
          <w:tcPr>
            <w:tcW w:w="801" w:type="dxa"/>
            <w:vAlign w:val="center"/>
          </w:tcPr>
          <w:p>
            <w:pPr>
              <w:pStyle w:val="92"/>
            </w:pPr>
            <w:r>
              <w:t>监测费</w:t>
            </w:r>
          </w:p>
          <w:p>
            <w:pPr>
              <w:pStyle w:val="92"/>
            </w:pPr>
            <w:r>
              <w:t>（万元/a）</w:t>
            </w:r>
          </w:p>
        </w:tc>
        <w:tc>
          <w:tcPr>
            <w:tcW w:w="799" w:type="dxa"/>
            <w:vAlign w:val="center"/>
          </w:tcPr>
          <w:p>
            <w:pPr>
              <w:pStyle w:val="92"/>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426" w:type="dxa"/>
            <w:vMerge w:val="restart"/>
            <w:vAlign w:val="center"/>
          </w:tcPr>
          <w:p>
            <w:pPr>
              <w:pStyle w:val="92"/>
            </w:pPr>
            <w:r>
              <w:t>废气</w:t>
            </w:r>
          </w:p>
        </w:tc>
        <w:tc>
          <w:tcPr>
            <w:tcW w:w="1210" w:type="dxa"/>
            <w:vAlign w:val="center"/>
          </w:tcPr>
          <w:p>
            <w:pPr>
              <w:pStyle w:val="92"/>
            </w:pPr>
            <w:r>
              <w:rPr>
                <w:rFonts w:hint="eastAsia"/>
              </w:rPr>
              <w:t>初清</w:t>
            </w:r>
            <w:r>
              <w:t>粉尘</w:t>
            </w:r>
          </w:p>
        </w:tc>
        <w:tc>
          <w:tcPr>
            <w:tcW w:w="2698" w:type="dxa"/>
            <w:vAlign w:val="center"/>
          </w:tcPr>
          <w:p>
            <w:pPr>
              <w:pStyle w:val="92"/>
            </w:pPr>
            <w:r>
              <w:rPr>
                <w:rFonts w:hint="eastAsia"/>
              </w:rPr>
              <w:t>旋风</w:t>
            </w:r>
            <w:r>
              <w:t>收尘</w:t>
            </w:r>
            <w:r>
              <w:rPr>
                <w:rFonts w:hint="eastAsia"/>
              </w:rPr>
              <w:t>+布袋</w:t>
            </w:r>
            <w:r>
              <w:t>除尘</w:t>
            </w:r>
            <w:r>
              <w:rPr>
                <w:rFonts w:hint="eastAsia"/>
              </w:rPr>
              <w:t>+15</w:t>
            </w:r>
            <w:r>
              <w:t>m排气筒</w:t>
            </w:r>
          </w:p>
        </w:tc>
        <w:tc>
          <w:tcPr>
            <w:tcW w:w="711" w:type="dxa"/>
            <w:vAlign w:val="center"/>
          </w:tcPr>
          <w:p>
            <w:pPr>
              <w:pStyle w:val="92"/>
            </w:pPr>
            <w:r>
              <w:t>1套</w:t>
            </w:r>
          </w:p>
        </w:tc>
        <w:tc>
          <w:tcPr>
            <w:tcW w:w="797" w:type="dxa"/>
            <w:vAlign w:val="center"/>
          </w:tcPr>
          <w:p>
            <w:pPr>
              <w:pStyle w:val="92"/>
            </w:pPr>
            <w:r>
              <w:t>20</w:t>
            </w:r>
          </w:p>
        </w:tc>
        <w:tc>
          <w:tcPr>
            <w:tcW w:w="801" w:type="dxa"/>
            <w:vAlign w:val="center"/>
          </w:tcPr>
          <w:p>
            <w:pPr>
              <w:pStyle w:val="92"/>
            </w:pPr>
            <w:r>
              <w:t>1</w:t>
            </w:r>
          </w:p>
        </w:tc>
        <w:tc>
          <w:tcPr>
            <w:tcW w:w="797" w:type="dxa"/>
            <w:vAlign w:val="center"/>
          </w:tcPr>
          <w:p>
            <w:pPr>
              <w:pStyle w:val="92"/>
            </w:pPr>
            <w:r>
              <w:t>1</w:t>
            </w:r>
            <w:r>
              <w:rPr>
                <w:rFonts w:hint="eastAsia"/>
              </w:rPr>
              <w:t>.5</w:t>
            </w:r>
          </w:p>
        </w:tc>
        <w:tc>
          <w:tcPr>
            <w:tcW w:w="801" w:type="dxa"/>
            <w:vAlign w:val="center"/>
          </w:tcPr>
          <w:p>
            <w:pPr>
              <w:pStyle w:val="92"/>
            </w:pPr>
            <w:r>
              <w:t>1</w:t>
            </w:r>
          </w:p>
        </w:tc>
        <w:tc>
          <w:tcPr>
            <w:tcW w:w="799" w:type="dxa"/>
            <w:vMerge w:val="restart"/>
            <w:vAlign w:val="center"/>
          </w:tcPr>
          <w:p>
            <w:pPr>
              <w:pStyle w:val="92"/>
            </w:pPr>
            <w:r>
              <w:rPr>
                <w:rFonts w:hint="eastAsi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426" w:type="dxa"/>
            <w:vMerge w:val="continue"/>
            <w:vAlign w:val="center"/>
          </w:tcPr>
          <w:p>
            <w:pPr>
              <w:pStyle w:val="92"/>
            </w:pPr>
          </w:p>
        </w:tc>
        <w:tc>
          <w:tcPr>
            <w:tcW w:w="1210" w:type="dxa"/>
            <w:vAlign w:val="center"/>
          </w:tcPr>
          <w:p>
            <w:pPr>
              <w:pStyle w:val="92"/>
            </w:pPr>
            <w:r>
              <w:rPr>
                <w:rFonts w:hint="eastAsia"/>
              </w:rPr>
              <w:t>粗粉</w:t>
            </w:r>
            <w:r>
              <w:t>粉尘</w:t>
            </w:r>
          </w:p>
        </w:tc>
        <w:tc>
          <w:tcPr>
            <w:tcW w:w="2698" w:type="dxa"/>
            <w:vAlign w:val="center"/>
          </w:tcPr>
          <w:p>
            <w:pPr>
              <w:pStyle w:val="92"/>
            </w:pPr>
            <w:r>
              <w:rPr>
                <w:rFonts w:hint="eastAsia"/>
              </w:rPr>
              <w:t>旋风</w:t>
            </w:r>
            <w:r>
              <w:t>收尘</w:t>
            </w:r>
            <w:r>
              <w:rPr>
                <w:rFonts w:hint="eastAsia"/>
              </w:rPr>
              <w:t>+布袋</w:t>
            </w:r>
            <w:r>
              <w:t>除尘</w:t>
            </w:r>
            <w:r>
              <w:rPr>
                <w:rFonts w:hint="eastAsia"/>
              </w:rPr>
              <w:t>+15</w:t>
            </w:r>
            <w:r>
              <w:t>m排气筒</w:t>
            </w:r>
          </w:p>
        </w:tc>
        <w:tc>
          <w:tcPr>
            <w:tcW w:w="711" w:type="dxa"/>
            <w:vAlign w:val="center"/>
          </w:tcPr>
          <w:p>
            <w:pPr>
              <w:pStyle w:val="92"/>
            </w:pPr>
            <w:r>
              <w:rPr>
                <w:rFonts w:hint="eastAsia"/>
              </w:rPr>
              <w:t>1套</w:t>
            </w:r>
          </w:p>
        </w:tc>
        <w:tc>
          <w:tcPr>
            <w:tcW w:w="797" w:type="dxa"/>
            <w:vAlign w:val="center"/>
          </w:tcPr>
          <w:p>
            <w:pPr>
              <w:pStyle w:val="92"/>
            </w:pPr>
            <w:r>
              <w:t>20</w:t>
            </w:r>
          </w:p>
        </w:tc>
        <w:tc>
          <w:tcPr>
            <w:tcW w:w="801" w:type="dxa"/>
            <w:vAlign w:val="center"/>
          </w:tcPr>
          <w:p>
            <w:pPr>
              <w:pStyle w:val="92"/>
            </w:pPr>
            <w:r>
              <w:t>1</w:t>
            </w:r>
          </w:p>
        </w:tc>
        <w:tc>
          <w:tcPr>
            <w:tcW w:w="797" w:type="dxa"/>
            <w:vAlign w:val="center"/>
          </w:tcPr>
          <w:p>
            <w:pPr>
              <w:pStyle w:val="92"/>
            </w:pPr>
            <w:r>
              <w:t>1</w:t>
            </w:r>
            <w:r>
              <w:rPr>
                <w:rFonts w:hint="eastAsia"/>
              </w:rPr>
              <w:t>.5</w:t>
            </w:r>
          </w:p>
        </w:tc>
        <w:tc>
          <w:tcPr>
            <w:tcW w:w="801" w:type="dxa"/>
            <w:vAlign w:val="center"/>
          </w:tcPr>
          <w:p>
            <w:pPr>
              <w:pStyle w:val="92"/>
            </w:pPr>
            <w:r>
              <w:t>1</w:t>
            </w:r>
          </w:p>
        </w:tc>
        <w:tc>
          <w:tcPr>
            <w:tcW w:w="799"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Merge w:val="continue"/>
            <w:vAlign w:val="center"/>
          </w:tcPr>
          <w:p>
            <w:pPr>
              <w:pStyle w:val="92"/>
            </w:pPr>
          </w:p>
        </w:tc>
        <w:tc>
          <w:tcPr>
            <w:tcW w:w="1210" w:type="dxa"/>
            <w:vAlign w:val="center"/>
          </w:tcPr>
          <w:p>
            <w:pPr>
              <w:pStyle w:val="92"/>
            </w:pPr>
            <w:r>
              <w:rPr>
                <w:rFonts w:hint="eastAsia"/>
              </w:rPr>
              <w:t>微粉</w:t>
            </w:r>
            <w:r>
              <w:t>粉尘</w:t>
            </w:r>
          </w:p>
        </w:tc>
        <w:tc>
          <w:tcPr>
            <w:tcW w:w="2698" w:type="dxa"/>
            <w:vAlign w:val="center"/>
          </w:tcPr>
          <w:p>
            <w:pPr>
              <w:pStyle w:val="92"/>
            </w:pPr>
            <w:r>
              <w:rPr>
                <w:rFonts w:hint="eastAsia"/>
              </w:rPr>
              <w:t>旋风</w:t>
            </w:r>
            <w:r>
              <w:t>收尘</w:t>
            </w:r>
            <w:r>
              <w:rPr>
                <w:rFonts w:hint="eastAsia"/>
              </w:rPr>
              <w:t>+布袋</w:t>
            </w:r>
            <w:r>
              <w:t>除尘</w:t>
            </w:r>
            <w:r>
              <w:rPr>
                <w:rFonts w:hint="eastAsia"/>
              </w:rPr>
              <w:t>+15</w:t>
            </w:r>
            <w:r>
              <w:t>m排气筒</w:t>
            </w:r>
          </w:p>
        </w:tc>
        <w:tc>
          <w:tcPr>
            <w:tcW w:w="711" w:type="dxa"/>
            <w:vAlign w:val="center"/>
          </w:tcPr>
          <w:p>
            <w:pPr>
              <w:pStyle w:val="92"/>
            </w:pPr>
            <w:r>
              <w:t>2</w:t>
            </w:r>
            <w:r>
              <w:rPr>
                <w:rFonts w:hint="eastAsia"/>
              </w:rPr>
              <w:t>套</w:t>
            </w:r>
          </w:p>
        </w:tc>
        <w:tc>
          <w:tcPr>
            <w:tcW w:w="797" w:type="dxa"/>
            <w:vAlign w:val="center"/>
          </w:tcPr>
          <w:p>
            <w:pPr>
              <w:pStyle w:val="92"/>
            </w:pPr>
            <w:r>
              <w:t>40</w:t>
            </w:r>
          </w:p>
        </w:tc>
        <w:tc>
          <w:tcPr>
            <w:tcW w:w="801" w:type="dxa"/>
            <w:vAlign w:val="center"/>
          </w:tcPr>
          <w:p>
            <w:pPr>
              <w:pStyle w:val="92"/>
            </w:pPr>
            <w:r>
              <w:t>2</w:t>
            </w:r>
          </w:p>
        </w:tc>
        <w:tc>
          <w:tcPr>
            <w:tcW w:w="797" w:type="dxa"/>
            <w:vAlign w:val="center"/>
          </w:tcPr>
          <w:p>
            <w:pPr>
              <w:pStyle w:val="92"/>
            </w:pPr>
            <w:r>
              <w:t>3</w:t>
            </w:r>
          </w:p>
        </w:tc>
        <w:tc>
          <w:tcPr>
            <w:tcW w:w="801" w:type="dxa"/>
            <w:vAlign w:val="center"/>
          </w:tcPr>
          <w:p>
            <w:pPr>
              <w:pStyle w:val="92"/>
            </w:pPr>
            <w:r>
              <w:t>1</w:t>
            </w:r>
          </w:p>
        </w:tc>
        <w:tc>
          <w:tcPr>
            <w:tcW w:w="799"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Merge w:val="continue"/>
            <w:vAlign w:val="center"/>
          </w:tcPr>
          <w:p>
            <w:pPr>
              <w:pStyle w:val="92"/>
            </w:pPr>
          </w:p>
        </w:tc>
        <w:tc>
          <w:tcPr>
            <w:tcW w:w="1210" w:type="dxa"/>
            <w:vAlign w:val="center"/>
          </w:tcPr>
          <w:p>
            <w:pPr>
              <w:pStyle w:val="92"/>
            </w:pPr>
            <w:r>
              <w:rPr>
                <w:rFonts w:hint="eastAsia"/>
              </w:rPr>
              <w:t>甲醇</w:t>
            </w:r>
            <w:r>
              <w:t>回收</w:t>
            </w:r>
          </w:p>
        </w:tc>
        <w:tc>
          <w:tcPr>
            <w:tcW w:w="2698" w:type="dxa"/>
            <w:vAlign w:val="center"/>
          </w:tcPr>
          <w:p>
            <w:pPr>
              <w:pStyle w:val="92"/>
            </w:pPr>
            <w:r>
              <w:rPr>
                <w:rFonts w:hint="eastAsia"/>
              </w:rPr>
              <w:t>冷冻</w:t>
            </w:r>
            <w:r>
              <w:t>回收</w:t>
            </w:r>
            <w:r>
              <w:rPr>
                <w:rFonts w:hint="eastAsia"/>
              </w:rPr>
              <w:t>+15</w:t>
            </w:r>
            <w:r>
              <w:t>m</w:t>
            </w:r>
            <w:r>
              <w:rPr>
                <w:rFonts w:hint="eastAsia"/>
              </w:rPr>
              <w:t>排气筒</w:t>
            </w:r>
          </w:p>
        </w:tc>
        <w:tc>
          <w:tcPr>
            <w:tcW w:w="711" w:type="dxa"/>
            <w:vAlign w:val="center"/>
          </w:tcPr>
          <w:p>
            <w:pPr>
              <w:pStyle w:val="92"/>
            </w:pPr>
            <w:r>
              <w:rPr>
                <w:rFonts w:hint="eastAsia"/>
              </w:rPr>
              <w:t>1套</w:t>
            </w:r>
          </w:p>
        </w:tc>
        <w:tc>
          <w:tcPr>
            <w:tcW w:w="797" w:type="dxa"/>
            <w:vAlign w:val="center"/>
          </w:tcPr>
          <w:p>
            <w:pPr>
              <w:pStyle w:val="92"/>
            </w:pPr>
            <w:r>
              <w:rPr>
                <w:rFonts w:hint="eastAsia"/>
              </w:rPr>
              <w:t>10</w:t>
            </w:r>
          </w:p>
        </w:tc>
        <w:tc>
          <w:tcPr>
            <w:tcW w:w="801" w:type="dxa"/>
            <w:vAlign w:val="center"/>
          </w:tcPr>
          <w:p>
            <w:pPr>
              <w:pStyle w:val="92"/>
            </w:pPr>
            <w:r>
              <w:rPr>
                <w:rFonts w:hint="eastAsia"/>
              </w:rPr>
              <w:t>2</w:t>
            </w:r>
          </w:p>
        </w:tc>
        <w:tc>
          <w:tcPr>
            <w:tcW w:w="797" w:type="dxa"/>
            <w:vAlign w:val="center"/>
          </w:tcPr>
          <w:p>
            <w:pPr>
              <w:pStyle w:val="92"/>
            </w:pPr>
            <w:r>
              <w:rPr>
                <w:rFonts w:hint="eastAsia"/>
              </w:rPr>
              <w:t>1.5</w:t>
            </w:r>
          </w:p>
        </w:tc>
        <w:tc>
          <w:tcPr>
            <w:tcW w:w="801" w:type="dxa"/>
            <w:vAlign w:val="center"/>
          </w:tcPr>
          <w:p>
            <w:pPr>
              <w:pStyle w:val="92"/>
            </w:pPr>
            <w:r>
              <w:rPr>
                <w:rFonts w:hint="eastAsia"/>
              </w:rPr>
              <w:t>1</w:t>
            </w:r>
          </w:p>
        </w:tc>
        <w:tc>
          <w:tcPr>
            <w:tcW w:w="799"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Merge w:val="continue"/>
            <w:vAlign w:val="center"/>
          </w:tcPr>
          <w:p>
            <w:pPr>
              <w:pStyle w:val="92"/>
            </w:pPr>
          </w:p>
        </w:tc>
        <w:tc>
          <w:tcPr>
            <w:tcW w:w="1210" w:type="dxa"/>
            <w:vAlign w:val="center"/>
          </w:tcPr>
          <w:p>
            <w:pPr>
              <w:pStyle w:val="92"/>
            </w:pPr>
            <w:r>
              <w:rPr>
                <w:rFonts w:hint="eastAsia"/>
              </w:rPr>
              <w:t>天然气废气</w:t>
            </w:r>
          </w:p>
        </w:tc>
        <w:tc>
          <w:tcPr>
            <w:tcW w:w="2698" w:type="dxa"/>
            <w:vAlign w:val="center"/>
          </w:tcPr>
          <w:p>
            <w:pPr>
              <w:pStyle w:val="92"/>
            </w:pPr>
            <w:r>
              <w:rPr>
                <w:rFonts w:hint="eastAsia"/>
              </w:rPr>
              <w:t>低氮</w:t>
            </w:r>
            <w:r>
              <w:t>燃烧</w:t>
            </w:r>
            <w:r>
              <w:rPr>
                <w:rFonts w:hint="eastAsia"/>
              </w:rPr>
              <w:t>+</w:t>
            </w:r>
            <w:r>
              <w:t>15m</w:t>
            </w:r>
            <w:r>
              <w:rPr>
                <w:rFonts w:hint="eastAsia"/>
              </w:rPr>
              <w:t>高</w:t>
            </w:r>
            <w:r>
              <w:t>排气筒</w:t>
            </w:r>
          </w:p>
        </w:tc>
        <w:tc>
          <w:tcPr>
            <w:tcW w:w="711" w:type="dxa"/>
            <w:vAlign w:val="center"/>
          </w:tcPr>
          <w:p>
            <w:pPr>
              <w:pStyle w:val="92"/>
            </w:pPr>
            <w:r>
              <w:rPr>
                <w:rFonts w:hint="eastAsia"/>
              </w:rPr>
              <w:t>1套</w:t>
            </w:r>
          </w:p>
        </w:tc>
        <w:tc>
          <w:tcPr>
            <w:tcW w:w="797" w:type="dxa"/>
            <w:vAlign w:val="center"/>
          </w:tcPr>
          <w:p>
            <w:pPr>
              <w:pStyle w:val="92"/>
            </w:pPr>
            <w:r>
              <w:rPr>
                <w:rFonts w:hint="eastAsia"/>
              </w:rPr>
              <w:t>20</w:t>
            </w:r>
          </w:p>
        </w:tc>
        <w:tc>
          <w:tcPr>
            <w:tcW w:w="801" w:type="dxa"/>
            <w:vAlign w:val="center"/>
          </w:tcPr>
          <w:p>
            <w:pPr>
              <w:pStyle w:val="92"/>
            </w:pPr>
            <w:r>
              <w:rPr>
                <w:rFonts w:hint="eastAsia"/>
              </w:rPr>
              <w:t>3</w:t>
            </w:r>
          </w:p>
        </w:tc>
        <w:tc>
          <w:tcPr>
            <w:tcW w:w="797" w:type="dxa"/>
            <w:vAlign w:val="center"/>
          </w:tcPr>
          <w:p>
            <w:pPr>
              <w:pStyle w:val="92"/>
            </w:pPr>
            <w:r>
              <w:rPr>
                <w:rFonts w:hint="eastAsia"/>
              </w:rPr>
              <w:t>2</w:t>
            </w:r>
          </w:p>
        </w:tc>
        <w:tc>
          <w:tcPr>
            <w:tcW w:w="801" w:type="dxa"/>
            <w:vAlign w:val="center"/>
          </w:tcPr>
          <w:p>
            <w:pPr>
              <w:pStyle w:val="92"/>
            </w:pPr>
            <w:r>
              <w:rPr>
                <w:rFonts w:hint="eastAsia"/>
              </w:rPr>
              <w:t>2</w:t>
            </w:r>
          </w:p>
        </w:tc>
        <w:tc>
          <w:tcPr>
            <w:tcW w:w="799"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Merge w:val="restart"/>
            <w:vAlign w:val="center"/>
          </w:tcPr>
          <w:p>
            <w:pPr>
              <w:pStyle w:val="92"/>
            </w:pPr>
            <w:r>
              <w:rPr>
                <w:rFonts w:hint="eastAsia"/>
              </w:rPr>
              <w:t>废水</w:t>
            </w:r>
          </w:p>
        </w:tc>
        <w:tc>
          <w:tcPr>
            <w:tcW w:w="1210" w:type="dxa"/>
            <w:vAlign w:val="center"/>
          </w:tcPr>
          <w:p>
            <w:pPr>
              <w:pStyle w:val="92"/>
            </w:pPr>
            <w:r>
              <w:rPr>
                <w:rFonts w:hint="eastAsia"/>
              </w:rPr>
              <w:t>生活</w:t>
            </w:r>
            <w:r>
              <w:t>污水</w:t>
            </w:r>
          </w:p>
        </w:tc>
        <w:tc>
          <w:tcPr>
            <w:tcW w:w="2698" w:type="dxa"/>
            <w:vAlign w:val="center"/>
          </w:tcPr>
          <w:p>
            <w:pPr>
              <w:pStyle w:val="92"/>
            </w:pPr>
            <w:r>
              <w:rPr>
                <w:rFonts w:hint="eastAsia"/>
              </w:rPr>
              <w:t>经化粪池</w:t>
            </w:r>
            <w:r>
              <w:t>处理后排入</w:t>
            </w:r>
            <w:r>
              <w:rPr>
                <w:rFonts w:hint="eastAsia"/>
              </w:rPr>
              <w:t>吕河镇污水</w:t>
            </w:r>
            <w:r>
              <w:t>处理厂</w:t>
            </w:r>
          </w:p>
        </w:tc>
        <w:tc>
          <w:tcPr>
            <w:tcW w:w="711" w:type="dxa"/>
            <w:vAlign w:val="center"/>
          </w:tcPr>
          <w:p>
            <w:pPr>
              <w:pStyle w:val="92"/>
            </w:pPr>
            <w:r>
              <w:rPr>
                <w:rFonts w:hint="eastAsia"/>
              </w:rPr>
              <w:t>/</w:t>
            </w:r>
          </w:p>
        </w:tc>
        <w:tc>
          <w:tcPr>
            <w:tcW w:w="797" w:type="dxa"/>
            <w:vAlign w:val="center"/>
          </w:tcPr>
          <w:p>
            <w:pPr>
              <w:pStyle w:val="92"/>
            </w:pPr>
            <w:r>
              <w:rPr>
                <w:rFonts w:hint="eastAsia"/>
              </w:rPr>
              <w:t>/</w:t>
            </w:r>
          </w:p>
        </w:tc>
        <w:tc>
          <w:tcPr>
            <w:tcW w:w="801" w:type="dxa"/>
            <w:vAlign w:val="center"/>
          </w:tcPr>
          <w:p>
            <w:pPr>
              <w:pStyle w:val="92"/>
            </w:pPr>
            <w:r>
              <w:rPr>
                <w:rFonts w:hint="eastAsia"/>
              </w:rPr>
              <w:t>/</w:t>
            </w:r>
          </w:p>
        </w:tc>
        <w:tc>
          <w:tcPr>
            <w:tcW w:w="797" w:type="dxa"/>
            <w:vAlign w:val="center"/>
          </w:tcPr>
          <w:p>
            <w:pPr>
              <w:pStyle w:val="92"/>
            </w:pPr>
            <w:r>
              <w:rPr>
                <w:rFonts w:hint="eastAsia"/>
              </w:rPr>
              <w:t>/</w:t>
            </w:r>
          </w:p>
        </w:tc>
        <w:tc>
          <w:tcPr>
            <w:tcW w:w="801" w:type="dxa"/>
            <w:vAlign w:val="center"/>
          </w:tcPr>
          <w:p>
            <w:pPr>
              <w:pStyle w:val="92"/>
            </w:pPr>
            <w:r>
              <w:rPr>
                <w:rFonts w:hint="eastAsia"/>
              </w:rPr>
              <w:t>/</w:t>
            </w:r>
          </w:p>
        </w:tc>
        <w:tc>
          <w:tcPr>
            <w:tcW w:w="799" w:type="dxa"/>
            <w:vMerge w:val="restart"/>
            <w:vAlign w:val="center"/>
          </w:tcPr>
          <w:p>
            <w:pPr>
              <w:pStyle w:val="92"/>
            </w:pPr>
            <w:r>
              <w:rPr>
                <w:rFonts w:hint="eastAsia"/>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Merge w:val="continue"/>
            <w:vAlign w:val="center"/>
          </w:tcPr>
          <w:p>
            <w:pPr>
              <w:pStyle w:val="92"/>
            </w:pPr>
          </w:p>
        </w:tc>
        <w:tc>
          <w:tcPr>
            <w:tcW w:w="1210" w:type="dxa"/>
            <w:vAlign w:val="center"/>
          </w:tcPr>
          <w:p>
            <w:pPr>
              <w:pStyle w:val="92"/>
            </w:pPr>
            <w:r>
              <w:rPr>
                <w:rFonts w:hint="eastAsia"/>
              </w:rPr>
              <w:t>锅炉排污水</w:t>
            </w:r>
            <w:r>
              <w:t>和软水制备系统</w:t>
            </w:r>
          </w:p>
        </w:tc>
        <w:tc>
          <w:tcPr>
            <w:tcW w:w="2698" w:type="dxa"/>
            <w:vAlign w:val="center"/>
          </w:tcPr>
          <w:p>
            <w:pPr>
              <w:pStyle w:val="92"/>
            </w:pPr>
            <w:r>
              <w:rPr>
                <w:rFonts w:hint="eastAsia"/>
              </w:rPr>
              <w:t>排入市政</w:t>
            </w:r>
            <w:r>
              <w:t>雨水管网</w:t>
            </w:r>
          </w:p>
        </w:tc>
        <w:tc>
          <w:tcPr>
            <w:tcW w:w="711" w:type="dxa"/>
            <w:vAlign w:val="center"/>
          </w:tcPr>
          <w:p>
            <w:pPr>
              <w:pStyle w:val="92"/>
            </w:pPr>
            <w:r>
              <w:rPr>
                <w:rFonts w:hint="eastAsia"/>
              </w:rPr>
              <w:t>/</w:t>
            </w:r>
          </w:p>
        </w:tc>
        <w:tc>
          <w:tcPr>
            <w:tcW w:w="797" w:type="dxa"/>
            <w:vAlign w:val="center"/>
          </w:tcPr>
          <w:p>
            <w:pPr>
              <w:pStyle w:val="92"/>
            </w:pPr>
            <w:r>
              <w:rPr>
                <w:rFonts w:hint="eastAsia"/>
              </w:rPr>
              <w:t>/</w:t>
            </w:r>
          </w:p>
        </w:tc>
        <w:tc>
          <w:tcPr>
            <w:tcW w:w="801" w:type="dxa"/>
            <w:vAlign w:val="center"/>
          </w:tcPr>
          <w:p>
            <w:pPr>
              <w:pStyle w:val="92"/>
            </w:pPr>
            <w:r>
              <w:rPr>
                <w:rFonts w:hint="eastAsia"/>
              </w:rPr>
              <w:t>/</w:t>
            </w:r>
          </w:p>
        </w:tc>
        <w:tc>
          <w:tcPr>
            <w:tcW w:w="797" w:type="dxa"/>
            <w:vAlign w:val="center"/>
          </w:tcPr>
          <w:p>
            <w:pPr>
              <w:pStyle w:val="92"/>
            </w:pPr>
            <w:r>
              <w:rPr>
                <w:rFonts w:hint="eastAsia"/>
              </w:rPr>
              <w:t>/</w:t>
            </w:r>
          </w:p>
        </w:tc>
        <w:tc>
          <w:tcPr>
            <w:tcW w:w="801" w:type="dxa"/>
            <w:vAlign w:val="center"/>
          </w:tcPr>
          <w:p>
            <w:pPr>
              <w:pStyle w:val="92"/>
            </w:pPr>
            <w:r>
              <w:rPr>
                <w:rFonts w:hint="eastAsia"/>
              </w:rPr>
              <w:t>/</w:t>
            </w:r>
          </w:p>
        </w:tc>
        <w:tc>
          <w:tcPr>
            <w:tcW w:w="799"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6" w:type="dxa"/>
            <w:vAlign w:val="center"/>
          </w:tcPr>
          <w:p>
            <w:pPr>
              <w:pStyle w:val="92"/>
            </w:pPr>
            <w:r>
              <w:t>噪声</w:t>
            </w:r>
          </w:p>
        </w:tc>
        <w:tc>
          <w:tcPr>
            <w:tcW w:w="1210" w:type="dxa"/>
            <w:vAlign w:val="center"/>
          </w:tcPr>
          <w:p>
            <w:pPr>
              <w:pStyle w:val="92"/>
            </w:pPr>
            <w:r>
              <w:rPr>
                <w:rFonts w:hint="eastAsia"/>
              </w:rPr>
              <w:t>粉碎机、</w:t>
            </w:r>
            <w:r>
              <w:t>引风机</w:t>
            </w:r>
            <w:r>
              <w:rPr>
                <w:rFonts w:hint="eastAsia"/>
              </w:rPr>
              <w:t>、</w:t>
            </w:r>
            <w:r>
              <w:t>循环泵、出料泵等机械设备</w:t>
            </w:r>
          </w:p>
        </w:tc>
        <w:tc>
          <w:tcPr>
            <w:tcW w:w="2698" w:type="dxa"/>
            <w:vAlign w:val="center"/>
          </w:tcPr>
          <w:p>
            <w:pPr>
              <w:pStyle w:val="92"/>
            </w:pPr>
            <w:r>
              <w:t>加减振基础、</w:t>
            </w:r>
            <w:r>
              <w:rPr>
                <w:rFonts w:hint="eastAsia"/>
              </w:rPr>
              <w:t>减振垫</w:t>
            </w:r>
            <w:r>
              <w:t>、设置在厂房内、窗户封闭</w:t>
            </w:r>
          </w:p>
        </w:tc>
        <w:tc>
          <w:tcPr>
            <w:tcW w:w="711" w:type="dxa"/>
            <w:vAlign w:val="center"/>
          </w:tcPr>
          <w:p>
            <w:pPr>
              <w:pStyle w:val="92"/>
            </w:pPr>
            <w:r>
              <w:t>若干</w:t>
            </w:r>
          </w:p>
        </w:tc>
        <w:tc>
          <w:tcPr>
            <w:tcW w:w="797" w:type="dxa"/>
            <w:vAlign w:val="center"/>
          </w:tcPr>
          <w:p>
            <w:pPr>
              <w:pStyle w:val="92"/>
            </w:pPr>
            <w:r>
              <w:t>2.0</w:t>
            </w:r>
          </w:p>
        </w:tc>
        <w:tc>
          <w:tcPr>
            <w:tcW w:w="801" w:type="dxa"/>
            <w:vAlign w:val="center"/>
          </w:tcPr>
          <w:p>
            <w:pPr>
              <w:pStyle w:val="92"/>
            </w:pPr>
            <w:r>
              <w:t>/</w:t>
            </w:r>
          </w:p>
        </w:tc>
        <w:tc>
          <w:tcPr>
            <w:tcW w:w="797" w:type="dxa"/>
            <w:vAlign w:val="center"/>
          </w:tcPr>
          <w:p>
            <w:pPr>
              <w:pStyle w:val="92"/>
            </w:pPr>
            <w:r>
              <w:t>1</w:t>
            </w:r>
          </w:p>
        </w:tc>
        <w:tc>
          <w:tcPr>
            <w:tcW w:w="801" w:type="dxa"/>
            <w:vAlign w:val="center"/>
          </w:tcPr>
          <w:p>
            <w:pPr>
              <w:pStyle w:val="92"/>
            </w:pPr>
            <w:r>
              <w:t>0.5</w:t>
            </w:r>
          </w:p>
        </w:tc>
        <w:tc>
          <w:tcPr>
            <w:tcW w:w="799" w:type="dxa"/>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426" w:type="dxa"/>
            <w:vMerge w:val="restart"/>
            <w:vAlign w:val="center"/>
          </w:tcPr>
          <w:p>
            <w:pPr>
              <w:pStyle w:val="92"/>
            </w:pPr>
            <w:r>
              <w:rPr>
                <w:rFonts w:hint="eastAsia"/>
              </w:rPr>
              <w:t>固废/地下</w:t>
            </w:r>
          </w:p>
        </w:tc>
        <w:tc>
          <w:tcPr>
            <w:tcW w:w="1210" w:type="dxa"/>
            <w:vMerge w:val="restart"/>
            <w:vAlign w:val="center"/>
          </w:tcPr>
          <w:p>
            <w:pPr>
              <w:pStyle w:val="92"/>
            </w:pPr>
            <w:r>
              <w:rPr>
                <w:rFonts w:hint="eastAsia"/>
              </w:rPr>
              <w:t>危险</w:t>
            </w:r>
            <w:r>
              <w:t>废物暂存间</w:t>
            </w:r>
          </w:p>
        </w:tc>
        <w:tc>
          <w:tcPr>
            <w:tcW w:w="2698" w:type="dxa"/>
            <w:vAlign w:val="center"/>
          </w:tcPr>
          <w:p>
            <w:pPr>
              <w:pStyle w:val="92"/>
            </w:pPr>
            <w:r>
              <w:rPr>
                <w:rFonts w:hint="eastAsia"/>
                <w:szCs w:val="21"/>
              </w:rPr>
              <w:t>地面进行防渗处理，且地表无裂缝</w:t>
            </w:r>
          </w:p>
        </w:tc>
        <w:tc>
          <w:tcPr>
            <w:tcW w:w="711" w:type="dxa"/>
            <w:vMerge w:val="restart"/>
            <w:vAlign w:val="center"/>
          </w:tcPr>
          <w:p>
            <w:pPr>
              <w:pStyle w:val="92"/>
            </w:pPr>
            <w:r>
              <w:rPr>
                <w:rFonts w:hint="eastAsia"/>
              </w:rPr>
              <w:t>1</w:t>
            </w:r>
          </w:p>
        </w:tc>
        <w:tc>
          <w:tcPr>
            <w:tcW w:w="797" w:type="dxa"/>
            <w:vMerge w:val="restart"/>
            <w:vAlign w:val="center"/>
          </w:tcPr>
          <w:p>
            <w:pPr>
              <w:pStyle w:val="92"/>
            </w:pPr>
            <w:r>
              <w:t>2.0</w:t>
            </w:r>
          </w:p>
        </w:tc>
        <w:tc>
          <w:tcPr>
            <w:tcW w:w="801" w:type="dxa"/>
            <w:vMerge w:val="restart"/>
            <w:vAlign w:val="center"/>
          </w:tcPr>
          <w:p>
            <w:pPr>
              <w:pStyle w:val="92"/>
            </w:pPr>
            <w:r>
              <w:rPr>
                <w:rFonts w:hint="eastAsia"/>
              </w:rPr>
              <w:t>/</w:t>
            </w:r>
          </w:p>
        </w:tc>
        <w:tc>
          <w:tcPr>
            <w:tcW w:w="797" w:type="dxa"/>
            <w:vMerge w:val="restart"/>
            <w:vAlign w:val="center"/>
          </w:tcPr>
          <w:p>
            <w:pPr>
              <w:pStyle w:val="92"/>
            </w:pPr>
            <w:r>
              <w:rPr>
                <w:rFonts w:hint="eastAsia"/>
              </w:rPr>
              <w:t>/</w:t>
            </w:r>
          </w:p>
        </w:tc>
        <w:tc>
          <w:tcPr>
            <w:tcW w:w="801" w:type="dxa"/>
            <w:vMerge w:val="restart"/>
            <w:vAlign w:val="center"/>
          </w:tcPr>
          <w:p>
            <w:pPr>
              <w:pStyle w:val="92"/>
            </w:pPr>
            <w:r>
              <w:rPr>
                <w:rFonts w:hint="eastAsia"/>
              </w:rPr>
              <w:t>/</w:t>
            </w:r>
          </w:p>
        </w:tc>
        <w:tc>
          <w:tcPr>
            <w:tcW w:w="799" w:type="dxa"/>
            <w:vMerge w:val="restart"/>
            <w:vAlign w:val="center"/>
          </w:tcPr>
          <w:p>
            <w:pPr>
              <w:pStyle w:val="92"/>
            </w:pPr>
            <w:r>
              <w:rPr>
                <w:rFonts w:hint="eastAsia"/>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426" w:type="dxa"/>
            <w:vMerge w:val="continue"/>
            <w:vAlign w:val="center"/>
          </w:tcPr>
          <w:p>
            <w:pPr>
              <w:pStyle w:val="92"/>
            </w:pPr>
          </w:p>
        </w:tc>
        <w:tc>
          <w:tcPr>
            <w:tcW w:w="1210" w:type="dxa"/>
            <w:vMerge w:val="continue"/>
            <w:vAlign w:val="center"/>
          </w:tcPr>
          <w:p>
            <w:pPr>
              <w:pStyle w:val="92"/>
            </w:pPr>
          </w:p>
        </w:tc>
        <w:tc>
          <w:tcPr>
            <w:tcW w:w="2698" w:type="dxa"/>
            <w:vAlign w:val="center"/>
          </w:tcPr>
          <w:p>
            <w:pPr>
              <w:pStyle w:val="92"/>
            </w:pPr>
            <w:r>
              <w:rPr>
                <w:rFonts w:hint="eastAsia"/>
                <w:szCs w:val="21"/>
              </w:rPr>
              <w:t>设置堵截泄漏的裙脚</w:t>
            </w:r>
          </w:p>
        </w:tc>
        <w:tc>
          <w:tcPr>
            <w:tcW w:w="711" w:type="dxa"/>
            <w:vMerge w:val="continue"/>
            <w:vAlign w:val="center"/>
          </w:tcPr>
          <w:p>
            <w:pPr>
              <w:pStyle w:val="92"/>
            </w:pPr>
          </w:p>
        </w:tc>
        <w:tc>
          <w:tcPr>
            <w:tcW w:w="797" w:type="dxa"/>
            <w:vMerge w:val="continue"/>
            <w:vAlign w:val="center"/>
          </w:tcPr>
          <w:p>
            <w:pPr>
              <w:pStyle w:val="92"/>
            </w:pPr>
          </w:p>
        </w:tc>
        <w:tc>
          <w:tcPr>
            <w:tcW w:w="801" w:type="dxa"/>
            <w:vMerge w:val="continue"/>
            <w:vAlign w:val="center"/>
          </w:tcPr>
          <w:p>
            <w:pPr>
              <w:pStyle w:val="92"/>
            </w:pPr>
          </w:p>
        </w:tc>
        <w:tc>
          <w:tcPr>
            <w:tcW w:w="797" w:type="dxa"/>
            <w:vMerge w:val="continue"/>
            <w:vAlign w:val="center"/>
          </w:tcPr>
          <w:p>
            <w:pPr>
              <w:pStyle w:val="92"/>
            </w:pPr>
          </w:p>
        </w:tc>
        <w:tc>
          <w:tcPr>
            <w:tcW w:w="801" w:type="dxa"/>
            <w:vMerge w:val="continue"/>
            <w:vAlign w:val="center"/>
          </w:tcPr>
          <w:p>
            <w:pPr>
              <w:pStyle w:val="92"/>
            </w:pPr>
          </w:p>
        </w:tc>
        <w:tc>
          <w:tcPr>
            <w:tcW w:w="799" w:type="dxa"/>
            <w:vMerge w:val="continue"/>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045" w:type="dxa"/>
            <w:gridSpan w:val="4"/>
            <w:vAlign w:val="center"/>
          </w:tcPr>
          <w:p>
            <w:pPr>
              <w:pStyle w:val="92"/>
            </w:pPr>
            <w:r>
              <w:t>合计</w:t>
            </w:r>
          </w:p>
        </w:tc>
        <w:tc>
          <w:tcPr>
            <w:tcW w:w="797" w:type="dxa"/>
            <w:vAlign w:val="center"/>
          </w:tcPr>
          <w:p>
            <w:pPr>
              <w:pStyle w:val="92"/>
            </w:pPr>
            <w:r>
              <w:rPr>
                <w:rFonts w:hint="eastAsia"/>
              </w:rPr>
              <w:t>114</w:t>
            </w:r>
          </w:p>
        </w:tc>
        <w:tc>
          <w:tcPr>
            <w:tcW w:w="801" w:type="dxa"/>
            <w:vAlign w:val="center"/>
          </w:tcPr>
          <w:p>
            <w:pPr>
              <w:pStyle w:val="92"/>
            </w:pPr>
            <w:r>
              <w:t>9</w:t>
            </w:r>
          </w:p>
        </w:tc>
        <w:tc>
          <w:tcPr>
            <w:tcW w:w="797" w:type="dxa"/>
            <w:vAlign w:val="center"/>
          </w:tcPr>
          <w:p>
            <w:pPr>
              <w:pStyle w:val="92"/>
            </w:pPr>
            <w:r>
              <w:rPr>
                <w:rFonts w:hint="eastAsia"/>
              </w:rPr>
              <w:t>1</w:t>
            </w:r>
            <w:r>
              <w:t>0</w:t>
            </w:r>
            <w:r>
              <w:rPr>
                <w:rFonts w:hint="eastAsia"/>
              </w:rPr>
              <w:t>.5</w:t>
            </w:r>
          </w:p>
        </w:tc>
        <w:tc>
          <w:tcPr>
            <w:tcW w:w="801" w:type="dxa"/>
            <w:vAlign w:val="center"/>
          </w:tcPr>
          <w:p>
            <w:pPr>
              <w:pStyle w:val="92"/>
            </w:pPr>
            <w:r>
              <w:rPr>
                <w:rFonts w:hint="eastAsia"/>
              </w:rPr>
              <w:t>6.5</w:t>
            </w:r>
          </w:p>
        </w:tc>
        <w:tc>
          <w:tcPr>
            <w:tcW w:w="799" w:type="dxa"/>
            <w:vAlign w:val="center"/>
          </w:tcPr>
          <w:p>
            <w:pPr>
              <w:pStyle w:val="92"/>
            </w:pPr>
          </w:p>
        </w:tc>
      </w:tr>
    </w:tbl>
    <w:p>
      <w:pPr>
        <w:ind w:firstLine="0" w:firstLineChars="0"/>
        <w:rPr>
          <w:highlight w:val="yellow"/>
        </w:rPr>
        <w:sectPr>
          <w:headerReference r:id="rId56" w:type="default"/>
          <w:headerReference r:id="rId57" w:type="even"/>
          <w:type w:val="oddPage"/>
          <w:pgSz w:w="11906" w:h="16838"/>
          <w:pgMar w:top="1440" w:right="1418" w:bottom="1440" w:left="1418" w:header="992" w:footer="992" w:gutter="0"/>
          <w:pgNumType w:fmt="numberInDash"/>
          <w:cols w:space="425" w:num="1"/>
          <w:docGrid w:type="lines" w:linePitch="326" w:charSpace="0"/>
        </w:sectPr>
      </w:pPr>
    </w:p>
    <w:p>
      <w:pPr>
        <w:pStyle w:val="2"/>
      </w:pPr>
      <w:bookmarkStart w:id="211" w:name="_Toc82502973"/>
      <w:bookmarkStart w:id="212" w:name="_Toc488102184"/>
      <w:r>
        <w:rPr>
          <w:rFonts w:hint="eastAsia"/>
        </w:rPr>
        <w:t>环境影响经济损益分析</w:t>
      </w:r>
      <w:bookmarkEnd w:id="211"/>
      <w:bookmarkEnd w:id="212"/>
    </w:p>
    <w:p>
      <w:pPr>
        <w:ind w:firstLine="480"/>
        <w:rPr>
          <w:kern w:val="0"/>
        </w:rPr>
      </w:pPr>
      <w:r>
        <w:rPr>
          <w:rFonts w:hint="eastAsia"/>
          <w:kern w:val="0"/>
        </w:rPr>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与半定量相结合的方法进行简要的分析。</w:t>
      </w:r>
    </w:p>
    <w:p>
      <w:pPr>
        <w:pStyle w:val="3"/>
      </w:pPr>
      <w:bookmarkStart w:id="213" w:name="_Toc82502974"/>
      <w:bookmarkStart w:id="214" w:name="_Toc488102185"/>
      <w:bookmarkStart w:id="215" w:name="_Toc387133347"/>
      <w:bookmarkStart w:id="216" w:name="_Toc8880"/>
      <w:bookmarkStart w:id="217" w:name="_Toc384552436"/>
      <w:bookmarkStart w:id="218" w:name="_Toc5296"/>
      <w:bookmarkStart w:id="219" w:name="_Toc30952"/>
      <w:bookmarkStart w:id="220" w:name="_Toc382810945"/>
      <w:r>
        <w:t>社会效益分析</w:t>
      </w:r>
      <w:bookmarkEnd w:id="213"/>
      <w:bookmarkEnd w:id="214"/>
      <w:bookmarkEnd w:id="215"/>
      <w:bookmarkEnd w:id="216"/>
      <w:bookmarkEnd w:id="217"/>
      <w:bookmarkEnd w:id="218"/>
      <w:bookmarkEnd w:id="219"/>
      <w:bookmarkEnd w:id="220"/>
    </w:p>
    <w:p>
      <w:pPr>
        <w:tabs>
          <w:tab w:val="left" w:pos="2709"/>
        </w:tabs>
        <w:ind w:firstLine="480"/>
      </w:pPr>
      <w:r>
        <w:rPr>
          <w:rFonts w:hint="eastAsia"/>
        </w:rPr>
        <w:t>项目的建设，</w:t>
      </w:r>
      <w:r>
        <w:t>将会促进我国</w:t>
      </w:r>
      <w:r>
        <w:rPr>
          <w:rFonts w:hint="eastAsia"/>
        </w:rPr>
        <w:t>黄姜皂素</w:t>
      </w:r>
      <w:r>
        <w:t>生产工业的发展，强化</w:t>
      </w:r>
      <w:r>
        <w:rPr>
          <w:rFonts w:hint="eastAsia"/>
        </w:rPr>
        <w:t>皂素</w:t>
      </w:r>
      <w:r>
        <w:t>提取</w:t>
      </w:r>
      <w:r>
        <w:rPr>
          <w:rFonts w:hint="eastAsia"/>
        </w:rPr>
        <w:t>工艺</w:t>
      </w:r>
      <w:r>
        <w:t>的技术升级，推进</w:t>
      </w:r>
      <w:r>
        <w:rPr>
          <w:rFonts w:hint="eastAsia"/>
        </w:rPr>
        <w:t>皂素</w:t>
      </w:r>
      <w:r>
        <w:t>提取精制技术现代化，带动和推进</w:t>
      </w:r>
      <w:r>
        <w:rPr>
          <w:rFonts w:hint="eastAsia"/>
        </w:rPr>
        <w:t>黄姜</w:t>
      </w:r>
      <w:r>
        <w:t>产业现代化的发展。同时，项目建成投产后，每年消耗大量的原辅材料</w:t>
      </w:r>
      <w:r>
        <w:rPr>
          <w:rFonts w:hint="eastAsia"/>
        </w:rPr>
        <w:t>黄姜</w:t>
      </w:r>
      <w:r>
        <w:t>，可推动地区</w:t>
      </w:r>
      <w:r>
        <w:rPr>
          <w:rFonts w:hint="eastAsia"/>
        </w:rPr>
        <w:t>种植业</w:t>
      </w:r>
      <w:r>
        <w:t>、交通运输和服务业的发展。项目的建设可向社会提供就业岗位和大量的间接就业机会，促进当地社会稳定，经济繁荣。综上所述，项目具有较大的社会效益。</w:t>
      </w:r>
    </w:p>
    <w:p>
      <w:pPr>
        <w:pStyle w:val="3"/>
      </w:pPr>
      <w:bookmarkStart w:id="221" w:name="_Toc468920661"/>
      <w:bookmarkStart w:id="222" w:name="_Toc488102187"/>
      <w:bookmarkStart w:id="223" w:name="_Toc82502975"/>
      <w:r>
        <w:t>环境效益分析</w:t>
      </w:r>
      <w:bookmarkEnd w:id="221"/>
      <w:bookmarkEnd w:id="222"/>
      <w:bookmarkEnd w:id="223"/>
    </w:p>
    <w:p>
      <w:pPr>
        <w:pStyle w:val="4"/>
      </w:pPr>
      <w:r>
        <w:rPr>
          <w:rFonts w:hint="eastAsia"/>
        </w:rPr>
        <w:t>环保</w:t>
      </w:r>
      <w:r>
        <w:t>投入分析</w:t>
      </w:r>
    </w:p>
    <w:p>
      <w:pPr>
        <w:pStyle w:val="87"/>
        <w:ind w:firstLine="480"/>
      </w:pPr>
      <w:r>
        <w:rPr>
          <w:rFonts w:hint="eastAsia"/>
        </w:rPr>
        <w:t>本项目环保投资总额（建设费用）共计</w:t>
      </w:r>
      <w:r>
        <w:t>114</w:t>
      </w:r>
      <w:r>
        <w:rPr>
          <w:rFonts w:hint="eastAsia"/>
        </w:rPr>
        <w:t>万元，工程总投资为</w:t>
      </w:r>
      <w:r>
        <w:t>10000万元</w:t>
      </w:r>
      <w:r>
        <w:rPr>
          <w:rFonts w:hint="eastAsia"/>
        </w:rPr>
        <w:t>。环保投入明细见表</w:t>
      </w:r>
      <w:r>
        <w:t>7.2-3</w:t>
      </w:r>
      <w:r>
        <w:rPr>
          <w:rFonts w:hint="eastAsia"/>
        </w:rPr>
        <w:t>。</w:t>
      </w:r>
    </w:p>
    <w:p>
      <w:pPr>
        <w:pStyle w:val="87"/>
        <w:ind w:firstLine="480"/>
      </w:pPr>
      <w:r>
        <w:rPr>
          <w:rFonts w:hint="eastAsia"/>
        </w:rPr>
        <w:t>（1）环保投资与基本建设投资的比例（HJ）</w:t>
      </w:r>
    </w:p>
    <w:p>
      <w:pPr>
        <w:pStyle w:val="87"/>
        <w:ind w:firstLine="480"/>
      </w:pPr>
      <m:oMathPara>
        <m:oMath>
          <m:r>
            <m:rPr>
              <m:nor/>
              <m:sty m:val="p"/>
            </m:rPr>
            <m:t>HJ=</m:t>
          </m:r>
          <m:f>
            <m:fPr>
              <m:ctrlPr>
                <w:rPr>
                  <w:rFonts w:ascii="Cambria Math" w:hAnsi="Cambria Math"/>
                </w:rPr>
              </m:ctrlPr>
            </m:fPr>
            <m:num>
              <m:r>
                <m:rPr>
                  <m:nor/>
                  <m:sty m:val="p"/>
                </m:rPr>
                <m:t>HT</m:t>
              </m:r>
              <m:ctrlPr>
                <w:rPr>
                  <w:rFonts w:ascii="Cambria Math" w:hAnsi="Cambria Math"/>
                </w:rPr>
              </m:ctrlPr>
            </m:num>
            <m:den>
              <m:r>
                <m:rPr>
                  <m:nor/>
                  <m:sty m:val="p"/>
                </m:rPr>
                <m:t>JT</m:t>
              </m:r>
              <m:ctrlPr>
                <w:rPr>
                  <w:rFonts w:ascii="Cambria Math" w:hAnsi="Cambria Math"/>
                </w:rPr>
              </m:ctrlPr>
            </m:den>
          </m:f>
          <m:r>
            <m:rPr>
              <m:nor/>
              <m:sty m:val="p"/>
            </m:rPr>
            <m:t>×100%</m:t>
          </m:r>
        </m:oMath>
      </m:oMathPara>
    </w:p>
    <w:p>
      <w:pPr>
        <w:pStyle w:val="87"/>
        <w:ind w:firstLine="480"/>
      </w:pPr>
      <w:r>
        <w:rPr>
          <w:rFonts w:hint="eastAsia"/>
        </w:rPr>
        <w:t>式中：HT——环保建设投资，万元；</w:t>
      </w:r>
    </w:p>
    <w:p>
      <w:pPr>
        <w:pStyle w:val="87"/>
        <w:ind w:firstLine="480"/>
      </w:pPr>
      <w:r>
        <w:rPr>
          <w:rFonts w:hint="eastAsia"/>
        </w:rPr>
        <w:t>JT——基本建设投资，万元。</w:t>
      </w:r>
    </w:p>
    <w:p>
      <w:pPr>
        <w:pStyle w:val="87"/>
        <w:ind w:firstLine="480"/>
      </w:pPr>
      <w:r>
        <w:rPr>
          <w:rFonts w:hint="eastAsia"/>
        </w:rPr>
        <w:t>本项目基本建设投资</w:t>
      </w:r>
      <w:r>
        <w:t>10000万元</w:t>
      </w:r>
      <w:r>
        <w:rPr>
          <w:rFonts w:hint="eastAsia"/>
        </w:rPr>
        <w:t>，其中环保投资</w:t>
      </w:r>
      <w:r>
        <w:t>114</w:t>
      </w:r>
      <w:r>
        <w:rPr>
          <w:rFonts w:hint="eastAsia"/>
        </w:rPr>
        <w:t>万元，故HJ为</w:t>
      </w:r>
      <w:r>
        <w:t>1.14</w:t>
      </w:r>
      <w:r>
        <w:rPr>
          <w:rFonts w:hint="eastAsia"/>
        </w:rPr>
        <w:t>%。</w:t>
      </w:r>
    </w:p>
    <w:p>
      <w:pPr>
        <w:pStyle w:val="87"/>
        <w:ind w:firstLine="480"/>
      </w:pPr>
      <w:r>
        <w:rPr>
          <w:rFonts w:hint="eastAsia"/>
        </w:rPr>
        <w:t>（2）投产后环保费用</w:t>
      </w:r>
    </w:p>
    <w:p>
      <w:pPr>
        <w:pStyle w:val="87"/>
        <w:ind w:firstLine="480"/>
      </w:pPr>
      <w:r>
        <w:rPr>
          <w:rFonts w:hint="eastAsia"/>
        </w:rPr>
        <w:t>项目投产后的环保费用采用下面公式来估算：</w:t>
      </w:r>
    </w:p>
    <w:p>
      <w:pPr>
        <w:pStyle w:val="87"/>
        <w:ind w:firstLine="480"/>
        <w:rPr>
          <w:rFonts w:cs="Times New Roman"/>
          <w:i/>
        </w:rPr>
      </w:pPr>
      <m:oMathPara>
        <m:oMath>
          <m:r>
            <w:rPr>
              <w:rFonts w:ascii="Cambria Math" w:hAnsi="Cambria Math" w:cs="Times New Roman"/>
            </w:rPr>
            <m:t>HF=</m:t>
          </m:r>
          <m:nary>
            <m:naryPr>
              <m:chr m:val="∑"/>
              <m:ctrlPr>
                <w:rPr>
                  <w:rFonts w:ascii="Cambria Math" w:hAnsi="Cambria Math" w:cs="Times New Roman"/>
                  <w:i/>
                </w:rPr>
              </m:ctrlPr>
            </m:naryPr>
            <m:sub>
              <m:r>
                <w:rPr>
                  <w:rFonts w:ascii="Cambria Math" w:hAnsi="Cambria Math" w:cs="Times New Roman"/>
                </w:rPr>
                <m:t>i=0</m:t>
              </m:r>
              <m:ctrlPr>
                <w:rPr>
                  <w:rFonts w:ascii="Cambria Math" w:hAnsi="Cambria Math" w:cs="Times New Roman"/>
                  <w:i/>
                </w:rPr>
              </m:ctrlPr>
            </m:sub>
            <m:sup>
              <m:r>
                <w:rPr>
                  <w:rFonts w:ascii="Cambria Math" w:hAnsi="Cambria Math" w:cs="Times New Roman"/>
                </w:rPr>
                <m:t>n</m:t>
              </m:r>
              <m:ctrlPr>
                <w:rPr>
                  <w:rFonts w:ascii="Cambria Math" w:hAnsi="Cambria Math" w:cs="Times New Roman"/>
                  <w:i/>
                </w:rPr>
              </m:ctrlPr>
            </m:sup>
            <m:e>
              <m:r>
                <w:rPr>
                  <w:rFonts w:ascii="Cambria Math" w:hAnsi="Cambria Math" w:cs="Times New Roman"/>
                </w:rPr>
                <m:t>CH+</m:t>
              </m:r>
              <m:nary>
                <m:naryPr>
                  <m:chr m:val="∑"/>
                  <m:ctrlPr>
                    <w:rPr>
                      <w:rFonts w:ascii="Cambria Math" w:hAnsi="Cambria Math" w:cs="Times New Roman"/>
                    </w:rPr>
                  </m:ctrlPr>
                </m:naryPr>
                <m:sub>
                  <m:r>
                    <m:rPr>
                      <m:nor/>
                      <m:sty m:val="p"/>
                    </m:rPr>
                    <w:rPr>
                      <w:rFonts w:cs="Times New Roman"/>
                    </w:rPr>
                    <m:t>k=1</m:t>
                  </m:r>
                  <m:ctrlPr>
                    <w:rPr>
                      <w:rFonts w:ascii="Cambria Math" w:hAnsi="Cambria Math" w:cs="Times New Roman"/>
                    </w:rPr>
                  </m:ctrlPr>
                </m:sub>
                <m:sup>
                  <m:r>
                    <m:rPr>
                      <m:nor/>
                      <m:sty m:val="p"/>
                    </m:rPr>
                    <w:rPr>
                      <w:rFonts w:cs="Times New Roman"/>
                    </w:rPr>
                    <m:t>m</m:t>
                  </m:r>
                  <m:ctrlPr>
                    <w:rPr>
                      <w:rFonts w:ascii="Cambria Math" w:hAnsi="Cambria Math" w:cs="Times New Roman"/>
                    </w:rPr>
                  </m:ctrlPr>
                </m:sup>
                <m:e>
                  <m:r>
                    <m:rPr>
                      <m:nor/>
                    </m:rPr>
                    <w:rPr>
                      <w:rFonts w:cs="Times New Roman"/>
                      <w:i/>
                    </w:rPr>
                    <m:t>J</m:t>
                  </m:r>
                  <m:ctrlPr>
                    <w:rPr>
                      <w:rFonts w:ascii="Cambria Math" w:hAnsi="Cambria Math" w:cs="Times New Roman"/>
                    </w:rPr>
                  </m:ctrlPr>
                </m:e>
              </m:nary>
              <m:ctrlPr>
                <w:rPr>
                  <w:rFonts w:ascii="Cambria Math" w:hAnsi="Cambria Math" w:cs="Times New Roman"/>
                  <w:i/>
                </w:rPr>
              </m:ctrlPr>
            </m:e>
          </m:nary>
        </m:oMath>
      </m:oMathPara>
    </w:p>
    <w:p>
      <w:pPr>
        <w:pStyle w:val="87"/>
        <w:ind w:firstLine="480"/>
      </w:pPr>
      <w:r>
        <w:rPr>
          <w:rFonts w:hint="eastAsia"/>
        </w:rPr>
        <w:t>式中：CH——“三废”处理成本费，包括“三废”处理材料、运行费，万元/年；</w:t>
      </w:r>
    </w:p>
    <w:p>
      <w:pPr>
        <w:pStyle w:val="87"/>
        <w:ind w:firstLine="480"/>
      </w:pPr>
      <w:r>
        <w:rPr>
          <w:rFonts w:hint="eastAsia"/>
        </w:rPr>
        <w:t>J——“三废”处理车间经费，包括每年环保设备维修、管理、折旧费，技术措施及其他不可预见费，万元/年；</w:t>
      </w:r>
    </w:p>
    <w:p>
      <w:pPr>
        <w:pStyle w:val="87"/>
        <w:ind w:firstLine="480"/>
      </w:pPr>
      <w:r>
        <w:rPr>
          <w:rFonts w:hint="eastAsia"/>
        </w:rPr>
        <w:t>i——成本费用的项目数；</w:t>
      </w:r>
    </w:p>
    <w:p>
      <w:pPr>
        <w:pStyle w:val="87"/>
        <w:ind w:firstLine="480"/>
      </w:pPr>
      <w:r>
        <w:rPr>
          <w:rFonts w:hint="eastAsia"/>
        </w:rPr>
        <w:t>k——车间经费的项目数。</w:t>
      </w:r>
    </w:p>
    <w:p>
      <w:pPr>
        <w:pStyle w:val="87"/>
        <w:ind w:firstLine="480"/>
      </w:pPr>
      <w:r>
        <w:rPr>
          <w:rFonts w:hint="eastAsia"/>
        </w:rPr>
        <w:t>根据估算：</w:t>
      </w:r>
    </w:p>
    <w:p>
      <w:pPr>
        <w:pStyle w:val="87"/>
        <w:ind w:firstLine="480"/>
      </w:pPr>
      <w:r>
        <w:rPr>
          <w:rFonts w:hint="eastAsia"/>
        </w:rPr>
        <w:t>①项目每年用于“三废”治理的费用按环保投资费用的8%计，则总的CH 为</w:t>
      </w:r>
      <w:r>
        <w:t>9.12</w:t>
      </w:r>
      <w:r>
        <w:rPr>
          <w:rFonts w:hint="eastAsia"/>
        </w:rPr>
        <w:t>万元/年；</w:t>
      </w:r>
    </w:p>
    <w:p>
      <w:pPr>
        <w:pStyle w:val="87"/>
        <w:ind w:firstLine="480"/>
      </w:pPr>
      <w:r>
        <w:rPr>
          <w:rFonts w:hint="eastAsia"/>
        </w:rPr>
        <w:t>②根据环投入分析，环保设备维修、管理费用按1</w:t>
      </w:r>
      <w:r>
        <w:t>9.5</w:t>
      </w:r>
      <w:r>
        <w:rPr>
          <w:rFonts w:hint="eastAsia"/>
        </w:rPr>
        <w:t>万元/年计；环保设备折旧年限为10年，残值率按5%计算，则折旧费用为1.</w:t>
      </w:r>
      <w:r>
        <w:t>85</w:t>
      </w:r>
      <w:r>
        <w:rPr>
          <w:rFonts w:hint="eastAsia"/>
        </w:rPr>
        <w:t>万元/年；技术措施及其费用</w:t>
      </w:r>
      <w:r>
        <w:t>6.5</w:t>
      </w:r>
      <w:r>
        <w:rPr>
          <w:rFonts w:hint="eastAsia"/>
        </w:rPr>
        <w:t>万元/年，故J=</w:t>
      </w:r>
      <w:r>
        <w:t>8.35</w:t>
      </w:r>
      <w:r>
        <w:rPr>
          <w:rFonts w:hint="eastAsia"/>
        </w:rPr>
        <w:t>万元/年。</w:t>
      </w:r>
    </w:p>
    <w:p>
      <w:pPr>
        <w:pStyle w:val="87"/>
        <w:ind w:firstLine="480"/>
      </w:pPr>
      <w:r>
        <w:rPr>
          <w:rFonts w:hint="eastAsia"/>
        </w:rPr>
        <w:t>其中：折旧率按等值折旧计算其折旧费为</w:t>
      </w:r>
    </w:p>
    <w:p>
      <w:pPr>
        <w:pStyle w:val="87"/>
        <w:ind w:firstLine="480"/>
      </w:pPr>
      <w:r>
        <w:t>C1=α(1-β)/n</w:t>
      </w:r>
    </w:p>
    <w:p>
      <w:pPr>
        <w:pStyle w:val="87"/>
        <w:ind w:firstLine="480"/>
      </w:pPr>
      <w:r>
        <w:rPr>
          <w:rFonts w:hint="eastAsia"/>
        </w:rPr>
        <w:t>式中：α—环保设备投资费用；</w:t>
      </w:r>
    </w:p>
    <w:p>
      <w:pPr>
        <w:pStyle w:val="87"/>
        <w:ind w:firstLine="480"/>
      </w:pPr>
      <w:r>
        <w:t>β—</w:t>
      </w:r>
      <w:r>
        <w:rPr>
          <w:rFonts w:hint="eastAsia"/>
        </w:rPr>
        <w:t>残值率（按</w:t>
      </w:r>
      <w:r>
        <w:t>5%</w:t>
      </w:r>
      <w:r>
        <w:rPr>
          <w:rFonts w:hint="eastAsia"/>
        </w:rPr>
        <w:t>），</w:t>
      </w:r>
    </w:p>
    <w:p>
      <w:pPr>
        <w:pStyle w:val="87"/>
        <w:ind w:firstLine="480"/>
      </w:pPr>
      <w:r>
        <w:rPr>
          <w:rFonts w:hint="eastAsia"/>
        </w:rPr>
        <w:t>n—设备折旧年限。</w:t>
      </w:r>
    </w:p>
    <w:p>
      <w:pPr>
        <w:pStyle w:val="87"/>
        <w:ind w:firstLine="480"/>
      </w:pPr>
      <w:r>
        <w:rPr>
          <w:rFonts w:hint="eastAsia"/>
        </w:rPr>
        <w:t>投产后的年环保费用总计为HF=</w:t>
      </w:r>
      <w:r>
        <w:t>17.47</w:t>
      </w:r>
      <w:r>
        <w:rPr>
          <w:rFonts w:hint="eastAsia"/>
        </w:rPr>
        <w:t>万元。</w:t>
      </w:r>
    </w:p>
    <w:p>
      <w:pPr>
        <w:pStyle w:val="4"/>
      </w:pPr>
      <w:r>
        <w:rPr>
          <w:rFonts w:hint="eastAsia"/>
        </w:rPr>
        <w:t>环境</w:t>
      </w:r>
      <w:r>
        <w:t>保护费用分析</w:t>
      </w:r>
    </w:p>
    <w:p>
      <w:pPr>
        <w:pStyle w:val="87"/>
        <w:ind w:firstLine="480"/>
      </w:pPr>
      <w:r>
        <w:rPr>
          <w:rFonts w:hint="eastAsia"/>
        </w:rPr>
        <w:t>环境保护费用一般分为外部费用和内部费用，用下式表示：</w:t>
      </w:r>
    </w:p>
    <w:p>
      <w:pPr>
        <w:pStyle w:val="87"/>
        <w:ind w:firstLine="480"/>
        <w:jc w:val="center"/>
      </w:pPr>
      <w:r>
        <w:rPr>
          <w:rFonts w:hint="eastAsia"/>
        </w:rPr>
        <w:t>Et＝Et（O）＋Et（I）</w:t>
      </w:r>
    </w:p>
    <w:p>
      <w:pPr>
        <w:pStyle w:val="87"/>
        <w:ind w:firstLine="480"/>
      </w:pPr>
      <w:r>
        <w:rPr>
          <w:rFonts w:hint="eastAsia"/>
        </w:rPr>
        <w:t>式中：Et—环境保护费用；</w:t>
      </w:r>
    </w:p>
    <w:p>
      <w:pPr>
        <w:pStyle w:val="87"/>
        <w:ind w:firstLine="600" w:firstLineChars="250"/>
      </w:pPr>
      <w:r>
        <w:rPr>
          <w:rFonts w:hint="eastAsia"/>
        </w:rPr>
        <w:t>Et（O）—环境保护外部费用；</w:t>
      </w:r>
    </w:p>
    <w:p>
      <w:pPr>
        <w:pStyle w:val="87"/>
        <w:ind w:firstLine="480"/>
      </w:pPr>
      <w:r>
        <w:rPr>
          <w:rFonts w:hint="eastAsia"/>
        </w:rPr>
        <w:t>Et（I）—环境保护内部费用。</w:t>
      </w:r>
    </w:p>
    <w:p>
      <w:pPr>
        <w:pStyle w:val="87"/>
        <w:ind w:firstLine="480"/>
      </w:pPr>
      <w:r>
        <w:rPr>
          <w:rFonts w:hint="eastAsia"/>
        </w:rPr>
        <w:t>（1）环境保护外部费用的确定与估算</w:t>
      </w:r>
    </w:p>
    <w:p>
      <w:pPr>
        <w:pStyle w:val="87"/>
        <w:ind w:firstLine="480"/>
      </w:pPr>
      <w:r>
        <w:rPr>
          <w:rFonts w:hint="eastAsia"/>
        </w:rPr>
        <w:t>环境保护外部费用主要指建设项目为减缓其对周围环境或人群健康损害所付的费用。就项目而言，不存在这部分费用。</w:t>
      </w:r>
    </w:p>
    <w:p>
      <w:pPr>
        <w:pStyle w:val="87"/>
        <w:ind w:firstLine="480"/>
      </w:pPr>
      <w:r>
        <w:rPr>
          <w:rFonts w:hint="eastAsia"/>
        </w:rPr>
        <w:t>（2）环境保护内部费用确定与估算</w:t>
      </w:r>
    </w:p>
    <w:p>
      <w:pPr>
        <w:pStyle w:val="87"/>
        <w:ind w:firstLine="480"/>
      </w:pPr>
      <w:r>
        <w:rPr>
          <w:rFonts w:hint="eastAsia"/>
        </w:rPr>
        <w:t>内部费用是指项目运行过程中，建设单位为了防止环境污染而付出的环境保护费用，由基本建设费和运行费两部分构成。</w:t>
      </w:r>
    </w:p>
    <w:p>
      <w:pPr>
        <w:pStyle w:val="87"/>
        <w:ind w:firstLine="480"/>
      </w:pPr>
      <w:r>
        <w:rPr>
          <w:rFonts w:hint="eastAsia"/>
        </w:rPr>
        <w:t>环境保护基本建设费用即为环保工程费用，根据表</w:t>
      </w:r>
      <w:r>
        <w:t>7.2</w:t>
      </w:r>
      <w:r>
        <w:rPr>
          <w:rFonts w:hint="eastAsia"/>
        </w:rPr>
        <w:t>-3 可知，本项目各类环保基本费用</w:t>
      </w:r>
      <w:r>
        <w:t>为114</w:t>
      </w:r>
      <w:r>
        <w:rPr>
          <w:rFonts w:hint="eastAsia"/>
        </w:rPr>
        <w:t>万元</w:t>
      </w:r>
      <w:r>
        <w:t>，</w:t>
      </w:r>
      <w:r>
        <w:rPr>
          <w:rFonts w:hint="eastAsia"/>
        </w:rPr>
        <w:t>使用期按</w:t>
      </w:r>
      <w:r>
        <w:t xml:space="preserve">30 </w:t>
      </w:r>
      <w:r>
        <w:rPr>
          <w:rFonts w:hint="eastAsia"/>
        </w:rPr>
        <w:t>年计，则每年投入的环境保护基本建设费用为</w:t>
      </w:r>
      <w:r>
        <w:t>3.8</w:t>
      </w:r>
      <w:r>
        <w:rPr>
          <w:rFonts w:hint="eastAsia"/>
        </w:rPr>
        <w:t>万元</w:t>
      </w:r>
      <w:r>
        <w:t>/</w:t>
      </w:r>
      <w:r>
        <w:rPr>
          <w:rFonts w:hint="eastAsia"/>
        </w:rPr>
        <w:t>年。运行费用指企业各项环保工程、绿化、环保监测和管理等环境保护工程的运行、管理费用。按生产要素计算，运行费用主要由各项环保工程的折旧费、设备大修费、耗电费、材料消耗费、人员工资及福利费、设备维护费、运输费和管理费等，企业环保工程运行费用为</w:t>
      </w:r>
      <w:r>
        <w:t>9</w:t>
      </w:r>
      <w:r>
        <w:rPr>
          <w:rFonts w:hint="eastAsia"/>
        </w:rPr>
        <w:t>万元</w:t>
      </w:r>
      <w:r>
        <w:t>/</w:t>
      </w:r>
      <w:r>
        <w:rPr>
          <w:rFonts w:hint="eastAsia"/>
        </w:rPr>
        <w:t>年。</w:t>
      </w:r>
    </w:p>
    <w:p>
      <w:pPr>
        <w:pStyle w:val="87"/>
        <w:ind w:firstLine="480"/>
      </w:pPr>
      <w:r>
        <w:rPr>
          <w:rFonts w:hint="eastAsia"/>
        </w:rPr>
        <w:t>综上</w:t>
      </w:r>
      <w:r>
        <w:t>，项目</w:t>
      </w:r>
      <w:r>
        <w:rPr>
          <w:rFonts w:hint="eastAsia"/>
        </w:rPr>
        <w:t>环</w:t>
      </w:r>
      <w:r>
        <w:t>境保护费用</w:t>
      </w:r>
      <w:r>
        <w:rPr>
          <w:rFonts w:hint="eastAsia"/>
        </w:rPr>
        <w:t>为</w:t>
      </w:r>
      <w:r>
        <w:t>12.8</w:t>
      </w:r>
      <w:r>
        <w:rPr>
          <w:rFonts w:hint="eastAsia"/>
        </w:rPr>
        <w:t>万元/年。</w:t>
      </w:r>
    </w:p>
    <w:p>
      <w:pPr>
        <w:pStyle w:val="4"/>
      </w:pPr>
      <w:r>
        <w:rPr>
          <w:rFonts w:hint="eastAsia"/>
        </w:rPr>
        <w:t>环境</w:t>
      </w:r>
      <w:r>
        <w:t>污染损失分析</w:t>
      </w:r>
    </w:p>
    <w:p>
      <w:pPr>
        <w:pStyle w:val="87"/>
        <w:ind w:firstLine="480"/>
      </w:pPr>
      <w:r>
        <w:rPr>
          <w:rFonts w:hint="eastAsia"/>
        </w:rPr>
        <w:t>环境污染损失分析以经济形势反映出来，根据“三废”排放对环境造成的一切损失来确定的，其主要包括三个方面，可用下式表示：</w:t>
      </w:r>
    </w:p>
    <w:p>
      <w:pPr>
        <w:pStyle w:val="87"/>
        <w:ind w:firstLine="480"/>
      </w:pPr>
      <w:r>
        <w:t>WS=A+B+C</w:t>
      </w:r>
    </w:p>
    <w:p>
      <w:pPr>
        <w:pStyle w:val="87"/>
        <w:ind w:firstLine="480"/>
      </w:pPr>
      <w:r>
        <w:rPr>
          <w:rFonts w:hint="eastAsia"/>
        </w:rPr>
        <w:t>式中：WS——环境污染损失；</w:t>
      </w:r>
    </w:p>
    <w:p>
      <w:pPr>
        <w:pStyle w:val="87"/>
        <w:ind w:firstLine="480"/>
      </w:pPr>
      <w:r>
        <w:rPr>
          <w:rFonts w:hint="eastAsia"/>
        </w:rPr>
        <w:t>A——为资源和能源流失价值；</w:t>
      </w:r>
    </w:p>
    <w:p>
      <w:pPr>
        <w:pStyle w:val="87"/>
        <w:ind w:firstLine="480"/>
      </w:pPr>
      <w:r>
        <w:rPr>
          <w:rFonts w:hint="eastAsia"/>
        </w:rPr>
        <w:t>B——对污染物对周期环境生产和生活资料造成的损失；</w:t>
      </w:r>
    </w:p>
    <w:p>
      <w:pPr>
        <w:pStyle w:val="87"/>
        <w:ind w:firstLine="480"/>
      </w:pPr>
      <w:r>
        <w:rPr>
          <w:rFonts w:hint="eastAsia"/>
        </w:rPr>
        <w:t>C——各种污染物为对人群、动植物造成的损失。</w:t>
      </w:r>
    </w:p>
    <w:p>
      <w:pPr>
        <w:pStyle w:val="87"/>
        <w:ind w:firstLine="480"/>
      </w:pPr>
      <w:r>
        <w:rPr>
          <w:rFonts w:hint="eastAsia"/>
        </w:rPr>
        <w:t>①资源和能源流失代价（A）</w:t>
      </w:r>
    </w:p>
    <w:p>
      <w:pPr>
        <w:pStyle w:val="87"/>
        <w:ind w:firstLine="480"/>
      </w:pPr>
      <w:r>
        <w:rPr>
          <w:rFonts w:hint="eastAsia"/>
        </w:rPr>
        <w:t>资源和能源流失价值，是指因外运、装卸、风蚀、雨蚀等原因导致资源流失，本项目由于采取了完善的防治措施，因此资源流失很少，在此可以忽略不计，即A=0。</w:t>
      </w:r>
    </w:p>
    <w:p>
      <w:pPr>
        <w:pStyle w:val="87"/>
        <w:ind w:firstLine="480"/>
      </w:pPr>
      <w:r>
        <w:rPr>
          <w:rFonts w:hint="eastAsia"/>
        </w:rPr>
        <w:t>②生产生活资料损失代价（B）</w:t>
      </w:r>
    </w:p>
    <w:p>
      <w:pPr>
        <w:pStyle w:val="87"/>
        <w:ind w:firstLine="480"/>
      </w:pPr>
      <w:r>
        <w:rPr>
          <w:rFonts w:hint="eastAsia"/>
        </w:rPr>
        <w:t>污染物对周围环境中生产和生活资料的损失费用以罚款的形式表现，为防治污染，本项目在建设的同时也采取了合理有效的环保措施，使项目投产后的“三废”排放达到国家标准，故不考虑此费用，即B=0。</w:t>
      </w:r>
    </w:p>
    <w:p>
      <w:pPr>
        <w:pStyle w:val="87"/>
        <w:ind w:firstLine="480"/>
      </w:pPr>
      <w:r>
        <w:rPr>
          <w:rFonts w:hint="eastAsia"/>
        </w:rPr>
        <w:t>③人群损失（C）</w:t>
      </w:r>
    </w:p>
    <w:p>
      <w:pPr>
        <w:pStyle w:val="87"/>
        <w:ind w:firstLine="480"/>
      </w:pPr>
      <w:r>
        <w:rPr>
          <w:rFonts w:hint="eastAsia"/>
        </w:rPr>
        <w:t>由本次评价对环境要素影响的评价结论，结合当地自然、社会环境现状可以看出，按照本环评报告规定的环保措施实施后，本项目的污染排放会得到有效的控制，可以做到达标排放，对环境的污染较小，同时也注意了职工的劳动安全、工业卫生，故此处不考虑环境污染对职工和周围人群健康的影响，即C=0。</w:t>
      </w:r>
    </w:p>
    <w:p>
      <w:pPr>
        <w:pStyle w:val="87"/>
        <w:ind w:firstLine="480"/>
      </w:pPr>
      <w:r>
        <w:rPr>
          <w:rFonts w:hint="eastAsia"/>
        </w:rPr>
        <w:t>综上所述，项目的年污染损失（WS）可不予考虑，WS=0。</w:t>
      </w:r>
    </w:p>
    <w:p>
      <w:pPr>
        <w:pStyle w:val="4"/>
      </w:pPr>
      <w:r>
        <w:rPr>
          <w:rFonts w:hint="eastAsia"/>
        </w:rPr>
        <w:t>经济</w:t>
      </w:r>
      <w:r>
        <w:t>损益分析</w:t>
      </w:r>
    </w:p>
    <w:p>
      <w:pPr>
        <w:pStyle w:val="87"/>
        <w:ind w:firstLine="480"/>
      </w:pPr>
      <w:r>
        <w:rPr>
          <w:rFonts w:hint="eastAsia"/>
        </w:rPr>
        <w:t>环境代价是指为了减少或者消除因从环境中获取生产、生活所必须的物质资料，改变环境的状况所付出的经济代价。</w:t>
      </w:r>
    </w:p>
    <w:p>
      <w:pPr>
        <w:pStyle w:val="87"/>
        <w:ind w:firstLine="480"/>
      </w:pPr>
      <w:r>
        <w:rPr>
          <w:rFonts w:hint="eastAsia"/>
        </w:rPr>
        <w:t>环境代价是由两部分组成：直接代价和间接代价。直接代价指为消除项目建设所造成的环境危害必须付出的代价，间接代价指项目建设对所在地的损失和为消除这些不良影响所付出的代价，即</w:t>
      </w:r>
    </w:p>
    <w:p>
      <w:pPr>
        <w:pStyle w:val="87"/>
        <w:ind w:firstLine="480"/>
        <w:jc w:val="center"/>
      </w:pPr>
      <w:r>
        <w:t>Hd=Pd+Pid</w:t>
      </w:r>
    </w:p>
    <w:p>
      <w:pPr>
        <w:pStyle w:val="87"/>
        <w:ind w:firstLine="480"/>
      </w:pPr>
      <w:r>
        <w:rPr>
          <w:rFonts w:hint="eastAsia"/>
        </w:rPr>
        <w:t>式中：Hd—环境代价，万元；</w:t>
      </w:r>
    </w:p>
    <w:p>
      <w:pPr>
        <w:pStyle w:val="87"/>
        <w:ind w:firstLine="480"/>
      </w:pPr>
      <w:r>
        <w:rPr>
          <w:rFonts w:hint="eastAsia"/>
        </w:rPr>
        <w:t>Pd—开发项目的直接代价，万元；</w:t>
      </w:r>
    </w:p>
    <w:p>
      <w:pPr>
        <w:pStyle w:val="87"/>
        <w:ind w:firstLine="480"/>
      </w:pPr>
      <w:r>
        <w:rPr>
          <w:rFonts w:hint="eastAsia"/>
        </w:rPr>
        <w:t>Pid—开发项目的间接代价，万元；</w:t>
      </w:r>
    </w:p>
    <w:p>
      <w:pPr>
        <w:pStyle w:val="87"/>
        <w:ind w:firstLine="480"/>
      </w:pPr>
      <w:r>
        <w:rPr>
          <w:rFonts w:hint="eastAsia"/>
        </w:rPr>
        <w:t>本项目的直接代价为防治因生产过程中所造成的污染而投入的年环保投资费用，为</w:t>
      </w:r>
      <w:r>
        <w:t>3.8</w:t>
      </w:r>
      <w:r>
        <w:rPr>
          <w:rFonts w:hint="eastAsia"/>
        </w:rPr>
        <w:t>万元/年；间接代价不计。故项目的环境代价为</w:t>
      </w:r>
      <w:r>
        <w:t>3.8</w:t>
      </w:r>
      <w:r>
        <w:rPr>
          <w:rFonts w:hint="eastAsia"/>
        </w:rPr>
        <w:t>元。</w:t>
      </w:r>
    </w:p>
    <w:p>
      <w:pPr>
        <w:pStyle w:val="87"/>
        <w:ind w:firstLine="480"/>
      </w:pPr>
      <w:r>
        <w:rPr>
          <w:rFonts w:hint="eastAsia"/>
        </w:rPr>
        <w:t>从计算结果看，项目环境成本较低。</w:t>
      </w:r>
    </w:p>
    <w:p>
      <w:pPr>
        <w:pStyle w:val="3"/>
      </w:pPr>
      <w:bookmarkStart w:id="224" w:name="_Toc393444739"/>
      <w:bookmarkStart w:id="225" w:name="_Toc406942441"/>
      <w:bookmarkStart w:id="226" w:name="_Toc8707"/>
      <w:bookmarkStart w:id="227" w:name="_Toc12586"/>
      <w:bookmarkStart w:id="228" w:name="_Toc82502976"/>
      <w:bookmarkStart w:id="229" w:name="_Toc1805"/>
      <w:bookmarkStart w:id="230" w:name="_Toc357926856"/>
      <w:bookmarkStart w:id="231" w:name="_Toc396228241"/>
      <w:bookmarkStart w:id="232" w:name="_Toc488102189"/>
      <w:r>
        <w:t>小结</w:t>
      </w:r>
      <w:bookmarkEnd w:id="224"/>
      <w:bookmarkEnd w:id="225"/>
      <w:bookmarkEnd w:id="226"/>
      <w:bookmarkEnd w:id="227"/>
      <w:bookmarkEnd w:id="228"/>
      <w:bookmarkEnd w:id="229"/>
      <w:bookmarkEnd w:id="230"/>
      <w:bookmarkEnd w:id="231"/>
      <w:bookmarkEnd w:id="232"/>
    </w:p>
    <w:p>
      <w:pPr>
        <w:ind w:firstLine="480"/>
        <w:rPr>
          <w:kern w:val="0"/>
        </w:rPr>
      </w:pPr>
      <w:r>
        <w:rPr>
          <w:rFonts w:hint="eastAsia"/>
          <w:kern w:val="0"/>
        </w:rPr>
        <w:t>本项目生产过程中采取的废气、废水、固废及噪声治理等措施后，大幅度降低项目污染物排放量，减轻各种污染物排放对环境和人体健康的不利影响。可见，项目各项环保工程的投资和运行，对于三废污染防治和综合利用方面是有益的。这项投资是必要的、有效的，可取得一定的环境效益。</w:t>
      </w:r>
      <w:r>
        <w:rPr>
          <w:kern w:val="0"/>
        </w:rPr>
        <w:t>项目的经济效益、社会效益、</w:t>
      </w:r>
      <w:r>
        <w:rPr>
          <w:rFonts w:hint="eastAsia"/>
          <w:kern w:val="0"/>
        </w:rPr>
        <w:t>环境</w:t>
      </w:r>
      <w:r>
        <w:rPr>
          <w:kern w:val="0"/>
        </w:rPr>
        <w:t>效益显著，市场前景良好</w:t>
      </w:r>
      <w:r>
        <w:rPr>
          <w:rFonts w:hint="eastAsia"/>
          <w:kern w:val="0"/>
        </w:rPr>
        <w:t>。从环境经济损益分析角度分析，该项目是可行的。</w:t>
      </w:r>
    </w:p>
    <w:p>
      <w:pPr>
        <w:ind w:firstLine="480"/>
        <w:rPr>
          <w:kern w:val="0"/>
        </w:rPr>
        <w:sectPr>
          <w:headerReference r:id="rId58" w:type="default"/>
          <w:headerReference r:id="rId59" w:type="even"/>
          <w:type w:val="oddPage"/>
          <w:pgSz w:w="11906" w:h="16838"/>
          <w:pgMar w:top="1440" w:right="1418" w:bottom="1440" w:left="1418" w:header="992" w:footer="992" w:gutter="0"/>
          <w:pgNumType w:fmt="numberInDash"/>
          <w:cols w:space="425" w:num="1"/>
          <w:docGrid w:type="lines" w:linePitch="326" w:charSpace="0"/>
        </w:sectPr>
      </w:pPr>
    </w:p>
    <w:p>
      <w:pPr>
        <w:pStyle w:val="2"/>
      </w:pPr>
      <w:bookmarkStart w:id="233" w:name="_Toc488102190"/>
      <w:bookmarkStart w:id="234" w:name="_Toc82502977"/>
      <w:r>
        <w:rPr>
          <w:rFonts w:hint="eastAsia"/>
        </w:rPr>
        <w:t>环境管理与监测计划</w:t>
      </w:r>
      <w:bookmarkEnd w:id="233"/>
      <w:bookmarkEnd w:id="234"/>
    </w:p>
    <w:p>
      <w:pPr>
        <w:ind w:firstLine="480"/>
        <w:rPr>
          <w:kern w:val="0"/>
          <w:u w:color="000000"/>
        </w:rPr>
      </w:pPr>
      <w:r>
        <w:rPr>
          <w:rFonts w:hint="eastAsia"/>
          <w:kern w:val="0"/>
          <w:u w:color="000000"/>
        </w:rPr>
        <w:t>环境管理与环境监测是企业环境保护工作的重要组成部分，环境管理是减轻企业本身排污，节省资源能源，取得良好环境效益的有效办法。环境监测是查清企业排放污染物的浓度、数量、排放去向、污染范围、危害程度的有力措施。建设单位应在加强环境管理的同时，定期进行环境监测，以便及时了解工程在不同时期的环境影响，采取相应措施，消除不利因素，减轻环境污染，以实现预定的各项环保目标。</w:t>
      </w:r>
    </w:p>
    <w:p>
      <w:pPr>
        <w:pStyle w:val="3"/>
        <w:rPr>
          <w:u w:color="000000"/>
        </w:rPr>
      </w:pPr>
      <w:bookmarkStart w:id="235" w:name="_Toc357926858"/>
      <w:bookmarkStart w:id="236" w:name="_Toc384552446"/>
      <w:bookmarkStart w:id="237" w:name="_Toc488102191"/>
      <w:bookmarkStart w:id="238" w:name="_Toc82502978"/>
      <w:bookmarkStart w:id="239" w:name="_Toc364090228"/>
      <w:bookmarkStart w:id="240" w:name="_Toc387133357"/>
      <w:bookmarkStart w:id="241" w:name="_Toc20981"/>
      <w:bookmarkStart w:id="242" w:name="_Toc382810955"/>
      <w:bookmarkStart w:id="243" w:name="_Toc7116"/>
      <w:bookmarkStart w:id="244" w:name="_Toc5170"/>
      <w:r>
        <w:rPr>
          <w:u w:color="000000"/>
        </w:rPr>
        <w:t>环境管理</w:t>
      </w:r>
      <w:bookmarkEnd w:id="235"/>
      <w:bookmarkEnd w:id="236"/>
      <w:bookmarkEnd w:id="237"/>
      <w:bookmarkEnd w:id="238"/>
      <w:bookmarkEnd w:id="239"/>
      <w:bookmarkEnd w:id="240"/>
      <w:bookmarkEnd w:id="241"/>
      <w:bookmarkEnd w:id="242"/>
      <w:bookmarkEnd w:id="243"/>
      <w:bookmarkEnd w:id="244"/>
    </w:p>
    <w:p>
      <w:pPr>
        <w:pStyle w:val="4"/>
      </w:pPr>
      <w:bookmarkStart w:id="245" w:name="_Toc6640"/>
      <w:bookmarkStart w:id="246" w:name="_Toc3039"/>
      <w:bookmarkStart w:id="247" w:name="_Toc908"/>
      <w:r>
        <w:t>环境管理的</w:t>
      </w:r>
      <w:bookmarkEnd w:id="245"/>
      <w:bookmarkEnd w:id="246"/>
      <w:bookmarkEnd w:id="247"/>
      <w:r>
        <w:rPr>
          <w:rFonts w:hint="eastAsia"/>
        </w:rPr>
        <w:t>目的</w:t>
      </w:r>
    </w:p>
    <w:p>
      <w:pPr>
        <w:ind w:firstLine="480"/>
      </w:pPr>
      <w:r>
        <w:rPr>
          <w:rFonts w:hint="eastAsia"/>
        </w:rPr>
        <w:t>《中华人民共和国环境保护法》明确指出，我国环境保护的任务是保证在社会主义现代化建设中，合理利用自然资源，防止环境污染和生态破坏，为人民创造清洁适宜的生活和劳动环境，保护人民健康，促进经济发展。</w:t>
      </w:r>
    </w:p>
    <w:p>
      <w:pPr>
        <w:ind w:firstLine="480"/>
      </w:pPr>
      <w:r>
        <w:rPr>
          <w:rFonts w:hint="eastAsia"/>
        </w:rPr>
        <w:t>为了缓解建设项目生产运行期对环境构成的不良影响，在采取环保治理工程措施解决建设项目环境影响的同时，必须制定全面的企业环境管理计划，以保证企业的环境保护制度化和系统化，保证企业环保工作持久开展，保证企业能够持续发展生产。</w:t>
      </w:r>
    </w:p>
    <w:p>
      <w:pPr>
        <w:pStyle w:val="4"/>
      </w:pPr>
      <w:bookmarkStart w:id="248" w:name="_Toc27568"/>
      <w:bookmarkStart w:id="249" w:name="_Toc24265"/>
      <w:bookmarkStart w:id="250" w:name="_Toc3035"/>
      <w:r>
        <w:t>环境管理</w:t>
      </w:r>
      <w:bookmarkEnd w:id="248"/>
      <w:bookmarkEnd w:id="249"/>
      <w:bookmarkEnd w:id="250"/>
      <w:r>
        <w:rPr>
          <w:rFonts w:hint="eastAsia"/>
        </w:rPr>
        <w:t>制度</w:t>
      </w:r>
    </w:p>
    <w:p>
      <w:pPr>
        <w:ind w:firstLine="480"/>
      </w:pPr>
      <w:r>
        <w:rPr>
          <w:rFonts w:hint="eastAsia"/>
        </w:rPr>
        <w:t>根据对企业的了解情况，目前企业未设置专门的环保管理部门，因此，本次针对项目具体情况提出环境管理要求。</w:t>
      </w:r>
    </w:p>
    <w:p>
      <w:pPr>
        <w:pStyle w:val="5"/>
      </w:pPr>
      <w:r>
        <w:rPr>
          <w:rFonts w:hint="eastAsia"/>
        </w:rPr>
        <w:t>环境管理机构</w:t>
      </w:r>
    </w:p>
    <w:p>
      <w:pPr>
        <w:ind w:firstLine="480"/>
      </w:pPr>
      <w:r>
        <w:rPr>
          <w:rFonts w:hint="eastAsia"/>
        </w:rPr>
        <w:t>项目建成后，应设置专门的环保科，负责全厂的环境保护管理工作。环保科设科长1 名、工作人员2 名，并负责全厂环保管理。此外，为保证环境管理任务的顺利实施，企业总经理应作为控制环境污染、保护环境的法律负责人。</w:t>
      </w:r>
    </w:p>
    <w:p>
      <w:pPr>
        <w:pStyle w:val="5"/>
      </w:pPr>
      <w:r>
        <w:rPr>
          <w:rFonts w:hint="eastAsia"/>
        </w:rPr>
        <w:t>环境管理职能</w:t>
      </w:r>
    </w:p>
    <w:p>
      <w:pPr>
        <w:ind w:firstLine="480"/>
      </w:pPr>
      <w:r>
        <w:rPr>
          <w:rFonts w:hint="eastAsia"/>
        </w:rPr>
        <w:t>（1）贯彻执行国家、省、市的有关环保法规、标准、政策和要求；</w:t>
      </w:r>
    </w:p>
    <w:p>
      <w:pPr>
        <w:ind w:firstLine="480"/>
      </w:pPr>
      <w:r>
        <w:rPr>
          <w:rFonts w:hint="eastAsia"/>
        </w:rPr>
        <w:t>（2）组织制定和修改本公司的环境保护管理规章制度，拟定企业的环保工作计划并进行实施，配合企业领导完成环境保护责任目标；</w:t>
      </w:r>
    </w:p>
    <w:p>
      <w:pPr>
        <w:ind w:firstLine="480"/>
      </w:pPr>
      <w:r>
        <w:rPr>
          <w:rFonts w:hint="eastAsia"/>
        </w:rPr>
        <w:t>（3）建立环境管理及监测的档案，并负责管理和统计上报工作；</w:t>
      </w:r>
    </w:p>
    <w:p>
      <w:pPr>
        <w:ind w:firstLine="480"/>
      </w:pPr>
      <w:r>
        <w:rPr>
          <w:rFonts w:hint="eastAsia"/>
        </w:rPr>
        <w:t>（4）领导和组织实施本公司的环境监测，监督各污染物排放口的达标排放情况；</w:t>
      </w:r>
    </w:p>
    <w:p>
      <w:pPr>
        <w:ind w:firstLine="480"/>
      </w:pPr>
      <w:r>
        <w:rPr>
          <w:rFonts w:hint="eastAsia"/>
        </w:rPr>
        <w:t>（5）负责处理公司的各种生产过程对环境造成的影响的处理和监测等工作；负责提出、审查有关环境保护的技术改造方案和治理方案，负责提出、审查各项清洁生产方案和组织清洁生产方案的实施；</w:t>
      </w:r>
    </w:p>
    <w:p>
      <w:pPr>
        <w:ind w:firstLine="480"/>
      </w:pPr>
      <w:r>
        <w:rPr>
          <w:rFonts w:hint="eastAsia"/>
        </w:rPr>
        <w:t>（6）组织在企业开展环保专业技术培训，提高各级环保人员的素质和水平。组织和开展各项环保科研的学术交流。</w:t>
      </w:r>
    </w:p>
    <w:p>
      <w:pPr>
        <w:pStyle w:val="5"/>
      </w:pPr>
      <w:r>
        <w:rPr>
          <w:rFonts w:hint="eastAsia"/>
        </w:rPr>
        <w:t>环境</w:t>
      </w:r>
      <w:r>
        <w:t>管理制度</w:t>
      </w:r>
    </w:p>
    <w:p>
      <w:pPr>
        <w:ind w:firstLine="480"/>
      </w:pPr>
      <w:r>
        <w:rPr>
          <w:rFonts w:hint="eastAsia"/>
        </w:rPr>
        <w:t>本项目应建立健全环保管理制度，本次评价提出的环保管理制度主要内容建议见表9.1-1。</w:t>
      </w:r>
    </w:p>
    <w:p>
      <w:pPr>
        <w:pStyle w:val="93"/>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环境保护管理制度表</w:t>
      </w:r>
    </w:p>
    <w:tbl>
      <w:tblPr>
        <w:tblStyle w:val="35"/>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67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Align w:val="center"/>
          </w:tcPr>
          <w:p>
            <w:pPr>
              <w:pStyle w:val="92"/>
              <w:ind w:left="115" w:right="170"/>
            </w:pPr>
            <w:r>
              <w:rPr>
                <w:rFonts w:hint="eastAsia"/>
              </w:rPr>
              <w:t>实施</w:t>
            </w:r>
            <w:r>
              <w:t>部门</w:t>
            </w:r>
          </w:p>
        </w:tc>
        <w:tc>
          <w:tcPr>
            <w:tcW w:w="6733" w:type="dxa"/>
            <w:vAlign w:val="center"/>
          </w:tcPr>
          <w:p>
            <w:pPr>
              <w:pStyle w:val="92"/>
              <w:ind w:left="115" w:right="170"/>
            </w:pPr>
            <w:r>
              <w:rPr>
                <w:rFonts w:hint="eastAsia"/>
              </w:rPr>
              <w:t>主要</w:t>
            </w:r>
            <w: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restart"/>
            <w:vAlign w:val="center"/>
          </w:tcPr>
          <w:p>
            <w:pPr>
              <w:pStyle w:val="92"/>
              <w:ind w:left="115" w:right="170"/>
            </w:pPr>
            <w:r>
              <w:rPr>
                <w:rFonts w:hint="eastAsia"/>
              </w:rPr>
              <w:t>环保科</w:t>
            </w:r>
          </w:p>
        </w:tc>
        <w:tc>
          <w:tcPr>
            <w:tcW w:w="6733" w:type="dxa"/>
            <w:vAlign w:val="center"/>
          </w:tcPr>
          <w:p>
            <w:pPr>
              <w:pStyle w:val="92"/>
              <w:ind w:left="115" w:right="170"/>
              <w:jc w:val="both"/>
            </w:pPr>
            <w:r>
              <w:rPr>
                <w:rFonts w:ascii="TimesNewRomanPSMT" w:hAnsi="Calibri" w:eastAsia="TimesNewRomanPSMT" w:cs="TimesNewRomanPSMT"/>
                <w:szCs w:val="21"/>
              </w:rPr>
              <w:t>1</w:t>
            </w:r>
            <w:r>
              <w:rPr>
                <w:rFonts w:hint="eastAsia" w:ascii="宋体" w:hAnsi="Calibri" w:cs="宋体"/>
                <w:szCs w:val="21"/>
              </w:rPr>
              <w:t>、内部环境保护审核、例会制度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continue"/>
            <w:vAlign w:val="center"/>
          </w:tcPr>
          <w:p>
            <w:pPr>
              <w:pStyle w:val="92"/>
              <w:ind w:left="115" w:right="170"/>
            </w:pPr>
          </w:p>
        </w:tc>
        <w:tc>
          <w:tcPr>
            <w:tcW w:w="6733" w:type="dxa"/>
            <w:vAlign w:val="center"/>
          </w:tcPr>
          <w:p>
            <w:pPr>
              <w:pStyle w:val="92"/>
              <w:ind w:left="115" w:right="170"/>
              <w:jc w:val="both"/>
            </w:pPr>
            <w:r>
              <w:rPr>
                <w:rFonts w:ascii="TimesNewRomanPSMT" w:hAnsi="Calibri" w:eastAsia="TimesNewRomanPSMT" w:cs="TimesNewRomanPSMT"/>
                <w:szCs w:val="21"/>
              </w:rPr>
              <w:t>2</w:t>
            </w:r>
            <w:r>
              <w:rPr>
                <w:rFonts w:hint="eastAsia" w:ascii="宋体" w:hAnsi="Calibri" w:cs="宋体"/>
                <w:szCs w:val="21"/>
              </w:rPr>
              <w:t>、环境质量管理目标与指标考核制度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continue"/>
            <w:vAlign w:val="center"/>
          </w:tcPr>
          <w:p>
            <w:pPr>
              <w:pStyle w:val="92"/>
              <w:ind w:left="115" w:right="170"/>
            </w:pPr>
          </w:p>
        </w:tc>
        <w:tc>
          <w:tcPr>
            <w:tcW w:w="6733" w:type="dxa"/>
            <w:vAlign w:val="center"/>
          </w:tcPr>
          <w:p>
            <w:pPr>
              <w:pStyle w:val="92"/>
              <w:ind w:left="115" w:right="170"/>
              <w:jc w:val="both"/>
            </w:pPr>
            <w:r>
              <w:rPr>
                <w:rFonts w:ascii="TimesNewRomanPSMT" w:hAnsi="Calibri" w:eastAsia="TimesNewRomanPSMT" w:cs="TimesNewRomanPSMT"/>
                <w:szCs w:val="21"/>
              </w:rPr>
              <w:t>3</w:t>
            </w:r>
            <w:r>
              <w:rPr>
                <w:rFonts w:hint="eastAsia" w:ascii="宋体" w:hAnsi="Calibri" w:cs="宋体"/>
                <w:szCs w:val="21"/>
              </w:rPr>
              <w:t>、环境风险管理制度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continue"/>
            <w:vAlign w:val="center"/>
          </w:tcPr>
          <w:p>
            <w:pPr>
              <w:pStyle w:val="92"/>
              <w:ind w:left="115" w:right="170"/>
            </w:pPr>
          </w:p>
        </w:tc>
        <w:tc>
          <w:tcPr>
            <w:tcW w:w="6733" w:type="dxa"/>
            <w:vAlign w:val="center"/>
          </w:tcPr>
          <w:p>
            <w:pPr>
              <w:pStyle w:val="92"/>
              <w:ind w:left="115" w:right="170"/>
              <w:jc w:val="both"/>
            </w:pPr>
            <w:r>
              <w:rPr>
                <w:rFonts w:ascii="TimesNewRomanPSMT" w:hAnsi="Calibri" w:eastAsia="TimesNewRomanPSMT" w:cs="TimesNewRomanPSMT"/>
                <w:szCs w:val="21"/>
              </w:rPr>
              <w:t>4</w:t>
            </w:r>
            <w:r>
              <w:rPr>
                <w:rFonts w:hint="eastAsia" w:ascii="宋体" w:hAnsi="Calibri" w:cs="宋体"/>
                <w:szCs w:val="21"/>
              </w:rPr>
              <w:t>、内部环境管理监督与检查制度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continue"/>
            <w:vAlign w:val="center"/>
          </w:tcPr>
          <w:p>
            <w:pPr>
              <w:pStyle w:val="92"/>
              <w:ind w:left="115" w:right="170"/>
            </w:pPr>
          </w:p>
        </w:tc>
        <w:tc>
          <w:tcPr>
            <w:tcW w:w="6733" w:type="dxa"/>
            <w:vAlign w:val="center"/>
          </w:tcPr>
          <w:p>
            <w:pPr>
              <w:pStyle w:val="92"/>
              <w:ind w:left="115" w:right="170"/>
              <w:jc w:val="both"/>
            </w:pPr>
            <w:r>
              <w:rPr>
                <w:rFonts w:ascii="TimesNewRomanPSMT" w:hAnsi="Calibri" w:eastAsia="TimesNewRomanPSMT" w:cs="TimesNewRomanPSMT"/>
                <w:szCs w:val="21"/>
              </w:rPr>
              <w:t>5</w:t>
            </w:r>
            <w:r>
              <w:rPr>
                <w:rFonts w:hint="eastAsia" w:ascii="宋体" w:hAnsi="Calibri" w:cs="宋体"/>
                <w:szCs w:val="21"/>
              </w:rPr>
              <w:t>、环保设施与设备定期检查、保养和维护管理制度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continue"/>
            <w:vAlign w:val="center"/>
          </w:tcPr>
          <w:p>
            <w:pPr>
              <w:pStyle w:val="92"/>
              <w:ind w:left="115" w:right="170"/>
            </w:pPr>
          </w:p>
        </w:tc>
        <w:tc>
          <w:tcPr>
            <w:tcW w:w="6733" w:type="dxa"/>
            <w:vAlign w:val="center"/>
          </w:tcPr>
          <w:p>
            <w:pPr>
              <w:pStyle w:val="92"/>
              <w:ind w:left="115" w:right="170"/>
              <w:jc w:val="both"/>
            </w:pPr>
            <w:r>
              <w:rPr>
                <w:rFonts w:ascii="TimesNewRomanPSMT" w:hAnsi="Calibri" w:eastAsia="TimesNewRomanPSMT" w:cs="TimesNewRomanPSMT"/>
                <w:szCs w:val="21"/>
              </w:rPr>
              <w:t>6</w:t>
            </w:r>
            <w:r>
              <w:rPr>
                <w:rFonts w:hint="eastAsia" w:ascii="宋体" w:hAnsi="Calibri" w:cs="宋体"/>
                <w:szCs w:val="21"/>
              </w:rPr>
              <w:t>、环境保护定期、不定期监测制度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307" w:type="dxa"/>
            <w:vMerge w:val="continue"/>
            <w:vAlign w:val="center"/>
          </w:tcPr>
          <w:p>
            <w:pPr>
              <w:pStyle w:val="92"/>
              <w:ind w:left="115" w:right="170"/>
            </w:pPr>
          </w:p>
        </w:tc>
        <w:tc>
          <w:tcPr>
            <w:tcW w:w="6733" w:type="dxa"/>
            <w:vAlign w:val="center"/>
          </w:tcPr>
          <w:p>
            <w:pPr>
              <w:pStyle w:val="92"/>
              <w:ind w:left="115" w:right="170"/>
              <w:jc w:val="both"/>
            </w:pPr>
            <w:r>
              <w:rPr>
                <w:rFonts w:ascii="TimesNewRomanPSMT" w:hAnsi="Calibri" w:eastAsia="TimesNewRomanPSMT" w:cs="TimesNewRomanPSMT"/>
                <w:szCs w:val="21"/>
              </w:rPr>
              <w:t>7</w:t>
            </w:r>
            <w:r>
              <w:rPr>
                <w:rFonts w:hint="eastAsia" w:ascii="宋体" w:hAnsi="Calibri" w:cs="宋体"/>
                <w:szCs w:val="21"/>
              </w:rPr>
              <w:t>、环境保护档案管理与环境污染事故管理规定</w:t>
            </w:r>
          </w:p>
        </w:tc>
      </w:tr>
    </w:tbl>
    <w:p>
      <w:pPr>
        <w:pStyle w:val="5"/>
      </w:pPr>
      <w:r>
        <w:rPr>
          <w:rFonts w:hint="eastAsia"/>
        </w:rPr>
        <w:t>环境</w:t>
      </w:r>
      <w:r>
        <w:t>管理措施</w:t>
      </w:r>
    </w:p>
    <w:p>
      <w:pPr>
        <w:pStyle w:val="87"/>
        <w:ind w:firstLine="480"/>
        <w:rPr>
          <w:rFonts w:cs="Times New Roman"/>
        </w:rPr>
      </w:pPr>
      <w:r>
        <w:rPr>
          <w:rFonts w:cs="Times New Roman"/>
        </w:rPr>
        <w:t>（1）建设期环境管理措施</w:t>
      </w:r>
    </w:p>
    <w:p>
      <w:pPr>
        <w:pStyle w:val="87"/>
        <w:ind w:firstLine="480"/>
        <w:rPr>
          <w:rFonts w:cs="Times New Roman"/>
        </w:rPr>
      </w:pPr>
      <w:r>
        <w:rPr>
          <w:rFonts w:cs="Times New Roman"/>
        </w:rPr>
        <w:t>本项目建设期主要为</w:t>
      </w:r>
      <w:r>
        <w:rPr>
          <w:rFonts w:hint="eastAsia" w:cs="Times New Roman"/>
        </w:rPr>
        <w:t>设备</w:t>
      </w:r>
      <w:r>
        <w:rPr>
          <w:rFonts w:cs="Times New Roman"/>
        </w:rPr>
        <w:t>安装。建设期主要环境管理是组织实施环保设施的“三同时”。</w:t>
      </w:r>
    </w:p>
    <w:p>
      <w:pPr>
        <w:pStyle w:val="87"/>
        <w:ind w:firstLine="480"/>
        <w:rPr>
          <w:rFonts w:cs="Times New Roman"/>
        </w:rPr>
      </w:pPr>
      <w:r>
        <w:rPr>
          <w:rFonts w:hint="eastAsia" w:ascii="宋体" w:hAnsi="宋体" w:cs="宋体"/>
        </w:rPr>
        <w:t>①</w:t>
      </w:r>
      <w:r>
        <w:rPr>
          <w:rFonts w:cs="Times New Roman"/>
        </w:rPr>
        <w:t>各项环保设施的设计、施工计划必须与主体工程同时进行，并把工程设计的施工计划报环保主管部门审批。</w:t>
      </w:r>
    </w:p>
    <w:p>
      <w:pPr>
        <w:pStyle w:val="87"/>
        <w:ind w:firstLine="480"/>
        <w:rPr>
          <w:rFonts w:cs="Times New Roman"/>
        </w:rPr>
      </w:pPr>
      <w:r>
        <w:rPr>
          <w:rFonts w:hint="eastAsia" w:ascii="宋体" w:hAnsi="宋体" w:cs="宋体"/>
        </w:rPr>
        <w:t>②</w:t>
      </w:r>
      <w:r>
        <w:rPr>
          <w:rFonts w:cs="Times New Roman"/>
        </w:rPr>
        <w:t>保证施工期噪声不扰民。建筑垃圾及时清运，不能长期堆存，作到日产日清，车辆用毡布遮盖，防止沿途散落。</w:t>
      </w:r>
    </w:p>
    <w:p>
      <w:pPr>
        <w:pStyle w:val="87"/>
        <w:ind w:firstLine="480"/>
        <w:rPr>
          <w:rFonts w:cs="Times New Roman"/>
        </w:rPr>
      </w:pPr>
      <w:r>
        <w:rPr>
          <w:rFonts w:hint="eastAsia" w:ascii="宋体" w:hAnsi="宋体" w:cs="宋体"/>
        </w:rPr>
        <w:t>③</w:t>
      </w:r>
      <w:r>
        <w:rPr>
          <w:rFonts w:cs="Times New Roman"/>
        </w:rPr>
        <w:t>在施工过程中必须经常检查环保设施建设进度，如有滞后，应立即纠正。</w:t>
      </w:r>
    </w:p>
    <w:p>
      <w:pPr>
        <w:pStyle w:val="87"/>
        <w:ind w:firstLine="480"/>
        <w:rPr>
          <w:rFonts w:cs="Times New Roman"/>
        </w:rPr>
      </w:pPr>
      <w:r>
        <w:rPr>
          <w:rFonts w:cs="Times New Roman"/>
        </w:rPr>
        <w:t>（2）运行期环境管理措施</w:t>
      </w:r>
    </w:p>
    <w:p>
      <w:pPr>
        <w:pStyle w:val="87"/>
        <w:ind w:firstLine="480"/>
        <w:rPr>
          <w:rFonts w:cs="Times New Roman"/>
        </w:rPr>
      </w:pPr>
      <w:r>
        <w:rPr>
          <w:rFonts w:hint="eastAsia" w:ascii="宋体" w:hAnsi="宋体" w:cs="宋体"/>
        </w:rPr>
        <w:t>①</w:t>
      </w:r>
      <w:r>
        <w:rPr>
          <w:rFonts w:cs="Times New Roman"/>
        </w:rPr>
        <w:t>企业应设立专门的环保机构和环境专职负责人负责本公司的环境管理工作，负责配合公司领导完成全厂的环境及污染源监测和环境保护管理工作；需设立专门环保科配备专职环保员，负责日常的环境管理工作；配备一名主管生产或技术的领导分管本单位的日常环保工作。</w:t>
      </w:r>
    </w:p>
    <w:p>
      <w:pPr>
        <w:pStyle w:val="87"/>
        <w:ind w:firstLine="480"/>
        <w:rPr>
          <w:rFonts w:cs="Times New Roman"/>
        </w:rPr>
      </w:pPr>
      <w:r>
        <w:rPr>
          <w:rFonts w:hint="eastAsia" w:ascii="宋体" w:hAnsi="宋体" w:cs="宋体"/>
        </w:rPr>
        <w:t>②</w:t>
      </w:r>
      <w:r>
        <w:rPr>
          <w:rFonts w:cs="Times New Roman"/>
        </w:rPr>
        <w:t>制定各环保设施操作规程、定期维修制度，使各项环保设施在生产过程中处于良好的工作状态。</w:t>
      </w:r>
    </w:p>
    <w:p>
      <w:pPr>
        <w:pStyle w:val="87"/>
        <w:ind w:firstLine="480"/>
        <w:rPr>
          <w:rFonts w:cs="Times New Roman"/>
        </w:rPr>
      </w:pPr>
      <w:r>
        <w:rPr>
          <w:rFonts w:hint="eastAsia" w:ascii="宋体" w:hAnsi="宋体" w:cs="宋体"/>
        </w:rPr>
        <w:t>③</w:t>
      </w:r>
      <w:r>
        <w:rPr>
          <w:rFonts w:cs="Times New Roman"/>
        </w:rPr>
        <w:t>对技术工种进行上岗前的环保知识法规教育及操作规范的培训。使各项环保设施的操作规范化，保证环保设施的正常运转。</w:t>
      </w:r>
    </w:p>
    <w:p>
      <w:pPr>
        <w:pStyle w:val="87"/>
        <w:ind w:firstLine="480"/>
        <w:rPr>
          <w:rFonts w:cs="Times New Roman"/>
        </w:rPr>
      </w:pPr>
      <w:r>
        <w:rPr>
          <w:rFonts w:hint="eastAsia" w:ascii="宋体" w:hAnsi="宋体" w:cs="宋体"/>
        </w:rPr>
        <w:t>④</w:t>
      </w:r>
      <w:r>
        <w:rPr>
          <w:rFonts w:cs="Times New Roman"/>
        </w:rPr>
        <w:t>对生产过程进行台账管理，包括环保设施运行情况做台账记录、生产信息、</w:t>
      </w:r>
      <w:r>
        <w:rPr>
          <w:rFonts w:hint="eastAsia" w:cs="Times New Roman"/>
        </w:rPr>
        <w:t>原辅</w:t>
      </w:r>
      <w:r>
        <w:rPr>
          <w:rFonts w:cs="Times New Roman"/>
        </w:rPr>
        <w:t>材料用量记录、运行期间监测污染物种类、浓度、排放去向记录。环保设施出现故障，应立即停产检修，严禁非正常排放。</w:t>
      </w:r>
    </w:p>
    <w:p>
      <w:pPr>
        <w:pStyle w:val="87"/>
        <w:ind w:firstLine="480"/>
        <w:rPr>
          <w:rFonts w:cs="Times New Roman"/>
        </w:rPr>
      </w:pPr>
      <w:r>
        <w:rPr>
          <w:rFonts w:hint="eastAsia" w:ascii="宋体" w:hAnsi="宋体" w:cs="宋体"/>
        </w:rPr>
        <w:t>⑤</w:t>
      </w:r>
      <w:r>
        <w:rPr>
          <w:rFonts w:cs="Times New Roman"/>
        </w:rPr>
        <w:t>加强环境监测工作，重点是各污染源的监测，并注意作好记录，不得弄虚作假。</w:t>
      </w:r>
    </w:p>
    <w:p>
      <w:pPr>
        <w:pStyle w:val="87"/>
        <w:ind w:firstLine="480"/>
        <w:rPr>
          <w:rFonts w:cs="Times New Roman"/>
        </w:rPr>
      </w:pPr>
      <w:r>
        <w:rPr>
          <w:rFonts w:cs="Times New Roman"/>
        </w:rPr>
        <w:t>监测中如发现异常情况应及时向有关部门通报，及时采取应急措施，防止事故排放。</w:t>
      </w:r>
    </w:p>
    <w:p>
      <w:pPr>
        <w:pStyle w:val="87"/>
        <w:ind w:firstLine="480"/>
        <w:rPr>
          <w:rFonts w:cs="Times New Roman"/>
        </w:rPr>
      </w:pPr>
      <w:r>
        <w:rPr>
          <w:rFonts w:cs="Times New Roman"/>
        </w:rPr>
        <w:t>（3）风险管理</w:t>
      </w:r>
    </w:p>
    <w:p>
      <w:pPr>
        <w:pStyle w:val="87"/>
        <w:ind w:firstLine="480"/>
        <w:rPr>
          <w:rFonts w:cs="Times New Roman"/>
        </w:rPr>
      </w:pPr>
      <w:r>
        <w:rPr>
          <w:rFonts w:cs="Times New Roman"/>
        </w:rPr>
        <w:t>根据本项目的实际生产情况，主要从</w:t>
      </w:r>
      <w:r>
        <w:rPr>
          <w:rFonts w:hint="eastAsia" w:cs="Times New Roman"/>
        </w:rPr>
        <w:t>原辅</w:t>
      </w:r>
      <w:r>
        <w:rPr>
          <w:rFonts w:cs="Times New Roman"/>
        </w:rPr>
        <w:t>材料甲醇、硫酸、石油醚的贮运等方面入手，加强管理。设置火灾自动报警系统，易燃、有毒气体探测仪等。严格执行制定的风险防范措施及应急预案。</w:t>
      </w:r>
    </w:p>
    <w:p>
      <w:pPr>
        <w:pStyle w:val="87"/>
        <w:ind w:firstLine="480"/>
        <w:rPr>
          <w:rFonts w:cs="Times New Roman"/>
        </w:rPr>
      </w:pPr>
      <w:r>
        <w:rPr>
          <w:rFonts w:cs="Times New Roman"/>
        </w:rPr>
        <w:t>（4）建立严格的环境管理奖惩制度</w:t>
      </w:r>
    </w:p>
    <w:p>
      <w:pPr>
        <w:ind w:firstLine="480"/>
      </w:pPr>
      <w:r>
        <w:t>对各车间生产单元、物料运输、贮运、</w:t>
      </w:r>
      <w:r>
        <w:rPr>
          <w:rFonts w:hint="eastAsia"/>
        </w:rPr>
        <w:t>废气</w:t>
      </w:r>
      <w:r>
        <w:t>处理、供电、通风等生产组成单位，都要建立严格的环境管理奖惩制度和生产操作规程，严禁违章操作，严防事故发生，对发生事故或者违反生产操作规程，引起污染物超标排放人员要进行惩罚，对做得好的人员要进行奖励</w:t>
      </w:r>
      <w:r>
        <w:rPr>
          <w:rFonts w:hint="eastAsia"/>
        </w:rPr>
        <w:t>。</w:t>
      </w:r>
    </w:p>
    <w:p>
      <w:pPr>
        <w:pStyle w:val="4"/>
      </w:pPr>
      <w:r>
        <w:rPr>
          <w:rFonts w:hint="eastAsia"/>
        </w:rPr>
        <w:t>环境管理</w:t>
      </w:r>
      <w:r>
        <w:t>要求</w:t>
      </w:r>
    </w:p>
    <w:p>
      <w:pPr>
        <w:ind w:firstLine="480"/>
      </w:pPr>
      <w:r>
        <w:rPr>
          <w:rFonts w:hint="eastAsia"/>
        </w:rPr>
        <w:t>为自我证明企业持证排污情况，项目投产后应开展环境管理台账记录和排污许可证执行报告的编制。</w:t>
      </w:r>
    </w:p>
    <w:p>
      <w:pPr>
        <w:ind w:firstLine="480"/>
      </w:pPr>
      <w:r>
        <w:rPr>
          <w:rFonts w:hint="eastAsia"/>
        </w:rPr>
        <w:t>环境管理台账是排污单位自证守法的主要原始依据，应当按照电子化和纸质存储两种形式同步管理，台账保存期限不少于3 年。</w:t>
      </w:r>
    </w:p>
    <w:p>
      <w:pPr>
        <w:ind w:firstLine="480"/>
      </w:pPr>
      <w:r>
        <w:rPr>
          <w:rFonts w:hint="eastAsia"/>
        </w:rPr>
        <w:t>1、</w:t>
      </w:r>
      <w:r>
        <w:t>建立环境管理台账，并接受</w:t>
      </w:r>
      <w:r>
        <w:rPr>
          <w:rFonts w:hint="eastAsia"/>
        </w:rPr>
        <w:t>安康市</w:t>
      </w:r>
      <w:r>
        <w:t>生态环境局</w:t>
      </w:r>
      <w:r>
        <w:rPr>
          <w:rFonts w:hint="eastAsia"/>
        </w:rPr>
        <w:t>旬阳</w:t>
      </w:r>
      <w:r>
        <w:t>分局检查。</w:t>
      </w:r>
      <w:r>
        <w:rPr>
          <w:rFonts w:hint="eastAsia"/>
        </w:rPr>
        <w:t>环境管理台账记录的主要内容包括如下信息：</w:t>
      </w:r>
    </w:p>
    <w:p>
      <w:pPr>
        <w:ind w:firstLine="480"/>
      </w:pPr>
      <w:r>
        <w:t>（1）基本信息：企业、生产设施、治理设施的名称、工艺等排污许可证规定的各项排污单位基本信息的实际情况及与污染物排放相关的主要运行参数；</w:t>
      </w:r>
    </w:p>
    <w:p>
      <w:pPr>
        <w:ind w:firstLine="480"/>
      </w:pPr>
      <w:r>
        <w:t>（2）生产设施运行管理信息：分为正常工况和非正常工况记录；包括运行状态、生产负荷、产品产量、原辅料和燃料用量；</w:t>
      </w:r>
    </w:p>
    <w:p>
      <w:pPr>
        <w:ind w:firstLine="480"/>
      </w:pPr>
      <w:r>
        <w:t>（3）污染治理措施运行管理信息：分为正常工况和非正常工况记录；包括污染物排放自行监测数据记录要求以及污染治理设施运行管理信息。</w:t>
      </w:r>
    </w:p>
    <w:p>
      <w:pPr>
        <w:ind w:firstLine="480"/>
      </w:pPr>
      <w:r>
        <w:t>污染治理设施运行管理信息应反映生产设施及治理设施运行管理情况，记录设备运行校验关键参数例如DCS 曲线、无组织废气污染治理、废水环保设施运行记录等。</w:t>
      </w:r>
    </w:p>
    <w:p>
      <w:pPr>
        <w:ind w:firstLine="480"/>
      </w:pPr>
      <w:r>
        <w:t>（4）监测记录信息：按照《排污单位自行监测技术指南 总则》执行。</w:t>
      </w:r>
    </w:p>
    <w:p>
      <w:pPr>
        <w:ind w:firstLine="480"/>
      </w:pPr>
      <w:r>
        <w:t>（5）其它环境管理信息：包括无组织环境管理信息、特殊时段环境管理信息等。建立污染事故报告制度。当污染事故发生时，必须在事故发生后48小时内，向环保部门作出事故发生的时间、地点、类型和排放污染物的数量、经济损失等情况的初步报告；事故查清后，向环保部门书面报告事故发生的原因，采取的措施，处理结果，并附有关证明。建设单位有责任排除危害，并对直接受到损害的单位或个人赔偿损失。</w:t>
      </w:r>
    </w:p>
    <w:p>
      <w:pPr>
        <w:pStyle w:val="3"/>
      </w:pPr>
      <w:bookmarkStart w:id="251" w:name="_Toc82502979"/>
      <w:r>
        <w:rPr>
          <w:rFonts w:hint="eastAsia"/>
        </w:rPr>
        <w:t>污染物</w:t>
      </w:r>
      <w:r>
        <w:t>排放管理</w:t>
      </w:r>
      <w:bookmarkEnd w:id="251"/>
    </w:p>
    <w:p>
      <w:pPr>
        <w:pStyle w:val="4"/>
      </w:pPr>
      <w:r>
        <w:rPr>
          <w:rFonts w:hint="eastAsia"/>
        </w:rPr>
        <w:t>污染物</w:t>
      </w:r>
      <w:r>
        <w:t>排放管理要求</w:t>
      </w:r>
    </w:p>
    <w:p>
      <w:pPr>
        <w:ind w:firstLine="480"/>
      </w:pPr>
      <w:r>
        <w:rPr>
          <w:rFonts w:hint="eastAsia"/>
        </w:rPr>
        <w:t>根据《排污许可证管理暂行规定》，本项目应在投入生产并产生实际排污行为之前申请领取排污许可证。建设单位应按照环境保护部制定的排污许可证申请与核发技术规范，包括《排污许可证申请与核发技术规范 总则》(HJ942-2018)、《排污许可证申请与核发技术规范 锅炉》（HJ953-2018）、《</w:t>
      </w:r>
      <w:r>
        <w:t xml:space="preserve">排污许可证申请与核发技术规范 </w:t>
      </w:r>
      <w:r>
        <w:rPr>
          <w:rFonts w:hint="eastAsia"/>
        </w:rPr>
        <w:t>制药</w:t>
      </w:r>
      <w:r>
        <w:t>工业</w:t>
      </w:r>
      <w:r>
        <w:rPr>
          <w:rFonts w:hint="eastAsia"/>
        </w:rPr>
        <w:t xml:space="preserve"> 原料</w:t>
      </w:r>
      <w:r>
        <w:t>药制造</w:t>
      </w:r>
      <w:r>
        <w:rPr>
          <w:rFonts w:hint="eastAsia"/>
        </w:rPr>
        <w:t>》（HJ</w:t>
      </w:r>
      <w:r>
        <w:t>858.1-2017</w:t>
      </w:r>
      <w:r>
        <w:rPr>
          <w:rFonts w:hint="eastAsia"/>
        </w:rPr>
        <w:t>）等，提交排污许可申请，申报排放污染物种类、排放浓度等，测算并申报污染物排放量。</w:t>
      </w:r>
    </w:p>
    <w:p>
      <w:pPr>
        <w:ind w:firstLine="480"/>
      </w:pPr>
      <w:r>
        <w:rPr>
          <w:rFonts w:hint="eastAsia"/>
        </w:rPr>
        <w:t>建设单位应当严格执行排污许可证的规定，包括：排污口位置和数量、排放方式、排放去向、排放污染物种类、排放浓度和排放量、执行的排放标准等符合排污许可证的规定，不得私设暗管或以其他方式逃避监管；落实重污染天气应急管控措施、遵守法律规定的最新环境保护要求等；按排污许可证规定的监测点位、监测因子、监测频次和相关监测技术规范开展自行监测并公开；按规范进行台账记录，主要内容包括生产信息、燃料、原辅材料使用情况、污染防治设施运行记录、监测数据等；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pStyle w:val="4"/>
      </w:pPr>
      <w:r>
        <w:rPr>
          <w:rFonts w:hint="eastAsia"/>
        </w:rPr>
        <w:t>污染物</w:t>
      </w:r>
      <w:r>
        <w:t>排放清单</w:t>
      </w:r>
    </w:p>
    <w:p>
      <w:pPr>
        <w:ind w:firstLine="480"/>
      </w:pPr>
      <w:r>
        <w:rPr>
          <w:rFonts w:hint="eastAsia"/>
        </w:rPr>
        <w:t>项目</w:t>
      </w:r>
      <w:r>
        <w:t>污染物排放清单</w:t>
      </w:r>
      <w:r>
        <w:rPr>
          <w:rFonts w:hint="eastAsia"/>
        </w:rPr>
        <w:t>见</w:t>
      </w:r>
      <w:r>
        <w:t>表</w:t>
      </w:r>
      <w:r>
        <w:rPr>
          <w:rFonts w:hint="eastAsia"/>
        </w:rPr>
        <w:t>9.2-1。</w:t>
      </w:r>
    </w:p>
    <w:p>
      <w:pPr>
        <w:ind w:firstLine="480"/>
        <w:rPr>
          <w:highlight w:val="yellow"/>
        </w:rPr>
      </w:pPr>
    </w:p>
    <w:p>
      <w:pPr>
        <w:ind w:firstLine="480"/>
        <w:rPr>
          <w:highlight w:val="yellow"/>
        </w:rPr>
      </w:pPr>
    </w:p>
    <w:p>
      <w:pPr>
        <w:ind w:firstLine="480"/>
        <w:rPr>
          <w:highlight w:val="yellow"/>
        </w:rPr>
        <w:sectPr>
          <w:headerReference r:id="rId60" w:type="default"/>
          <w:headerReference r:id="rId61" w:type="even"/>
          <w:pgSz w:w="11906" w:h="16838"/>
          <w:pgMar w:top="1440" w:right="1418" w:bottom="1440" w:left="1418" w:header="992" w:footer="992" w:gutter="0"/>
          <w:pgNumType w:fmt="numberInDash"/>
          <w:cols w:space="425" w:num="1"/>
          <w:docGrid w:type="lines" w:linePitch="326" w:charSpace="0"/>
        </w:sectPr>
      </w:pPr>
    </w:p>
    <w:p>
      <w:pPr>
        <w:pStyle w:val="93"/>
        <w:rPr>
          <w:rFonts w:hAnsi="Times New Roman"/>
          <w:szCs w:val="21"/>
        </w:rPr>
      </w:pPr>
      <w:bookmarkStart w:id="252" w:name="_Ref27041924"/>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9.2</w:t>
      </w:r>
      <w:r>
        <w:rPr>
          <w:rFonts w:hAnsi="Times New Roman"/>
        </w:rPr>
        <w:fldChar w:fldCharType="end"/>
      </w:r>
      <w:r>
        <w:rPr>
          <w:rFonts w:hAnsi="Times New Roman"/>
        </w:rPr>
        <w:noBreakHyphen/>
      </w:r>
      <w:r>
        <w:rPr>
          <w:rFonts w:hAnsi="Times New Roman"/>
        </w:rPr>
        <w:fldChar w:fldCharType="begin"/>
      </w:r>
      <w:r>
        <w:rPr>
          <w:rFonts w:hAnsi="Times New Roman"/>
        </w:rPr>
        <w:instrText xml:space="preserve"> SEQ 表 \* ARABIC \s 2 </w:instrText>
      </w:r>
      <w:r>
        <w:rPr>
          <w:rFonts w:hAnsi="Times New Roman"/>
        </w:rPr>
        <w:fldChar w:fldCharType="separate"/>
      </w:r>
      <w:r>
        <w:rPr>
          <w:rFonts w:hAnsi="Times New Roman"/>
        </w:rPr>
        <w:t>1</w:t>
      </w:r>
      <w:r>
        <w:rPr>
          <w:rFonts w:hAnsi="Times New Roman"/>
        </w:rPr>
        <w:fldChar w:fldCharType="end"/>
      </w:r>
      <w:bookmarkEnd w:id="252"/>
      <w:r>
        <w:rPr>
          <w:rFonts w:hAnsi="Times New Roman"/>
          <w:szCs w:val="21"/>
        </w:rPr>
        <w:t xml:space="preserve">  污染物排放清单</w:t>
      </w:r>
    </w:p>
    <w:tbl>
      <w:tblPr>
        <w:tblStyle w:val="35"/>
        <w:tblW w:w="1397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94"/>
        <w:gridCol w:w="765"/>
        <w:gridCol w:w="1135"/>
        <w:gridCol w:w="1420"/>
        <w:gridCol w:w="707"/>
        <w:gridCol w:w="992"/>
        <w:gridCol w:w="3261"/>
        <w:gridCol w:w="995"/>
        <w:gridCol w:w="42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494" w:type="dxa"/>
            <w:vMerge w:val="restart"/>
            <w:tcBorders>
              <w:top w:val="single" w:color="auto" w:sz="12" w:space="0"/>
              <w:left w:val="single" w:color="auto" w:sz="12" w:space="0"/>
              <w:bottom w:val="single" w:color="auto" w:sz="6" w:space="0"/>
            </w:tcBorders>
            <w:shd w:val="clear" w:color="auto" w:fill="auto"/>
            <w:vAlign w:val="center"/>
          </w:tcPr>
          <w:p>
            <w:pPr>
              <w:pStyle w:val="92"/>
            </w:pPr>
            <w:r>
              <w:t>类别</w:t>
            </w:r>
          </w:p>
        </w:tc>
        <w:tc>
          <w:tcPr>
            <w:tcW w:w="1900" w:type="dxa"/>
            <w:gridSpan w:val="2"/>
            <w:vMerge w:val="restart"/>
            <w:tcBorders>
              <w:top w:val="single" w:color="auto" w:sz="12" w:space="0"/>
              <w:bottom w:val="single" w:color="auto" w:sz="6" w:space="0"/>
            </w:tcBorders>
            <w:shd w:val="clear" w:color="auto" w:fill="auto"/>
            <w:vAlign w:val="center"/>
          </w:tcPr>
          <w:p>
            <w:pPr>
              <w:pStyle w:val="92"/>
            </w:pPr>
            <w:r>
              <w:t>污染源</w:t>
            </w:r>
          </w:p>
        </w:tc>
        <w:tc>
          <w:tcPr>
            <w:tcW w:w="1420" w:type="dxa"/>
            <w:vMerge w:val="restart"/>
            <w:tcBorders>
              <w:top w:val="single" w:color="auto" w:sz="12" w:space="0"/>
              <w:bottom w:val="single" w:color="auto" w:sz="6" w:space="0"/>
            </w:tcBorders>
            <w:shd w:val="clear" w:color="auto" w:fill="auto"/>
            <w:vAlign w:val="center"/>
          </w:tcPr>
          <w:p>
            <w:pPr>
              <w:pStyle w:val="92"/>
            </w:pPr>
            <w:r>
              <w:t>污染因子</w:t>
            </w:r>
          </w:p>
        </w:tc>
        <w:tc>
          <w:tcPr>
            <w:tcW w:w="1699" w:type="dxa"/>
            <w:gridSpan w:val="2"/>
            <w:tcBorders>
              <w:top w:val="single" w:color="auto" w:sz="12" w:space="0"/>
              <w:bottom w:val="single" w:color="auto" w:sz="6" w:space="0"/>
            </w:tcBorders>
            <w:shd w:val="clear" w:color="auto" w:fill="auto"/>
            <w:vAlign w:val="center"/>
          </w:tcPr>
          <w:p>
            <w:pPr>
              <w:pStyle w:val="92"/>
            </w:pPr>
            <w:r>
              <w:t>排放情况</w:t>
            </w:r>
          </w:p>
        </w:tc>
        <w:tc>
          <w:tcPr>
            <w:tcW w:w="3261" w:type="dxa"/>
            <w:vMerge w:val="restart"/>
            <w:tcBorders>
              <w:top w:val="single" w:color="auto" w:sz="12" w:space="0"/>
              <w:bottom w:val="single" w:color="auto" w:sz="6" w:space="0"/>
            </w:tcBorders>
            <w:shd w:val="clear" w:color="auto" w:fill="auto"/>
            <w:vAlign w:val="center"/>
          </w:tcPr>
          <w:p>
            <w:pPr>
              <w:pStyle w:val="92"/>
            </w:pPr>
            <w:r>
              <w:t>治理措施</w:t>
            </w:r>
          </w:p>
        </w:tc>
        <w:tc>
          <w:tcPr>
            <w:tcW w:w="995" w:type="dxa"/>
            <w:vMerge w:val="restart"/>
            <w:tcBorders>
              <w:top w:val="single" w:color="auto" w:sz="12" w:space="0"/>
              <w:bottom w:val="single" w:color="auto" w:sz="6" w:space="0"/>
            </w:tcBorders>
            <w:shd w:val="clear" w:color="auto" w:fill="auto"/>
            <w:vAlign w:val="center"/>
          </w:tcPr>
          <w:p>
            <w:pPr>
              <w:pStyle w:val="92"/>
            </w:pPr>
            <w:r>
              <w:t>处理效率</w:t>
            </w:r>
          </w:p>
        </w:tc>
        <w:tc>
          <w:tcPr>
            <w:tcW w:w="4203" w:type="dxa"/>
            <w:vMerge w:val="restart"/>
            <w:tcBorders>
              <w:top w:val="single" w:color="auto" w:sz="12" w:space="0"/>
              <w:bottom w:val="single" w:color="auto" w:sz="6" w:space="0"/>
              <w:right w:val="single" w:color="auto" w:sz="12" w:space="0"/>
            </w:tcBorders>
            <w:shd w:val="clear" w:color="auto" w:fill="auto"/>
            <w:vAlign w:val="center"/>
          </w:tcPr>
          <w:p>
            <w:pPr>
              <w:pStyle w:val="92"/>
            </w:pPr>
            <w:r>
              <w:t>预期目标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top w:val="single" w:color="auto" w:sz="6" w:space="0"/>
              <w:left w:val="single" w:color="auto" w:sz="12" w:space="0"/>
              <w:bottom w:val="single" w:color="auto" w:sz="6" w:space="0"/>
            </w:tcBorders>
            <w:shd w:val="clear" w:color="auto" w:fill="auto"/>
            <w:vAlign w:val="center"/>
          </w:tcPr>
          <w:p>
            <w:pPr>
              <w:pStyle w:val="92"/>
            </w:pPr>
          </w:p>
        </w:tc>
        <w:tc>
          <w:tcPr>
            <w:tcW w:w="1900" w:type="dxa"/>
            <w:gridSpan w:val="2"/>
            <w:vMerge w:val="continue"/>
            <w:tcBorders>
              <w:top w:val="single" w:color="auto" w:sz="6" w:space="0"/>
              <w:bottom w:val="single" w:color="auto" w:sz="6" w:space="0"/>
            </w:tcBorders>
            <w:shd w:val="clear" w:color="auto" w:fill="auto"/>
            <w:vAlign w:val="center"/>
          </w:tcPr>
          <w:p>
            <w:pPr>
              <w:pStyle w:val="92"/>
            </w:pPr>
          </w:p>
        </w:tc>
        <w:tc>
          <w:tcPr>
            <w:tcW w:w="1420" w:type="dxa"/>
            <w:vMerge w:val="continue"/>
            <w:tcBorders>
              <w:top w:val="single" w:color="auto" w:sz="6" w:space="0"/>
              <w:bottom w:val="single" w:color="auto" w:sz="6" w:space="0"/>
            </w:tcBorders>
            <w:shd w:val="clear" w:color="auto" w:fill="auto"/>
            <w:vAlign w:val="center"/>
          </w:tcPr>
          <w:p>
            <w:pPr>
              <w:pStyle w:val="92"/>
            </w:pPr>
          </w:p>
        </w:tc>
        <w:tc>
          <w:tcPr>
            <w:tcW w:w="707" w:type="dxa"/>
            <w:tcBorders>
              <w:top w:val="single" w:color="auto" w:sz="6" w:space="0"/>
              <w:bottom w:val="single" w:color="auto" w:sz="6" w:space="0"/>
              <w:right w:val="single" w:color="auto" w:sz="4" w:space="0"/>
            </w:tcBorders>
            <w:shd w:val="clear" w:color="auto" w:fill="auto"/>
            <w:vAlign w:val="center"/>
          </w:tcPr>
          <w:p>
            <w:pPr>
              <w:pStyle w:val="92"/>
            </w:pPr>
            <w:r>
              <w:t>浓度</w:t>
            </w:r>
          </w:p>
        </w:tc>
        <w:tc>
          <w:tcPr>
            <w:tcW w:w="992" w:type="dxa"/>
            <w:tcBorders>
              <w:top w:val="single" w:color="auto" w:sz="6" w:space="0"/>
              <w:left w:val="single" w:color="auto" w:sz="4" w:space="0"/>
              <w:bottom w:val="single" w:color="auto" w:sz="6" w:space="0"/>
            </w:tcBorders>
            <w:shd w:val="clear" w:color="auto" w:fill="auto"/>
            <w:vAlign w:val="center"/>
          </w:tcPr>
          <w:p>
            <w:pPr>
              <w:pStyle w:val="92"/>
            </w:pPr>
            <w:r>
              <w:t>排放量</w:t>
            </w:r>
          </w:p>
          <w:p>
            <w:pPr>
              <w:pStyle w:val="92"/>
            </w:pPr>
            <w:r>
              <w:t>（t/a）</w:t>
            </w:r>
          </w:p>
        </w:tc>
        <w:tc>
          <w:tcPr>
            <w:tcW w:w="3261" w:type="dxa"/>
            <w:vMerge w:val="continue"/>
            <w:tcBorders>
              <w:top w:val="single" w:color="auto" w:sz="6" w:space="0"/>
              <w:bottom w:val="single" w:color="auto" w:sz="6" w:space="0"/>
            </w:tcBorders>
            <w:shd w:val="clear" w:color="auto" w:fill="auto"/>
            <w:vAlign w:val="center"/>
          </w:tcPr>
          <w:p>
            <w:pPr>
              <w:pStyle w:val="92"/>
            </w:pPr>
          </w:p>
        </w:tc>
        <w:tc>
          <w:tcPr>
            <w:tcW w:w="995" w:type="dxa"/>
            <w:vMerge w:val="continue"/>
            <w:tcBorders>
              <w:top w:val="single" w:color="auto" w:sz="6" w:space="0"/>
              <w:bottom w:val="single" w:color="auto" w:sz="6" w:space="0"/>
            </w:tcBorders>
            <w:shd w:val="clear" w:color="auto" w:fill="auto"/>
            <w:vAlign w:val="center"/>
          </w:tcPr>
          <w:p>
            <w:pPr>
              <w:pStyle w:val="92"/>
            </w:pPr>
          </w:p>
        </w:tc>
        <w:tc>
          <w:tcPr>
            <w:tcW w:w="4203" w:type="dxa"/>
            <w:vMerge w:val="continue"/>
            <w:tcBorders>
              <w:top w:val="single" w:color="auto" w:sz="6" w:space="0"/>
              <w:bottom w:val="single" w:color="auto" w:sz="6" w:space="0"/>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restart"/>
            <w:tcBorders>
              <w:top w:val="single" w:color="auto" w:sz="6" w:space="0"/>
              <w:left w:val="single" w:color="auto" w:sz="12" w:space="0"/>
            </w:tcBorders>
            <w:shd w:val="clear" w:color="auto" w:fill="auto"/>
            <w:vAlign w:val="center"/>
          </w:tcPr>
          <w:p>
            <w:pPr>
              <w:pStyle w:val="92"/>
            </w:pPr>
            <w:r>
              <w:t>废气</w:t>
            </w:r>
          </w:p>
        </w:tc>
        <w:tc>
          <w:tcPr>
            <w:tcW w:w="1900" w:type="dxa"/>
            <w:gridSpan w:val="2"/>
            <w:tcBorders>
              <w:top w:val="single" w:color="auto" w:sz="6" w:space="0"/>
            </w:tcBorders>
            <w:shd w:val="clear" w:color="auto" w:fill="auto"/>
            <w:vAlign w:val="center"/>
          </w:tcPr>
          <w:p>
            <w:pPr>
              <w:pStyle w:val="92"/>
            </w:pPr>
            <w:r>
              <w:rPr>
                <w:rFonts w:hint="eastAsia"/>
              </w:rPr>
              <w:t>初清</w:t>
            </w:r>
          </w:p>
        </w:tc>
        <w:tc>
          <w:tcPr>
            <w:tcW w:w="1420" w:type="dxa"/>
            <w:tcBorders>
              <w:top w:val="single" w:color="auto" w:sz="6" w:space="0"/>
              <w:bottom w:val="single" w:color="auto" w:sz="6" w:space="0"/>
            </w:tcBorders>
            <w:shd w:val="clear" w:color="auto" w:fill="auto"/>
            <w:vAlign w:val="center"/>
          </w:tcPr>
          <w:p>
            <w:pPr>
              <w:pStyle w:val="92"/>
              <w:rPr>
                <w:rFonts w:hAnsi="Times New Roman"/>
              </w:rPr>
            </w:pPr>
            <w:r>
              <w:rPr>
                <w:rFonts w:hint="eastAsia" w:hAnsi="Times New Roman"/>
              </w:rPr>
              <w:t>粉尘</w:t>
            </w:r>
          </w:p>
        </w:tc>
        <w:tc>
          <w:tcPr>
            <w:tcW w:w="707" w:type="dxa"/>
            <w:tcBorders>
              <w:top w:val="single" w:color="auto" w:sz="6" w:space="0"/>
              <w:bottom w:val="single" w:color="auto" w:sz="6" w:space="0"/>
              <w:right w:val="single" w:color="auto" w:sz="4" w:space="0"/>
            </w:tcBorders>
            <w:shd w:val="clear" w:color="auto" w:fill="auto"/>
            <w:vAlign w:val="center"/>
          </w:tcPr>
          <w:p>
            <w:pPr>
              <w:pStyle w:val="92"/>
            </w:pPr>
            <w:r>
              <w:rPr>
                <w:rFonts w:hint="eastAsia"/>
              </w:rPr>
              <w:t>0.48</w:t>
            </w:r>
          </w:p>
        </w:tc>
        <w:tc>
          <w:tcPr>
            <w:tcW w:w="992" w:type="dxa"/>
            <w:tcBorders>
              <w:top w:val="single" w:color="auto" w:sz="6" w:space="0"/>
              <w:left w:val="single" w:color="auto" w:sz="4" w:space="0"/>
              <w:bottom w:val="single" w:color="auto" w:sz="6" w:space="0"/>
            </w:tcBorders>
            <w:shd w:val="clear" w:color="auto" w:fill="auto"/>
            <w:vAlign w:val="center"/>
          </w:tcPr>
          <w:p>
            <w:pPr>
              <w:pStyle w:val="97"/>
              <w:ind w:left="115" w:right="170"/>
            </w:pPr>
            <w:r>
              <w:rPr>
                <w:rFonts w:hint="eastAsia"/>
              </w:rPr>
              <w:t>0.005</w:t>
            </w:r>
          </w:p>
        </w:tc>
        <w:tc>
          <w:tcPr>
            <w:tcW w:w="3261" w:type="dxa"/>
            <w:tcBorders>
              <w:top w:val="single" w:color="auto" w:sz="6" w:space="0"/>
            </w:tcBorders>
            <w:shd w:val="clear" w:color="auto" w:fill="auto"/>
            <w:vAlign w:val="center"/>
          </w:tcPr>
          <w:p>
            <w:pPr>
              <w:pStyle w:val="92"/>
            </w:pPr>
            <w:r>
              <w:rPr>
                <w:rFonts w:hint="eastAsia"/>
              </w:rPr>
              <w:t>旋风</w:t>
            </w:r>
            <w:r>
              <w:t>收尘</w:t>
            </w:r>
            <w:r>
              <w:rPr>
                <w:rFonts w:hint="eastAsia"/>
              </w:rPr>
              <w:t>+布袋</w:t>
            </w:r>
            <w:r>
              <w:t>除尘</w:t>
            </w:r>
            <w:r>
              <w:rPr>
                <w:rFonts w:hint="eastAsia"/>
              </w:rPr>
              <w:t>+15</w:t>
            </w:r>
            <w:r>
              <w:t>m排气筒</w:t>
            </w:r>
          </w:p>
        </w:tc>
        <w:tc>
          <w:tcPr>
            <w:tcW w:w="995" w:type="dxa"/>
            <w:tcBorders>
              <w:top w:val="single" w:color="auto" w:sz="6" w:space="0"/>
              <w:bottom w:val="single" w:color="auto" w:sz="6" w:space="0"/>
            </w:tcBorders>
            <w:shd w:val="clear" w:color="auto" w:fill="auto"/>
            <w:vAlign w:val="center"/>
          </w:tcPr>
          <w:p>
            <w:pPr>
              <w:pStyle w:val="97"/>
            </w:pPr>
            <w:r>
              <w:rPr>
                <w:rFonts w:hint="eastAsia"/>
              </w:rPr>
              <w:t>99</w:t>
            </w:r>
            <w:r>
              <w:t>%</w:t>
            </w:r>
          </w:p>
        </w:tc>
        <w:tc>
          <w:tcPr>
            <w:tcW w:w="4203" w:type="dxa"/>
            <w:vMerge w:val="restart"/>
            <w:tcBorders>
              <w:top w:val="single" w:color="auto" w:sz="6" w:space="0"/>
              <w:right w:val="single" w:color="auto" w:sz="12" w:space="0"/>
            </w:tcBorders>
            <w:shd w:val="clear" w:color="auto" w:fill="auto"/>
            <w:vAlign w:val="center"/>
          </w:tcPr>
          <w:p>
            <w:pPr>
              <w:pStyle w:val="92"/>
            </w:pPr>
            <w:r>
              <w:rPr>
                <w:rFonts w:hint="eastAsia"/>
              </w:rPr>
              <w:t>《大气污染物综合排放标准》（GB16297-1996）二级标准要求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tcBorders>
              <w:top w:val="single" w:color="auto" w:sz="6" w:space="0"/>
            </w:tcBorders>
            <w:shd w:val="clear" w:color="auto" w:fill="auto"/>
            <w:vAlign w:val="center"/>
          </w:tcPr>
          <w:p>
            <w:pPr>
              <w:pStyle w:val="92"/>
            </w:pPr>
            <w:r>
              <w:rPr>
                <w:rFonts w:hint="eastAsia"/>
              </w:rPr>
              <w:t>组分</w:t>
            </w:r>
          </w:p>
        </w:tc>
        <w:tc>
          <w:tcPr>
            <w:tcW w:w="1420" w:type="dxa"/>
            <w:tcBorders>
              <w:top w:val="single" w:color="auto" w:sz="6" w:space="0"/>
              <w:bottom w:val="single" w:color="auto" w:sz="6" w:space="0"/>
            </w:tcBorders>
            <w:shd w:val="clear" w:color="auto" w:fill="auto"/>
            <w:vAlign w:val="center"/>
          </w:tcPr>
          <w:p>
            <w:pPr>
              <w:pStyle w:val="92"/>
              <w:rPr>
                <w:rFonts w:hAnsi="Times New Roman"/>
              </w:rPr>
            </w:pPr>
            <w:r>
              <w:rPr>
                <w:rFonts w:hint="eastAsia" w:hAnsi="Times New Roman"/>
              </w:rPr>
              <w:t>粉尘</w:t>
            </w:r>
          </w:p>
        </w:tc>
        <w:tc>
          <w:tcPr>
            <w:tcW w:w="707" w:type="dxa"/>
            <w:tcBorders>
              <w:top w:val="single" w:color="auto" w:sz="6" w:space="0"/>
              <w:bottom w:val="single" w:color="auto" w:sz="6" w:space="0"/>
              <w:right w:val="single" w:color="auto" w:sz="4" w:space="0"/>
            </w:tcBorders>
            <w:shd w:val="clear" w:color="auto" w:fill="auto"/>
            <w:vAlign w:val="center"/>
          </w:tcPr>
          <w:p>
            <w:pPr>
              <w:pStyle w:val="92"/>
            </w:pPr>
            <w:r>
              <w:rPr>
                <w:rFonts w:hint="eastAsia"/>
              </w:rPr>
              <w:t>0.48</w:t>
            </w:r>
          </w:p>
        </w:tc>
        <w:tc>
          <w:tcPr>
            <w:tcW w:w="992" w:type="dxa"/>
            <w:tcBorders>
              <w:top w:val="single" w:color="auto" w:sz="6" w:space="0"/>
              <w:left w:val="single" w:color="auto" w:sz="4" w:space="0"/>
              <w:bottom w:val="single" w:color="auto" w:sz="6" w:space="0"/>
            </w:tcBorders>
            <w:shd w:val="clear" w:color="auto" w:fill="auto"/>
            <w:vAlign w:val="center"/>
          </w:tcPr>
          <w:p>
            <w:pPr>
              <w:pStyle w:val="97"/>
              <w:ind w:left="115" w:right="170"/>
            </w:pPr>
            <w:r>
              <w:rPr>
                <w:rFonts w:hint="eastAsia"/>
              </w:rPr>
              <w:t>0.005</w:t>
            </w:r>
          </w:p>
        </w:tc>
        <w:tc>
          <w:tcPr>
            <w:tcW w:w="3261" w:type="dxa"/>
            <w:shd w:val="clear" w:color="auto" w:fill="auto"/>
            <w:vAlign w:val="center"/>
          </w:tcPr>
          <w:p>
            <w:pPr>
              <w:pStyle w:val="92"/>
            </w:pPr>
            <w:r>
              <w:rPr>
                <w:rFonts w:hint="eastAsia"/>
              </w:rPr>
              <w:t>旋风</w:t>
            </w:r>
            <w:r>
              <w:t>收尘</w:t>
            </w:r>
            <w:r>
              <w:rPr>
                <w:rFonts w:hint="eastAsia"/>
              </w:rPr>
              <w:t>+布袋</w:t>
            </w:r>
            <w:r>
              <w:t>除尘</w:t>
            </w:r>
            <w:r>
              <w:rPr>
                <w:rFonts w:hint="eastAsia"/>
              </w:rPr>
              <w:t>+15</w:t>
            </w:r>
            <w:r>
              <w:t>m排气筒</w:t>
            </w:r>
          </w:p>
        </w:tc>
        <w:tc>
          <w:tcPr>
            <w:tcW w:w="995" w:type="dxa"/>
            <w:tcBorders>
              <w:top w:val="single" w:color="auto" w:sz="6" w:space="0"/>
              <w:bottom w:val="single" w:color="auto" w:sz="6" w:space="0"/>
            </w:tcBorders>
            <w:shd w:val="clear" w:color="auto" w:fill="auto"/>
            <w:vAlign w:val="center"/>
          </w:tcPr>
          <w:p>
            <w:pPr>
              <w:pStyle w:val="97"/>
            </w:pPr>
            <w:r>
              <w:rPr>
                <w:rFonts w:hint="eastAsia"/>
              </w:rPr>
              <w:t>99</w:t>
            </w:r>
            <w:r>
              <w:t>%</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tcBorders>
              <w:top w:val="single" w:color="auto" w:sz="6" w:space="0"/>
            </w:tcBorders>
            <w:shd w:val="clear" w:color="auto" w:fill="auto"/>
            <w:vAlign w:val="center"/>
          </w:tcPr>
          <w:p>
            <w:pPr>
              <w:pStyle w:val="92"/>
            </w:pPr>
            <w:r>
              <w:rPr>
                <w:rFonts w:hint="eastAsia"/>
              </w:rPr>
              <w:t>微粉</w:t>
            </w:r>
          </w:p>
        </w:tc>
        <w:tc>
          <w:tcPr>
            <w:tcW w:w="1420" w:type="dxa"/>
            <w:tcBorders>
              <w:top w:val="single" w:color="auto" w:sz="6" w:space="0"/>
              <w:bottom w:val="single" w:color="auto" w:sz="6" w:space="0"/>
            </w:tcBorders>
            <w:shd w:val="clear" w:color="auto" w:fill="auto"/>
            <w:vAlign w:val="center"/>
          </w:tcPr>
          <w:p>
            <w:pPr>
              <w:pStyle w:val="92"/>
              <w:rPr>
                <w:rFonts w:hAnsi="Times New Roman"/>
              </w:rPr>
            </w:pPr>
            <w:r>
              <w:rPr>
                <w:rFonts w:hint="eastAsia" w:hAnsi="Times New Roman"/>
              </w:rPr>
              <w:t>粉尘</w:t>
            </w:r>
          </w:p>
        </w:tc>
        <w:tc>
          <w:tcPr>
            <w:tcW w:w="707" w:type="dxa"/>
            <w:tcBorders>
              <w:top w:val="single" w:color="auto" w:sz="6" w:space="0"/>
              <w:bottom w:val="single" w:color="auto" w:sz="6" w:space="0"/>
              <w:right w:val="single" w:color="auto" w:sz="4" w:space="0"/>
            </w:tcBorders>
            <w:shd w:val="clear" w:color="auto" w:fill="auto"/>
            <w:vAlign w:val="center"/>
          </w:tcPr>
          <w:p>
            <w:pPr>
              <w:pStyle w:val="92"/>
            </w:pPr>
            <w:r>
              <w:rPr>
                <w:rFonts w:hint="eastAsia"/>
              </w:rPr>
              <w:t>0.24</w:t>
            </w:r>
          </w:p>
        </w:tc>
        <w:tc>
          <w:tcPr>
            <w:tcW w:w="992" w:type="dxa"/>
            <w:tcBorders>
              <w:top w:val="single" w:color="auto" w:sz="6" w:space="0"/>
              <w:left w:val="single" w:color="auto" w:sz="4" w:space="0"/>
              <w:bottom w:val="single" w:color="auto" w:sz="6" w:space="0"/>
            </w:tcBorders>
            <w:shd w:val="clear" w:color="auto" w:fill="auto"/>
            <w:vAlign w:val="center"/>
          </w:tcPr>
          <w:p>
            <w:pPr>
              <w:pStyle w:val="97"/>
              <w:ind w:left="115" w:right="170"/>
            </w:pPr>
            <w:r>
              <w:rPr>
                <w:rFonts w:hint="eastAsia"/>
              </w:rPr>
              <w:t>0.005</w:t>
            </w:r>
          </w:p>
        </w:tc>
        <w:tc>
          <w:tcPr>
            <w:tcW w:w="3261" w:type="dxa"/>
            <w:shd w:val="clear" w:color="auto" w:fill="auto"/>
            <w:vAlign w:val="center"/>
          </w:tcPr>
          <w:p>
            <w:pPr>
              <w:pStyle w:val="92"/>
            </w:pPr>
            <w:r>
              <w:rPr>
                <w:rFonts w:hint="eastAsia"/>
              </w:rPr>
              <w:t>旋风</w:t>
            </w:r>
            <w:r>
              <w:t>收尘</w:t>
            </w:r>
            <w:r>
              <w:rPr>
                <w:rFonts w:hint="eastAsia"/>
              </w:rPr>
              <w:t>+布袋</w:t>
            </w:r>
            <w:r>
              <w:t>除尘</w:t>
            </w:r>
            <w:r>
              <w:rPr>
                <w:rFonts w:hint="eastAsia"/>
              </w:rPr>
              <w:t>+15</w:t>
            </w:r>
            <w:r>
              <w:t>m排气筒</w:t>
            </w:r>
          </w:p>
        </w:tc>
        <w:tc>
          <w:tcPr>
            <w:tcW w:w="995" w:type="dxa"/>
            <w:tcBorders>
              <w:top w:val="single" w:color="auto" w:sz="6" w:space="0"/>
              <w:bottom w:val="single" w:color="auto" w:sz="6" w:space="0"/>
            </w:tcBorders>
            <w:shd w:val="clear" w:color="auto" w:fill="auto"/>
            <w:vAlign w:val="center"/>
          </w:tcPr>
          <w:p>
            <w:pPr>
              <w:pStyle w:val="97"/>
            </w:pPr>
            <w:r>
              <w:rPr>
                <w:rFonts w:hint="eastAsia"/>
              </w:rPr>
              <w:t>99</w:t>
            </w:r>
            <w:r>
              <w:t>%</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tcBorders>
              <w:top w:val="single" w:color="auto" w:sz="6" w:space="0"/>
            </w:tcBorders>
            <w:shd w:val="clear" w:color="auto" w:fill="auto"/>
            <w:vAlign w:val="center"/>
          </w:tcPr>
          <w:p>
            <w:pPr>
              <w:pStyle w:val="92"/>
            </w:pPr>
            <w:r>
              <w:rPr>
                <w:rFonts w:hint="eastAsia"/>
              </w:rPr>
              <w:t>甲醇</w:t>
            </w:r>
            <w:r>
              <w:t>回收</w:t>
            </w:r>
          </w:p>
        </w:tc>
        <w:tc>
          <w:tcPr>
            <w:tcW w:w="1420" w:type="dxa"/>
            <w:tcBorders>
              <w:top w:val="single" w:color="auto" w:sz="6" w:space="0"/>
              <w:bottom w:val="single" w:color="auto" w:sz="6" w:space="0"/>
            </w:tcBorders>
            <w:shd w:val="clear" w:color="auto" w:fill="auto"/>
            <w:vAlign w:val="center"/>
          </w:tcPr>
          <w:p>
            <w:pPr>
              <w:pStyle w:val="92"/>
              <w:rPr>
                <w:rFonts w:hAnsi="Times New Roman"/>
              </w:rPr>
            </w:pPr>
            <w:r>
              <w:rPr>
                <w:rFonts w:hint="eastAsia" w:hAnsi="Times New Roman"/>
              </w:rPr>
              <w:t>甲醇</w:t>
            </w:r>
          </w:p>
        </w:tc>
        <w:tc>
          <w:tcPr>
            <w:tcW w:w="707" w:type="dxa"/>
            <w:tcBorders>
              <w:top w:val="single" w:color="auto" w:sz="6" w:space="0"/>
              <w:bottom w:val="single" w:color="auto" w:sz="6" w:space="0"/>
              <w:right w:val="single" w:color="auto" w:sz="4" w:space="0"/>
            </w:tcBorders>
            <w:shd w:val="clear" w:color="auto" w:fill="auto"/>
            <w:vAlign w:val="center"/>
          </w:tcPr>
          <w:p>
            <w:pPr>
              <w:pStyle w:val="92"/>
            </w:pPr>
            <w:r>
              <w:t>7.64</w:t>
            </w:r>
          </w:p>
        </w:tc>
        <w:tc>
          <w:tcPr>
            <w:tcW w:w="992" w:type="dxa"/>
            <w:tcBorders>
              <w:top w:val="single" w:color="auto" w:sz="6" w:space="0"/>
              <w:left w:val="single" w:color="auto" w:sz="4" w:space="0"/>
              <w:bottom w:val="single" w:color="auto" w:sz="6" w:space="0"/>
            </w:tcBorders>
            <w:shd w:val="clear" w:color="auto" w:fill="auto"/>
            <w:vAlign w:val="center"/>
          </w:tcPr>
          <w:p>
            <w:pPr>
              <w:pStyle w:val="97"/>
              <w:ind w:left="115" w:right="170"/>
            </w:pPr>
            <w:r>
              <w:rPr>
                <w:rFonts w:hint="eastAsia"/>
              </w:rPr>
              <w:t>0.07</w:t>
            </w:r>
          </w:p>
        </w:tc>
        <w:tc>
          <w:tcPr>
            <w:tcW w:w="3261" w:type="dxa"/>
            <w:shd w:val="clear" w:color="auto" w:fill="auto"/>
            <w:vAlign w:val="center"/>
          </w:tcPr>
          <w:p>
            <w:pPr>
              <w:pStyle w:val="92"/>
            </w:pPr>
            <w:r>
              <w:rPr>
                <w:rFonts w:hint="eastAsia"/>
              </w:rPr>
              <w:t>冷冻</w:t>
            </w:r>
            <w:r>
              <w:t>回收</w:t>
            </w:r>
            <w:r>
              <w:rPr>
                <w:rFonts w:hint="eastAsia"/>
              </w:rPr>
              <w:t>+15</w:t>
            </w:r>
            <w:r>
              <w:t>m排气筒</w:t>
            </w:r>
          </w:p>
        </w:tc>
        <w:tc>
          <w:tcPr>
            <w:tcW w:w="995" w:type="dxa"/>
            <w:tcBorders>
              <w:top w:val="single" w:color="auto" w:sz="6" w:space="0"/>
              <w:bottom w:val="single" w:color="auto" w:sz="6" w:space="0"/>
            </w:tcBorders>
            <w:shd w:val="clear" w:color="auto" w:fill="auto"/>
            <w:vAlign w:val="center"/>
          </w:tcPr>
          <w:p>
            <w:pPr>
              <w:pStyle w:val="97"/>
            </w:pPr>
            <w:r>
              <w:rPr>
                <w:rFonts w:hint="eastAsia"/>
              </w:rPr>
              <w:t>75</w:t>
            </w:r>
            <w:r>
              <w:t>%</w:t>
            </w:r>
          </w:p>
        </w:tc>
        <w:tc>
          <w:tcPr>
            <w:tcW w:w="4203" w:type="dxa"/>
            <w:tcBorders>
              <w:right w:val="single" w:color="auto" w:sz="12" w:space="0"/>
            </w:tcBorders>
            <w:shd w:val="clear" w:color="auto" w:fill="auto"/>
            <w:vAlign w:val="center"/>
          </w:tcPr>
          <w:p>
            <w:pPr>
              <w:pStyle w:val="92"/>
            </w:pPr>
            <w:r>
              <w:rPr>
                <w:rFonts w:hint="eastAsia"/>
              </w:rPr>
              <w:t>《挥发性有机物排放控制标准》（DB61/T 1061-2017）中医药制造行业标准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vMerge w:val="restart"/>
            <w:tcBorders>
              <w:top w:val="single" w:color="auto" w:sz="6" w:space="0"/>
            </w:tcBorders>
            <w:shd w:val="clear" w:color="auto" w:fill="auto"/>
            <w:vAlign w:val="center"/>
          </w:tcPr>
          <w:p>
            <w:pPr>
              <w:pStyle w:val="92"/>
            </w:pPr>
            <w:r>
              <w:rPr>
                <w:rFonts w:hint="eastAsia"/>
              </w:rPr>
              <w:t>天然气</w:t>
            </w:r>
            <w:r>
              <w:t>锅炉</w:t>
            </w:r>
          </w:p>
        </w:tc>
        <w:tc>
          <w:tcPr>
            <w:tcW w:w="1420" w:type="dxa"/>
            <w:tcBorders>
              <w:top w:val="single" w:color="auto" w:sz="6" w:space="0"/>
              <w:bottom w:val="single" w:color="auto" w:sz="6" w:space="0"/>
            </w:tcBorders>
            <w:shd w:val="clear" w:color="auto" w:fill="auto"/>
            <w:vAlign w:val="center"/>
          </w:tcPr>
          <w:p>
            <w:pPr>
              <w:pStyle w:val="97"/>
            </w:pPr>
            <w:r>
              <w:rPr>
                <w:rFonts w:hint="eastAsia"/>
              </w:rPr>
              <w:t>烟尘</w:t>
            </w:r>
          </w:p>
        </w:tc>
        <w:tc>
          <w:tcPr>
            <w:tcW w:w="707" w:type="dxa"/>
            <w:tcBorders>
              <w:top w:val="single" w:color="auto" w:sz="6" w:space="0"/>
              <w:bottom w:val="single" w:color="auto" w:sz="6" w:space="0"/>
              <w:right w:val="single" w:color="auto" w:sz="4" w:space="0"/>
            </w:tcBorders>
            <w:shd w:val="clear" w:color="auto" w:fill="auto"/>
            <w:vAlign w:val="center"/>
          </w:tcPr>
          <w:p>
            <w:pPr>
              <w:pStyle w:val="97"/>
            </w:pPr>
            <w:r>
              <w:rPr>
                <w:rFonts w:hint="eastAsia"/>
              </w:rPr>
              <w:t>8.81</w:t>
            </w:r>
          </w:p>
        </w:tc>
        <w:tc>
          <w:tcPr>
            <w:tcW w:w="992" w:type="dxa"/>
            <w:tcBorders>
              <w:top w:val="single" w:color="auto" w:sz="6" w:space="0"/>
              <w:left w:val="single" w:color="auto" w:sz="4" w:space="0"/>
              <w:bottom w:val="single" w:color="auto" w:sz="6" w:space="0"/>
            </w:tcBorders>
            <w:shd w:val="clear" w:color="auto" w:fill="auto"/>
            <w:vAlign w:val="center"/>
          </w:tcPr>
          <w:p>
            <w:pPr>
              <w:pStyle w:val="97"/>
            </w:pPr>
            <w:r>
              <w:rPr>
                <w:rFonts w:hint="eastAsia"/>
              </w:rPr>
              <w:t>0.259</w:t>
            </w:r>
          </w:p>
        </w:tc>
        <w:tc>
          <w:tcPr>
            <w:tcW w:w="3261" w:type="dxa"/>
            <w:vMerge w:val="restart"/>
            <w:tcBorders>
              <w:top w:val="single" w:color="auto" w:sz="6" w:space="0"/>
            </w:tcBorders>
            <w:shd w:val="clear" w:color="auto" w:fill="auto"/>
            <w:vAlign w:val="center"/>
          </w:tcPr>
          <w:p>
            <w:pPr>
              <w:pStyle w:val="97"/>
            </w:pPr>
            <w:r>
              <w:rPr>
                <w:rFonts w:hint="eastAsia"/>
              </w:rPr>
              <w:t>低氮</w:t>
            </w:r>
            <w:r>
              <w:t>燃烧</w:t>
            </w:r>
            <w:r>
              <w:rPr>
                <w:rFonts w:hint="eastAsia"/>
              </w:rPr>
              <w:t>+</w:t>
            </w:r>
            <w:r>
              <w:t>15m</w:t>
            </w:r>
            <w:r>
              <w:rPr>
                <w:rFonts w:hint="eastAsia"/>
              </w:rPr>
              <w:t>高</w:t>
            </w:r>
            <w:r>
              <w:t>排气筒</w:t>
            </w:r>
          </w:p>
        </w:tc>
        <w:tc>
          <w:tcPr>
            <w:tcW w:w="995" w:type="dxa"/>
            <w:tcBorders>
              <w:top w:val="single" w:color="auto" w:sz="6" w:space="0"/>
              <w:bottom w:val="single" w:color="auto" w:sz="6" w:space="0"/>
            </w:tcBorders>
            <w:shd w:val="clear" w:color="auto" w:fill="auto"/>
            <w:vAlign w:val="center"/>
          </w:tcPr>
          <w:p>
            <w:pPr>
              <w:pStyle w:val="97"/>
            </w:pPr>
            <w:r>
              <w:rPr>
                <w:rFonts w:hint="eastAsia"/>
              </w:rPr>
              <w:t>0</w:t>
            </w:r>
          </w:p>
        </w:tc>
        <w:tc>
          <w:tcPr>
            <w:tcW w:w="4203" w:type="dxa"/>
            <w:vMerge w:val="restart"/>
            <w:tcBorders>
              <w:right w:val="single" w:color="auto" w:sz="12" w:space="0"/>
            </w:tcBorders>
            <w:shd w:val="clear" w:color="auto" w:fill="auto"/>
            <w:vAlign w:val="center"/>
          </w:tcPr>
          <w:p>
            <w:pPr>
              <w:pStyle w:val="92"/>
            </w:pPr>
            <w:r>
              <w:rPr>
                <w:bCs/>
              </w:rPr>
              <w:t>《锅炉大气污染物排放标准》（DB61/1226-2018）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vMerge w:val="continue"/>
            <w:shd w:val="clear" w:color="auto" w:fill="auto"/>
            <w:vAlign w:val="center"/>
          </w:tcPr>
          <w:p>
            <w:pPr>
              <w:pStyle w:val="92"/>
            </w:pPr>
          </w:p>
        </w:tc>
        <w:tc>
          <w:tcPr>
            <w:tcW w:w="1420" w:type="dxa"/>
            <w:tcBorders>
              <w:top w:val="single" w:color="auto" w:sz="6" w:space="0"/>
              <w:bottom w:val="single" w:color="auto" w:sz="6" w:space="0"/>
            </w:tcBorders>
            <w:shd w:val="clear" w:color="auto" w:fill="auto"/>
            <w:vAlign w:val="center"/>
          </w:tcPr>
          <w:p>
            <w:pPr>
              <w:pStyle w:val="97"/>
            </w:pPr>
            <w:r>
              <w:rPr>
                <w:rFonts w:hint="eastAsia"/>
              </w:rPr>
              <w:t>SO</w:t>
            </w:r>
            <w:r>
              <w:rPr>
                <w:rFonts w:hint="eastAsia"/>
                <w:vertAlign w:val="subscript"/>
              </w:rPr>
              <w:t>2</w:t>
            </w:r>
          </w:p>
        </w:tc>
        <w:tc>
          <w:tcPr>
            <w:tcW w:w="707" w:type="dxa"/>
            <w:tcBorders>
              <w:top w:val="single" w:color="auto" w:sz="6" w:space="0"/>
              <w:bottom w:val="single" w:color="auto" w:sz="6" w:space="0"/>
              <w:right w:val="single" w:color="auto" w:sz="4" w:space="0"/>
            </w:tcBorders>
            <w:shd w:val="clear" w:color="auto" w:fill="auto"/>
            <w:vAlign w:val="center"/>
          </w:tcPr>
          <w:p>
            <w:pPr>
              <w:pStyle w:val="97"/>
            </w:pPr>
            <w:r>
              <w:rPr>
                <w:rFonts w:hint="eastAsia"/>
              </w:rPr>
              <w:t>7.34</w:t>
            </w:r>
          </w:p>
        </w:tc>
        <w:tc>
          <w:tcPr>
            <w:tcW w:w="992" w:type="dxa"/>
            <w:tcBorders>
              <w:top w:val="single" w:color="auto" w:sz="6" w:space="0"/>
              <w:left w:val="single" w:color="auto" w:sz="4" w:space="0"/>
              <w:bottom w:val="single" w:color="auto" w:sz="6" w:space="0"/>
            </w:tcBorders>
            <w:shd w:val="clear" w:color="auto" w:fill="auto"/>
            <w:vAlign w:val="center"/>
          </w:tcPr>
          <w:p>
            <w:pPr>
              <w:pStyle w:val="97"/>
            </w:pPr>
            <w:r>
              <w:rPr>
                <w:rFonts w:hint="eastAsia"/>
              </w:rPr>
              <w:t>0.216</w:t>
            </w:r>
          </w:p>
        </w:tc>
        <w:tc>
          <w:tcPr>
            <w:tcW w:w="3261" w:type="dxa"/>
            <w:vMerge w:val="continue"/>
            <w:shd w:val="clear" w:color="auto" w:fill="auto"/>
            <w:vAlign w:val="center"/>
          </w:tcPr>
          <w:p>
            <w:pPr>
              <w:pStyle w:val="92"/>
            </w:pPr>
          </w:p>
        </w:tc>
        <w:tc>
          <w:tcPr>
            <w:tcW w:w="995" w:type="dxa"/>
            <w:tcBorders>
              <w:top w:val="single" w:color="auto" w:sz="6" w:space="0"/>
              <w:bottom w:val="single" w:color="auto" w:sz="6" w:space="0"/>
            </w:tcBorders>
            <w:shd w:val="clear" w:color="auto" w:fill="auto"/>
            <w:vAlign w:val="center"/>
          </w:tcPr>
          <w:p>
            <w:pPr>
              <w:pStyle w:val="97"/>
            </w:pPr>
            <w:r>
              <w:rPr>
                <w:rFonts w:hint="eastAsia"/>
              </w:rPr>
              <w:t>0</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vMerge w:val="continue"/>
            <w:tcBorders>
              <w:bottom w:val="single" w:color="auto" w:sz="6" w:space="0"/>
            </w:tcBorders>
            <w:shd w:val="clear" w:color="auto" w:fill="auto"/>
            <w:vAlign w:val="center"/>
          </w:tcPr>
          <w:p>
            <w:pPr>
              <w:pStyle w:val="92"/>
            </w:pPr>
          </w:p>
        </w:tc>
        <w:tc>
          <w:tcPr>
            <w:tcW w:w="1420" w:type="dxa"/>
            <w:tcBorders>
              <w:top w:val="single" w:color="auto" w:sz="6" w:space="0"/>
              <w:bottom w:val="single" w:color="auto" w:sz="6" w:space="0"/>
            </w:tcBorders>
            <w:shd w:val="clear" w:color="auto" w:fill="auto"/>
            <w:vAlign w:val="center"/>
          </w:tcPr>
          <w:p>
            <w:pPr>
              <w:pStyle w:val="97"/>
            </w:pPr>
            <w:r>
              <w:rPr>
                <w:rFonts w:hint="eastAsia"/>
              </w:rPr>
              <w:t>NO</w:t>
            </w:r>
            <w:r>
              <w:rPr>
                <w:rFonts w:hint="eastAsia"/>
                <w:vertAlign w:val="subscript"/>
              </w:rPr>
              <w:t>X</w:t>
            </w:r>
          </w:p>
        </w:tc>
        <w:tc>
          <w:tcPr>
            <w:tcW w:w="707" w:type="dxa"/>
            <w:tcBorders>
              <w:top w:val="single" w:color="auto" w:sz="6" w:space="0"/>
              <w:bottom w:val="single" w:color="auto" w:sz="6" w:space="0"/>
              <w:right w:val="single" w:color="auto" w:sz="4" w:space="0"/>
            </w:tcBorders>
            <w:shd w:val="clear" w:color="auto" w:fill="auto"/>
            <w:vAlign w:val="center"/>
          </w:tcPr>
          <w:p>
            <w:pPr>
              <w:pStyle w:val="97"/>
            </w:pPr>
            <w:r>
              <w:rPr>
                <w:rFonts w:hint="eastAsia"/>
              </w:rPr>
              <w:t>6.87</w:t>
            </w:r>
          </w:p>
        </w:tc>
        <w:tc>
          <w:tcPr>
            <w:tcW w:w="992" w:type="dxa"/>
            <w:tcBorders>
              <w:top w:val="single" w:color="auto" w:sz="6" w:space="0"/>
              <w:left w:val="single" w:color="auto" w:sz="4" w:space="0"/>
              <w:bottom w:val="single" w:color="auto" w:sz="6" w:space="0"/>
            </w:tcBorders>
            <w:shd w:val="clear" w:color="auto" w:fill="auto"/>
            <w:vAlign w:val="center"/>
          </w:tcPr>
          <w:p>
            <w:pPr>
              <w:pStyle w:val="97"/>
            </w:pPr>
            <w:r>
              <w:rPr>
                <w:rFonts w:hint="eastAsia"/>
              </w:rPr>
              <w:t>0.202</w:t>
            </w:r>
          </w:p>
        </w:tc>
        <w:tc>
          <w:tcPr>
            <w:tcW w:w="3261" w:type="dxa"/>
            <w:vMerge w:val="continue"/>
            <w:tcBorders>
              <w:bottom w:val="single" w:color="auto" w:sz="6" w:space="0"/>
            </w:tcBorders>
            <w:shd w:val="clear" w:color="auto" w:fill="auto"/>
            <w:vAlign w:val="center"/>
          </w:tcPr>
          <w:p>
            <w:pPr>
              <w:pStyle w:val="97"/>
            </w:pPr>
          </w:p>
        </w:tc>
        <w:tc>
          <w:tcPr>
            <w:tcW w:w="995" w:type="dxa"/>
            <w:tcBorders>
              <w:top w:val="single" w:color="auto" w:sz="6" w:space="0"/>
              <w:bottom w:val="single" w:color="auto" w:sz="6" w:space="0"/>
            </w:tcBorders>
            <w:shd w:val="clear" w:color="auto" w:fill="auto"/>
            <w:vAlign w:val="center"/>
          </w:tcPr>
          <w:p>
            <w:pPr>
              <w:pStyle w:val="97"/>
            </w:pPr>
            <w:r>
              <w:rPr>
                <w:rFonts w:hint="eastAsia"/>
              </w:rPr>
              <w:t>95</w:t>
            </w:r>
            <w:r>
              <w:t>%</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vMerge w:val="restart"/>
            <w:tcBorders>
              <w:top w:val="single" w:color="auto" w:sz="6" w:space="0"/>
            </w:tcBorders>
            <w:shd w:val="clear" w:color="auto" w:fill="auto"/>
            <w:vAlign w:val="center"/>
          </w:tcPr>
          <w:p>
            <w:pPr>
              <w:pStyle w:val="92"/>
            </w:pPr>
            <w:r>
              <w:rPr>
                <w:rFonts w:hint="eastAsia"/>
              </w:rPr>
              <w:t>储罐区</w:t>
            </w:r>
            <w:r>
              <w:t>大小呼吸</w:t>
            </w:r>
          </w:p>
        </w:tc>
        <w:tc>
          <w:tcPr>
            <w:tcW w:w="1420" w:type="dxa"/>
            <w:tcBorders>
              <w:top w:val="single" w:color="auto" w:sz="6" w:space="0"/>
              <w:bottom w:val="single" w:color="auto" w:sz="6" w:space="0"/>
            </w:tcBorders>
            <w:shd w:val="clear" w:color="auto" w:fill="auto"/>
            <w:vAlign w:val="center"/>
          </w:tcPr>
          <w:p>
            <w:pPr>
              <w:pStyle w:val="92"/>
              <w:rPr>
                <w:rFonts w:hAnsi="Times New Roman"/>
              </w:rPr>
            </w:pPr>
            <w:r>
              <w:rPr>
                <w:rFonts w:hint="eastAsia" w:hAnsi="Times New Roman"/>
              </w:rPr>
              <w:t>非甲烷</w:t>
            </w:r>
            <w:r>
              <w:rPr>
                <w:rFonts w:hAnsi="Times New Roman"/>
              </w:rPr>
              <w:t>总烃</w:t>
            </w:r>
          </w:p>
        </w:tc>
        <w:tc>
          <w:tcPr>
            <w:tcW w:w="707" w:type="dxa"/>
            <w:tcBorders>
              <w:top w:val="single" w:color="auto" w:sz="6" w:space="0"/>
              <w:bottom w:val="single" w:color="auto" w:sz="6" w:space="0"/>
              <w:right w:val="single" w:color="auto" w:sz="4" w:space="0"/>
            </w:tcBorders>
            <w:shd w:val="clear" w:color="auto" w:fill="auto"/>
            <w:vAlign w:val="center"/>
          </w:tcPr>
          <w:p>
            <w:pPr>
              <w:pStyle w:val="92"/>
            </w:pPr>
            <w:r>
              <w:rPr>
                <w:rFonts w:hint="eastAsia"/>
              </w:rPr>
              <w:t>/</w:t>
            </w:r>
          </w:p>
        </w:tc>
        <w:tc>
          <w:tcPr>
            <w:tcW w:w="992" w:type="dxa"/>
            <w:tcBorders>
              <w:top w:val="single" w:color="auto" w:sz="6" w:space="0"/>
              <w:left w:val="single" w:color="auto" w:sz="4" w:space="0"/>
              <w:bottom w:val="single" w:color="auto" w:sz="6" w:space="0"/>
            </w:tcBorders>
            <w:shd w:val="clear" w:color="auto" w:fill="auto"/>
            <w:vAlign w:val="center"/>
          </w:tcPr>
          <w:p>
            <w:pPr>
              <w:pStyle w:val="97"/>
            </w:pPr>
            <w:r>
              <w:rPr>
                <w:rFonts w:hint="eastAsia"/>
              </w:rPr>
              <w:t>0.008</w:t>
            </w:r>
          </w:p>
        </w:tc>
        <w:tc>
          <w:tcPr>
            <w:tcW w:w="3261" w:type="dxa"/>
            <w:vMerge w:val="restart"/>
            <w:tcBorders>
              <w:top w:val="single" w:color="auto" w:sz="6" w:space="0"/>
            </w:tcBorders>
            <w:shd w:val="clear" w:color="auto" w:fill="auto"/>
            <w:vAlign w:val="center"/>
          </w:tcPr>
          <w:p>
            <w:pPr>
              <w:pStyle w:val="97"/>
            </w:pPr>
            <w:r>
              <w:rPr>
                <w:rFonts w:hint="eastAsia"/>
              </w:rPr>
              <w:t>地埋式</w:t>
            </w:r>
            <w:r>
              <w:t>储罐</w:t>
            </w:r>
          </w:p>
        </w:tc>
        <w:tc>
          <w:tcPr>
            <w:tcW w:w="995" w:type="dxa"/>
            <w:tcBorders>
              <w:top w:val="single" w:color="auto" w:sz="6" w:space="0"/>
              <w:bottom w:val="single" w:color="auto" w:sz="6" w:space="0"/>
            </w:tcBorders>
            <w:shd w:val="clear" w:color="auto" w:fill="auto"/>
            <w:vAlign w:val="center"/>
          </w:tcPr>
          <w:p>
            <w:pPr>
              <w:pStyle w:val="97"/>
            </w:pPr>
            <w:r>
              <w:rPr>
                <w:rFonts w:hint="eastAsia"/>
              </w:rPr>
              <w:t>0</w:t>
            </w:r>
          </w:p>
        </w:tc>
        <w:tc>
          <w:tcPr>
            <w:tcW w:w="4203" w:type="dxa"/>
            <w:vMerge w:val="restart"/>
            <w:tcBorders>
              <w:right w:val="single" w:color="auto" w:sz="12" w:space="0"/>
            </w:tcBorders>
            <w:shd w:val="clear" w:color="auto" w:fill="auto"/>
            <w:vAlign w:val="center"/>
          </w:tcPr>
          <w:p>
            <w:pPr>
              <w:pStyle w:val="92"/>
              <w:jc w:val="both"/>
            </w:pPr>
            <w:r>
              <w:rPr>
                <w:rFonts w:hint="eastAsia"/>
              </w:rPr>
              <w:t>厂</w:t>
            </w:r>
            <w:r>
              <w:t>界</w:t>
            </w:r>
            <w:r>
              <w:rPr>
                <w:rFonts w:hint="eastAsia"/>
              </w:rPr>
              <w:t>甲醇、</w:t>
            </w:r>
            <w:r>
              <w:t>非甲烷总烃执行《大气污染物综合排放标准》（GB16297-1996）二级</w:t>
            </w:r>
          </w:p>
          <w:p>
            <w:pPr>
              <w:pStyle w:val="92"/>
            </w:pPr>
            <w:r>
              <w:rPr>
                <w:rFonts w:hint="eastAsia"/>
              </w:rPr>
              <w:t>厂内非甲烷</w:t>
            </w:r>
            <w:r>
              <w:t>总烃执行</w:t>
            </w:r>
            <w:r>
              <w:rPr>
                <w:rFonts w:hint="eastAsia"/>
              </w:rPr>
              <w:t>《挥发性有机物无组织排放控制标准》（GB37822-2019）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1900" w:type="dxa"/>
            <w:gridSpan w:val="2"/>
            <w:vMerge w:val="continue"/>
            <w:tcBorders>
              <w:bottom w:val="single" w:color="auto" w:sz="6" w:space="0"/>
            </w:tcBorders>
            <w:shd w:val="clear" w:color="auto" w:fill="auto"/>
            <w:vAlign w:val="center"/>
          </w:tcPr>
          <w:p>
            <w:pPr>
              <w:pStyle w:val="92"/>
            </w:pPr>
          </w:p>
        </w:tc>
        <w:tc>
          <w:tcPr>
            <w:tcW w:w="1420" w:type="dxa"/>
            <w:tcBorders>
              <w:top w:val="single" w:color="auto" w:sz="6" w:space="0"/>
              <w:bottom w:val="single" w:color="auto" w:sz="6" w:space="0"/>
            </w:tcBorders>
            <w:shd w:val="clear" w:color="auto" w:fill="auto"/>
            <w:vAlign w:val="center"/>
          </w:tcPr>
          <w:p>
            <w:pPr>
              <w:pStyle w:val="92"/>
              <w:rPr>
                <w:rFonts w:hAnsi="Times New Roman"/>
              </w:rPr>
            </w:pPr>
            <w:r>
              <w:rPr>
                <w:rFonts w:hint="eastAsia" w:hAnsi="Times New Roman"/>
              </w:rPr>
              <w:t>甲醇</w:t>
            </w:r>
          </w:p>
        </w:tc>
        <w:tc>
          <w:tcPr>
            <w:tcW w:w="707" w:type="dxa"/>
            <w:tcBorders>
              <w:top w:val="single" w:color="auto" w:sz="6" w:space="0"/>
              <w:bottom w:val="single" w:color="auto" w:sz="6" w:space="0"/>
              <w:right w:val="single" w:color="auto" w:sz="4" w:space="0"/>
            </w:tcBorders>
            <w:shd w:val="clear" w:color="auto" w:fill="auto"/>
            <w:vAlign w:val="center"/>
          </w:tcPr>
          <w:p>
            <w:pPr>
              <w:pStyle w:val="92"/>
            </w:pPr>
            <w:r>
              <w:rPr>
                <w:rFonts w:hint="eastAsia"/>
              </w:rPr>
              <w:t>/</w:t>
            </w:r>
          </w:p>
        </w:tc>
        <w:tc>
          <w:tcPr>
            <w:tcW w:w="992" w:type="dxa"/>
            <w:tcBorders>
              <w:top w:val="single" w:color="auto" w:sz="6" w:space="0"/>
              <w:left w:val="single" w:color="auto" w:sz="4" w:space="0"/>
              <w:bottom w:val="single" w:color="auto" w:sz="6" w:space="0"/>
            </w:tcBorders>
            <w:shd w:val="clear" w:color="auto" w:fill="auto"/>
            <w:vAlign w:val="center"/>
          </w:tcPr>
          <w:p>
            <w:pPr>
              <w:pStyle w:val="97"/>
            </w:pPr>
            <w:r>
              <w:rPr>
                <w:rFonts w:hint="eastAsia"/>
              </w:rPr>
              <w:t>0.00</w:t>
            </w:r>
            <w:r>
              <w:t>3</w:t>
            </w:r>
          </w:p>
        </w:tc>
        <w:tc>
          <w:tcPr>
            <w:tcW w:w="3261" w:type="dxa"/>
            <w:vMerge w:val="continue"/>
            <w:shd w:val="clear" w:color="auto" w:fill="auto"/>
            <w:vAlign w:val="center"/>
          </w:tcPr>
          <w:p>
            <w:pPr>
              <w:pStyle w:val="92"/>
            </w:pPr>
          </w:p>
        </w:tc>
        <w:tc>
          <w:tcPr>
            <w:tcW w:w="995" w:type="dxa"/>
            <w:tcBorders>
              <w:top w:val="single" w:color="auto" w:sz="6" w:space="0"/>
              <w:bottom w:val="single" w:color="auto" w:sz="6" w:space="0"/>
            </w:tcBorders>
            <w:shd w:val="clear" w:color="auto" w:fill="auto"/>
            <w:vAlign w:val="center"/>
          </w:tcPr>
          <w:p>
            <w:pPr>
              <w:pStyle w:val="97"/>
            </w:pPr>
            <w:r>
              <w:rPr>
                <w:rFonts w:hint="eastAsia"/>
              </w:rPr>
              <w:t>0</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4" w:type="dxa"/>
            <w:vMerge w:val="restart"/>
            <w:tcBorders>
              <w:top w:val="single" w:color="auto" w:sz="6" w:space="0"/>
              <w:left w:val="single" w:color="auto" w:sz="12" w:space="0"/>
            </w:tcBorders>
            <w:shd w:val="clear" w:color="auto" w:fill="auto"/>
            <w:vAlign w:val="center"/>
          </w:tcPr>
          <w:p>
            <w:pPr>
              <w:pStyle w:val="92"/>
              <w:rPr>
                <w:highlight w:val="yellow"/>
              </w:rPr>
            </w:pPr>
            <w:r>
              <w:t>废水</w:t>
            </w:r>
          </w:p>
        </w:tc>
        <w:tc>
          <w:tcPr>
            <w:tcW w:w="1900" w:type="dxa"/>
            <w:gridSpan w:val="2"/>
            <w:vMerge w:val="restart"/>
            <w:tcBorders>
              <w:top w:val="single" w:color="auto" w:sz="6" w:space="0"/>
            </w:tcBorders>
            <w:shd w:val="clear" w:color="auto" w:fill="auto"/>
            <w:vAlign w:val="center"/>
          </w:tcPr>
          <w:p>
            <w:pPr>
              <w:pStyle w:val="92"/>
            </w:pPr>
            <w:r>
              <w:rPr>
                <w:rFonts w:hint="eastAsia"/>
              </w:rPr>
              <w:t>生活</w:t>
            </w:r>
            <w:r>
              <w:t>污水</w:t>
            </w:r>
          </w:p>
          <w:p>
            <w:pPr>
              <w:pStyle w:val="92"/>
            </w:pPr>
            <w:r>
              <w:rPr>
                <w:rFonts w:hint="eastAsia"/>
              </w:rPr>
              <w:t>160.2</w:t>
            </w:r>
            <w:r>
              <w:t>m</w:t>
            </w:r>
            <w:r>
              <w:rPr>
                <w:vertAlign w:val="superscript"/>
              </w:rPr>
              <w:t>3</w:t>
            </w:r>
            <w:r>
              <w:t>/a</w:t>
            </w:r>
          </w:p>
        </w:tc>
        <w:tc>
          <w:tcPr>
            <w:tcW w:w="1420" w:type="dxa"/>
            <w:tcBorders>
              <w:top w:val="single" w:color="auto" w:sz="6" w:space="0"/>
            </w:tcBorders>
            <w:shd w:val="clear" w:color="auto" w:fill="auto"/>
            <w:vAlign w:val="center"/>
          </w:tcPr>
          <w:p>
            <w:pPr>
              <w:pStyle w:val="97"/>
            </w:pPr>
            <w:r>
              <w:t>COD</w:t>
            </w:r>
          </w:p>
        </w:tc>
        <w:tc>
          <w:tcPr>
            <w:tcW w:w="707" w:type="dxa"/>
            <w:tcBorders>
              <w:top w:val="single" w:color="auto" w:sz="6" w:space="0"/>
            </w:tcBorders>
            <w:shd w:val="clear" w:color="auto" w:fill="auto"/>
            <w:vAlign w:val="center"/>
          </w:tcPr>
          <w:p>
            <w:pPr>
              <w:pStyle w:val="97"/>
            </w:pPr>
            <w:r>
              <w:rPr>
                <w:rFonts w:hint="eastAsia"/>
              </w:rPr>
              <w:t>297.5</w:t>
            </w:r>
          </w:p>
        </w:tc>
        <w:tc>
          <w:tcPr>
            <w:tcW w:w="992" w:type="dxa"/>
            <w:tcBorders>
              <w:top w:val="single" w:color="auto" w:sz="6" w:space="0"/>
            </w:tcBorders>
            <w:shd w:val="clear" w:color="auto" w:fill="auto"/>
            <w:vAlign w:val="center"/>
          </w:tcPr>
          <w:p>
            <w:pPr>
              <w:pStyle w:val="97"/>
            </w:pPr>
            <w:r>
              <w:rPr>
                <w:rFonts w:hint="eastAsia"/>
              </w:rPr>
              <w:t>0.0</w:t>
            </w:r>
            <w:r>
              <w:t>48</w:t>
            </w:r>
          </w:p>
        </w:tc>
        <w:tc>
          <w:tcPr>
            <w:tcW w:w="3261" w:type="dxa"/>
            <w:vMerge w:val="restart"/>
            <w:tcBorders>
              <w:top w:val="single" w:color="auto" w:sz="6" w:space="0"/>
            </w:tcBorders>
            <w:shd w:val="clear" w:color="auto" w:fill="auto"/>
            <w:vAlign w:val="center"/>
          </w:tcPr>
          <w:p>
            <w:pPr>
              <w:pStyle w:val="92"/>
            </w:pPr>
            <w:r>
              <w:t>经化粪池预处理后排入</w:t>
            </w:r>
            <w:r>
              <w:rPr>
                <w:rFonts w:hint="eastAsia"/>
              </w:rPr>
              <w:t>吕河镇污水</w:t>
            </w:r>
            <w:r>
              <w:t>处理厂处理</w:t>
            </w:r>
          </w:p>
        </w:tc>
        <w:tc>
          <w:tcPr>
            <w:tcW w:w="995" w:type="dxa"/>
            <w:tcBorders>
              <w:top w:val="single" w:color="auto" w:sz="6" w:space="0"/>
            </w:tcBorders>
            <w:shd w:val="clear" w:color="auto" w:fill="auto"/>
            <w:vAlign w:val="center"/>
          </w:tcPr>
          <w:p>
            <w:pPr>
              <w:pStyle w:val="97"/>
            </w:pPr>
            <w:r>
              <w:t>15%</w:t>
            </w:r>
          </w:p>
        </w:tc>
        <w:tc>
          <w:tcPr>
            <w:tcW w:w="4203" w:type="dxa"/>
            <w:vMerge w:val="restart"/>
            <w:tcBorders>
              <w:top w:val="single" w:color="auto" w:sz="6" w:space="0"/>
              <w:right w:val="single" w:color="auto" w:sz="12" w:space="0"/>
            </w:tcBorders>
            <w:shd w:val="clear" w:color="auto" w:fill="auto"/>
            <w:vAlign w:val="center"/>
          </w:tcPr>
          <w:p>
            <w:pPr>
              <w:pStyle w:val="92"/>
            </w:pPr>
            <w:r>
              <w:rPr>
                <w:rFonts w:hint="eastAsia"/>
              </w:rPr>
              <w:t>《污水综合排放标准》（GB8978-1996）表4中三级标准及《污水排入城镇下水道水质标准》（GB/T 31962-2015）表1中B级标准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4" w:type="dxa"/>
            <w:vMerge w:val="continue"/>
            <w:tcBorders>
              <w:top w:val="single" w:color="auto" w:sz="6" w:space="0"/>
              <w:left w:val="single" w:color="auto" w:sz="12" w:space="0"/>
            </w:tcBorders>
            <w:shd w:val="clear" w:color="auto" w:fill="auto"/>
            <w:vAlign w:val="center"/>
          </w:tcPr>
          <w:p>
            <w:pPr>
              <w:pStyle w:val="92"/>
              <w:rPr>
                <w:highlight w:val="yellow"/>
              </w:rPr>
            </w:pPr>
          </w:p>
        </w:tc>
        <w:tc>
          <w:tcPr>
            <w:tcW w:w="1900" w:type="dxa"/>
            <w:gridSpan w:val="2"/>
            <w:vMerge w:val="continue"/>
            <w:shd w:val="clear" w:color="auto" w:fill="auto"/>
            <w:vAlign w:val="center"/>
          </w:tcPr>
          <w:p>
            <w:pPr>
              <w:pStyle w:val="92"/>
            </w:pPr>
          </w:p>
        </w:tc>
        <w:tc>
          <w:tcPr>
            <w:tcW w:w="1420" w:type="dxa"/>
            <w:tcBorders>
              <w:top w:val="single" w:color="auto" w:sz="6" w:space="0"/>
            </w:tcBorders>
            <w:shd w:val="clear" w:color="auto" w:fill="auto"/>
            <w:vAlign w:val="center"/>
          </w:tcPr>
          <w:p>
            <w:pPr>
              <w:pStyle w:val="97"/>
            </w:pPr>
            <w:r>
              <w:t>BOD</w:t>
            </w:r>
            <w:r>
              <w:rPr>
                <w:vertAlign w:val="subscript"/>
              </w:rPr>
              <w:t>5</w:t>
            </w:r>
          </w:p>
        </w:tc>
        <w:tc>
          <w:tcPr>
            <w:tcW w:w="707" w:type="dxa"/>
            <w:tcBorders>
              <w:top w:val="single" w:color="auto" w:sz="6" w:space="0"/>
            </w:tcBorders>
            <w:shd w:val="clear" w:color="auto" w:fill="auto"/>
            <w:vAlign w:val="center"/>
          </w:tcPr>
          <w:p>
            <w:pPr>
              <w:pStyle w:val="97"/>
            </w:pPr>
            <w:r>
              <w:rPr>
                <w:rFonts w:hint="eastAsia"/>
              </w:rPr>
              <w:t>136.5</w:t>
            </w:r>
          </w:p>
        </w:tc>
        <w:tc>
          <w:tcPr>
            <w:tcW w:w="992" w:type="dxa"/>
            <w:tcBorders>
              <w:top w:val="single" w:color="auto" w:sz="6" w:space="0"/>
            </w:tcBorders>
            <w:shd w:val="clear" w:color="auto" w:fill="auto"/>
            <w:vAlign w:val="center"/>
          </w:tcPr>
          <w:p>
            <w:pPr>
              <w:pStyle w:val="97"/>
            </w:pPr>
            <w:r>
              <w:rPr>
                <w:rFonts w:hint="eastAsia"/>
              </w:rPr>
              <w:t>0.022</w:t>
            </w:r>
          </w:p>
        </w:tc>
        <w:tc>
          <w:tcPr>
            <w:tcW w:w="3261" w:type="dxa"/>
            <w:vMerge w:val="continue"/>
            <w:shd w:val="clear" w:color="auto" w:fill="auto"/>
            <w:vAlign w:val="center"/>
          </w:tcPr>
          <w:p>
            <w:pPr>
              <w:pStyle w:val="92"/>
            </w:pPr>
          </w:p>
        </w:tc>
        <w:tc>
          <w:tcPr>
            <w:tcW w:w="995" w:type="dxa"/>
            <w:tcBorders>
              <w:top w:val="single" w:color="auto" w:sz="6" w:space="0"/>
            </w:tcBorders>
            <w:shd w:val="clear" w:color="auto" w:fill="auto"/>
            <w:vAlign w:val="center"/>
          </w:tcPr>
          <w:p>
            <w:pPr>
              <w:pStyle w:val="97"/>
            </w:pPr>
            <w:r>
              <w:rPr>
                <w:rFonts w:hint="eastAsia"/>
              </w:rPr>
              <w:t>9</w:t>
            </w:r>
            <w:r>
              <w:t>%</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4" w:type="dxa"/>
            <w:vMerge w:val="continue"/>
            <w:tcBorders>
              <w:top w:val="single" w:color="auto" w:sz="6" w:space="0"/>
              <w:left w:val="single" w:color="auto" w:sz="12" w:space="0"/>
            </w:tcBorders>
            <w:shd w:val="clear" w:color="auto" w:fill="auto"/>
            <w:vAlign w:val="center"/>
          </w:tcPr>
          <w:p>
            <w:pPr>
              <w:pStyle w:val="92"/>
              <w:rPr>
                <w:highlight w:val="yellow"/>
              </w:rPr>
            </w:pPr>
          </w:p>
        </w:tc>
        <w:tc>
          <w:tcPr>
            <w:tcW w:w="1900" w:type="dxa"/>
            <w:gridSpan w:val="2"/>
            <w:vMerge w:val="continue"/>
            <w:shd w:val="clear" w:color="auto" w:fill="auto"/>
            <w:vAlign w:val="center"/>
          </w:tcPr>
          <w:p>
            <w:pPr>
              <w:pStyle w:val="92"/>
            </w:pPr>
          </w:p>
        </w:tc>
        <w:tc>
          <w:tcPr>
            <w:tcW w:w="1420" w:type="dxa"/>
            <w:tcBorders>
              <w:top w:val="single" w:color="auto" w:sz="6" w:space="0"/>
            </w:tcBorders>
            <w:shd w:val="clear" w:color="auto" w:fill="auto"/>
            <w:vAlign w:val="center"/>
          </w:tcPr>
          <w:p>
            <w:pPr>
              <w:pStyle w:val="97"/>
            </w:pPr>
            <w:r>
              <w:t>SS</w:t>
            </w:r>
          </w:p>
        </w:tc>
        <w:tc>
          <w:tcPr>
            <w:tcW w:w="707" w:type="dxa"/>
            <w:tcBorders>
              <w:top w:val="single" w:color="auto" w:sz="6" w:space="0"/>
            </w:tcBorders>
            <w:shd w:val="clear" w:color="auto" w:fill="auto"/>
            <w:vAlign w:val="center"/>
          </w:tcPr>
          <w:p>
            <w:pPr>
              <w:pStyle w:val="97"/>
            </w:pPr>
            <w:r>
              <w:rPr>
                <w:rFonts w:hint="eastAsia"/>
              </w:rPr>
              <w:t>210</w:t>
            </w:r>
          </w:p>
        </w:tc>
        <w:tc>
          <w:tcPr>
            <w:tcW w:w="992" w:type="dxa"/>
            <w:tcBorders>
              <w:top w:val="single" w:color="auto" w:sz="6" w:space="0"/>
            </w:tcBorders>
            <w:shd w:val="clear" w:color="auto" w:fill="auto"/>
            <w:vAlign w:val="center"/>
          </w:tcPr>
          <w:p>
            <w:pPr>
              <w:pStyle w:val="97"/>
            </w:pPr>
            <w:r>
              <w:rPr>
                <w:rFonts w:hint="eastAsia"/>
              </w:rPr>
              <w:t>0.034</w:t>
            </w:r>
          </w:p>
        </w:tc>
        <w:tc>
          <w:tcPr>
            <w:tcW w:w="3261" w:type="dxa"/>
            <w:vMerge w:val="continue"/>
            <w:shd w:val="clear" w:color="auto" w:fill="auto"/>
            <w:vAlign w:val="center"/>
          </w:tcPr>
          <w:p>
            <w:pPr>
              <w:pStyle w:val="92"/>
            </w:pPr>
          </w:p>
        </w:tc>
        <w:tc>
          <w:tcPr>
            <w:tcW w:w="995" w:type="dxa"/>
            <w:tcBorders>
              <w:top w:val="single" w:color="auto" w:sz="6" w:space="0"/>
            </w:tcBorders>
            <w:shd w:val="clear" w:color="auto" w:fill="auto"/>
            <w:vAlign w:val="center"/>
          </w:tcPr>
          <w:p>
            <w:pPr>
              <w:pStyle w:val="97"/>
            </w:pPr>
            <w:r>
              <w:rPr>
                <w:rFonts w:hint="eastAsia"/>
              </w:rPr>
              <w:t>30</w:t>
            </w:r>
            <w:r>
              <w:t>%</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494" w:type="dxa"/>
            <w:vMerge w:val="continue"/>
            <w:tcBorders>
              <w:top w:val="single" w:color="auto" w:sz="6" w:space="0"/>
              <w:left w:val="single" w:color="auto" w:sz="12" w:space="0"/>
            </w:tcBorders>
            <w:shd w:val="clear" w:color="auto" w:fill="auto"/>
            <w:vAlign w:val="center"/>
          </w:tcPr>
          <w:p>
            <w:pPr>
              <w:pStyle w:val="92"/>
              <w:rPr>
                <w:highlight w:val="yellow"/>
              </w:rPr>
            </w:pPr>
          </w:p>
        </w:tc>
        <w:tc>
          <w:tcPr>
            <w:tcW w:w="1900" w:type="dxa"/>
            <w:gridSpan w:val="2"/>
            <w:vMerge w:val="continue"/>
            <w:tcBorders>
              <w:bottom w:val="single" w:color="auto" w:sz="6" w:space="0"/>
            </w:tcBorders>
            <w:shd w:val="clear" w:color="auto" w:fill="auto"/>
            <w:vAlign w:val="center"/>
          </w:tcPr>
          <w:p>
            <w:pPr>
              <w:pStyle w:val="92"/>
            </w:pPr>
          </w:p>
        </w:tc>
        <w:tc>
          <w:tcPr>
            <w:tcW w:w="1420" w:type="dxa"/>
            <w:tcBorders>
              <w:top w:val="single" w:color="auto" w:sz="6" w:space="0"/>
            </w:tcBorders>
            <w:shd w:val="clear" w:color="auto" w:fill="auto"/>
            <w:vAlign w:val="center"/>
          </w:tcPr>
          <w:p>
            <w:pPr>
              <w:pStyle w:val="97"/>
            </w:pPr>
            <w:r>
              <w:t>NH</w:t>
            </w:r>
            <w:r>
              <w:rPr>
                <w:vertAlign w:val="subscript"/>
              </w:rPr>
              <w:t>3</w:t>
            </w:r>
            <w:r>
              <w:t>-N</w:t>
            </w:r>
          </w:p>
        </w:tc>
        <w:tc>
          <w:tcPr>
            <w:tcW w:w="707" w:type="dxa"/>
            <w:tcBorders>
              <w:top w:val="single" w:color="auto" w:sz="6" w:space="0"/>
            </w:tcBorders>
            <w:shd w:val="clear" w:color="auto" w:fill="auto"/>
            <w:vAlign w:val="center"/>
          </w:tcPr>
          <w:p>
            <w:pPr>
              <w:pStyle w:val="97"/>
            </w:pPr>
            <w:r>
              <w:rPr>
                <w:rFonts w:hint="eastAsia"/>
              </w:rPr>
              <w:t>25</w:t>
            </w:r>
          </w:p>
        </w:tc>
        <w:tc>
          <w:tcPr>
            <w:tcW w:w="992" w:type="dxa"/>
            <w:tcBorders>
              <w:top w:val="single" w:color="auto" w:sz="6" w:space="0"/>
            </w:tcBorders>
            <w:shd w:val="clear" w:color="auto" w:fill="auto"/>
            <w:vAlign w:val="center"/>
          </w:tcPr>
          <w:p>
            <w:pPr>
              <w:pStyle w:val="97"/>
            </w:pPr>
            <w:r>
              <w:rPr>
                <w:rFonts w:hint="eastAsia"/>
              </w:rPr>
              <w:t>0.0</w:t>
            </w:r>
            <w:r>
              <w:t>04</w:t>
            </w:r>
          </w:p>
        </w:tc>
        <w:tc>
          <w:tcPr>
            <w:tcW w:w="3261" w:type="dxa"/>
            <w:vMerge w:val="continue"/>
            <w:shd w:val="clear" w:color="auto" w:fill="auto"/>
            <w:vAlign w:val="center"/>
          </w:tcPr>
          <w:p>
            <w:pPr>
              <w:pStyle w:val="92"/>
            </w:pPr>
          </w:p>
        </w:tc>
        <w:tc>
          <w:tcPr>
            <w:tcW w:w="995" w:type="dxa"/>
            <w:tcBorders>
              <w:top w:val="single" w:color="auto" w:sz="6" w:space="0"/>
            </w:tcBorders>
            <w:shd w:val="clear" w:color="auto" w:fill="auto"/>
            <w:vAlign w:val="center"/>
          </w:tcPr>
          <w:p>
            <w:pPr>
              <w:pStyle w:val="97"/>
            </w:pPr>
            <w:r>
              <w:rPr>
                <w:rFonts w:hint="eastAsia"/>
              </w:rPr>
              <w:t>0</w:t>
            </w:r>
            <w:r>
              <w:t>%</w:t>
            </w:r>
          </w:p>
        </w:tc>
        <w:tc>
          <w:tcPr>
            <w:tcW w:w="4203" w:type="dxa"/>
            <w:vMerge w:val="continue"/>
            <w:tcBorders>
              <w:right w:val="single" w:color="auto" w:sz="12" w:space="0"/>
            </w:tcBorders>
            <w:shd w:val="clear" w:color="auto" w:fill="auto"/>
            <w:vAlign w:val="center"/>
          </w:tcPr>
          <w:p>
            <w:pPr>
              <w:pStyle w:val="92"/>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4" w:hRule="atLeast"/>
          <w:jc w:val="center"/>
        </w:trPr>
        <w:tc>
          <w:tcPr>
            <w:tcW w:w="494" w:type="dxa"/>
            <w:vMerge w:val="continue"/>
            <w:tcBorders>
              <w:left w:val="single" w:color="auto" w:sz="12" w:space="0"/>
              <w:bottom w:val="single" w:color="auto" w:sz="6" w:space="0"/>
            </w:tcBorders>
            <w:shd w:val="clear" w:color="auto" w:fill="auto"/>
            <w:vAlign w:val="center"/>
          </w:tcPr>
          <w:p>
            <w:pPr>
              <w:pStyle w:val="92"/>
              <w:rPr>
                <w:highlight w:val="yellow"/>
              </w:rPr>
            </w:pPr>
          </w:p>
        </w:tc>
        <w:tc>
          <w:tcPr>
            <w:tcW w:w="1900" w:type="dxa"/>
            <w:gridSpan w:val="2"/>
            <w:tcBorders>
              <w:top w:val="single" w:color="auto" w:sz="6" w:space="0"/>
              <w:bottom w:val="single" w:color="auto" w:sz="6" w:space="0"/>
            </w:tcBorders>
            <w:shd w:val="clear" w:color="auto" w:fill="auto"/>
            <w:vAlign w:val="center"/>
          </w:tcPr>
          <w:p>
            <w:pPr>
              <w:pStyle w:val="92"/>
            </w:pPr>
            <w:r>
              <w:rPr>
                <w:rFonts w:hint="eastAsia"/>
              </w:rPr>
              <w:t>锅炉</w:t>
            </w:r>
            <w:r>
              <w:t>排污水和软水制备系统浓水</w:t>
            </w:r>
          </w:p>
        </w:tc>
        <w:tc>
          <w:tcPr>
            <w:tcW w:w="1420" w:type="dxa"/>
            <w:tcBorders>
              <w:bottom w:val="single" w:color="auto" w:sz="6" w:space="0"/>
            </w:tcBorders>
            <w:shd w:val="clear" w:color="auto" w:fill="auto"/>
            <w:vAlign w:val="center"/>
          </w:tcPr>
          <w:p>
            <w:pPr>
              <w:pStyle w:val="92"/>
            </w:pPr>
            <w:r>
              <w:rPr>
                <w:rFonts w:hint="eastAsia"/>
              </w:rPr>
              <w:t>SS</w:t>
            </w:r>
          </w:p>
        </w:tc>
        <w:tc>
          <w:tcPr>
            <w:tcW w:w="707" w:type="dxa"/>
            <w:tcBorders>
              <w:bottom w:val="single" w:color="auto" w:sz="6" w:space="0"/>
            </w:tcBorders>
            <w:shd w:val="clear" w:color="auto" w:fill="auto"/>
            <w:vAlign w:val="center"/>
          </w:tcPr>
          <w:p>
            <w:pPr>
              <w:pStyle w:val="92"/>
            </w:pPr>
            <w:r>
              <w:rPr>
                <w:rFonts w:hint="eastAsia"/>
              </w:rPr>
              <w:t>/</w:t>
            </w:r>
          </w:p>
        </w:tc>
        <w:tc>
          <w:tcPr>
            <w:tcW w:w="992" w:type="dxa"/>
            <w:tcBorders>
              <w:bottom w:val="single" w:color="auto" w:sz="6" w:space="0"/>
            </w:tcBorders>
            <w:shd w:val="clear" w:color="auto" w:fill="auto"/>
            <w:vAlign w:val="center"/>
          </w:tcPr>
          <w:p>
            <w:pPr>
              <w:pStyle w:val="92"/>
            </w:pPr>
            <w:r>
              <w:t>1094.4</w:t>
            </w:r>
          </w:p>
        </w:tc>
        <w:tc>
          <w:tcPr>
            <w:tcW w:w="3261" w:type="dxa"/>
            <w:tcBorders>
              <w:bottom w:val="single" w:color="auto" w:sz="6" w:space="0"/>
            </w:tcBorders>
            <w:shd w:val="clear" w:color="auto" w:fill="auto"/>
            <w:vAlign w:val="center"/>
          </w:tcPr>
          <w:p>
            <w:pPr>
              <w:pStyle w:val="92"/>
            </w:pPr>
            <w:r>
              <w:rPr>
                <w:rFonts w:hint="eastAsia"/>
              </w:rPr>
              <w:t>排入</w:t>
            </w:r>
            <w:r>
              <w:t>雨水管网</w:t>
            </w:r>
          </w:p>
        </w:tc>
        <w:tc>
          <w:tcPr>
            <w:tcW w:w="995" w:type="dxa"/>
            <w:tcBorders>
              <w:bottom w:val="single" w:color="auto" w:sz="6" w:space="0"/>
            </w:tcBorders>
            <w:shd w:val="clear" w:color="auto" w:fill="auto"/>
            <w:vAlign w:val="center"/>
          </w:tcPr>
          <w:p>
            <w:pPr>
              <w:pStyle w:val="92"/>
            </w:pPr>
            <w:r>
              <w:rPr>
                <w:rFonts w:hint="eastAsia"/>
              </w:rPr>
              <w:t>/</w:t>
            </w:r>
          </w:p>
        </w:tc>
        <w:tc>
          <w:tcPr>
            <w:tcW w:w="4203" w:type="dxa"/>
            <w:tcBorders>
              <w:bottom w:val="single" w:color="auto" w:sz="6" w:space="0"/>
              <w:right w:val="single" w:color="auto" w:sz="12" w:space="0"/>
            </w:tcBorders>
            <w:shd w:val="clear" w:color="auto" w:fill="auto"/>
            <w:vAlign w:val="center"/>
          </w:tcPr>
          <w:p>
            <w:pPr>
              <w:pStyle w:val="92"/>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restart"/>
            <w:tcBorders>
              <w:top w:val="single" w:color="auto" w:sz="6" w:space="0"/>
              <w:left w:val="single" w:color="auto" w:sz="12" w:space="0"/>
            </w:tcBorders>
            <w:shd w:val="clear" w:color="auto" w:fill="auto"/>
            <w:vAlign w:val="center"/>
          </w:tcPr>
          <w:p>
            <w:pPr>
              <w:pStyle w:val="92"/>
            </w:pPr>
            <w:r>
              <w:t>固废</w:t>
            </w:r>
          </w:p>
          <w:p>
            <w:pPr>
              <w:pStyle w:val="92"/>
              <w:rPr>
                <w:highlight w:val="yellow"/>
              </w:rPr>
            </w:pPr>
          </w:p>
        </w:tc>
        <w:tc>
          <w:tcPr>
            <w:tcW w:w="765" w:type="dxa"/>
            <w:vMerge w:val="restart"/>
            <w:tcBorders>
              <w:top w:val="single" w:color="auto" w:sz="6" w:space="0"/>
              <w:right w:val="single" w:color="auto" w:sz="4" w:space="0"/>
            </w:tcBorders>
            <w:shd w:val="clear" w:color="auto" w:fill="auto"/>
            <w:vAlign w:val="center"/>
          </w:tcPr>
          <w:p>
            <w:pPr>
              <w:pStyle w:val="92"/>
              <w:rPr>
                <w:spacing w:val="-4"/>
              </w:rPr>
            </w:pPr>
            <w:r>
              <w:rPr>
                <w:spacing w:val="-4"/>
              </w:rPr>
              <w:t>一般固废</w:t>
            </w:r>
          </w:p>
        </w:tc>
        <w:tc>
          <w:tcPr>
            <w:tcW w:w="2555" w:type="dxa"/>
            <w:gridSpan w:val="2"/>
            <w:tcBorders>
              <w:top w:val="single" w:color="auto" w:sz="6" w:space="0"/>
              <w:left w:val="single" w:color="auto" w:sz="4" w:space="0"/>
              <w:bottom w:val="single" w:color="auto" w:sz="6" w:space="0"/>
            </w:tcBorders>
            <w:shd w:val="clear" w:color="auto" w:fill="auto"/>
            <w:vAlign w:val="center"/>
          </w:tcPr>
          <w:p>
            <w:pPr>
              <w:pStyle w:val="92"/>
            </w:pPr>
            <w:r>
              <w:rPr>
                <w:rFonts w:hint="eastAsia"/>
              </w:rPr>
              <w:t>生活垃圾</w:t>
            </w:r>
          </w:p>
        </w:tc>
        <w:tc>
          <w:tcPr>
            <w:tcW w:w="707" w:type="dxa"/>
            <w:tcBorders>
              <w:top w:val="single" w:color="auto" w:sz="6" w:space="0"/>
              <w:bottom w:val="single" w:color="auto" w:sz="6" w:space="0"/>
            </w:tcBorders>
            <w:shd w:val="clear" w:color="auto" w:fill="auto"/>
            <w:vAlign w:val="center"/>
          </w:tcPr>
          <w:p>
            <w:pPr>
              <w:pStyle w:val="92"/>
            </w:pPr>
            <w:r>
              <w:t>/</w:t>
            </w:r>
          </w:p>
        </w:tc>
        <w:tc>
          <w:tcPr>
            <w:tcW w:w="992" w:type="dxa"/>
            <w:tcBorders>
              <w:top w:val="single" w:color="auto" w:sz="6" w:space="0"/>
              <w:bottom w:val="single" w:color="auto" w:sz="6" w:space="0"/>
            </w:tcBorders>
            <w:shd w:val="clear" w:color="auto" w:fill="auto"/>
            <w:vAlign w:val="center"/>
          </w:tcPr>
          <w:p>
            <w:pPr>
              <w:pStyle w:val="92"/>
            </w:pPr>
            <w:r>
              <w:rPr>
                <w:rFonts w:hint="eastAsia"/>
              </w:rPr>
              <w:t>0</w:t>
            </w:r>
          </w:p>
        </w:tc>
        <w:tc>
          <w:tcPr>
            <w:tcW w:w="3261" w:type="dxa"/>
            <w:tcBorders>
              <w:top w:val="single" w:color="auto" w:sz="6" w:space="0"/>
              <w:bottom w:val="single" w:color="auto" w:sz="6" w:space="0"/>
            </w:tcBorders>
            <w:shd w:val="clear" w:color="auto" w:fill="auto"/>
            <w:vAlign w:val="center"/>
          </w:tcPr>
          <w:p>
            <w:pPr>
              <w:pStyle w:val="92"/>
              <w:rPr>
                <w:spacing w:val="-4"/>
              </w:rPr>
            </w:pPr>
            <w:r>
              <w:t>由环卫部门统一清运</w:t>
            </w:r>
          </w:p>
        </w:tc>
        <w:tc>
          <w:tcPr>
            <w:tcW w:w="995" w:type="dxa"/>
            <w:vMerge w:val="restart"/>
            <w:tcBorders>
              <w:top w:val="single" w:color="auto" w:sz="6" w:space="0"/>
            </w:tcBorders>
            <w:shd w:val="clear" w:color="auto" w:fill="auto"/>
            <w:vAlign w:val="center"/>
          </w:tcPr>
          <w:p>
            <w:pPr>
              <w:pStyle w:val="92"/>
            </w:pPr>
            <w:r>
              <w:t>100%</w:t>
            </w:r>
          </w:p>
        </w:tc>
        <w:tc>
          <w:tcPr>
            <w:tcW w:w="4203" w:type="dxa"/>
            <w:tcBorders>
              <w:top w:val="single" w:color="auto" w:sz="6" w:space="0"/>
              <w:right w:val="single" w:color="auto" w:sz="12" w:space="0"/>
            </w:tcBorders>
            <w:shd w:val="clear" w:color="auto" w:fill="auto"/>
            <w:vAlign w:val="center"/>
          </w:tcPr>
          <w:p>
            <w:pPr>
              <w:pStyle w:val="92"/>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top w:val="single" w:color="auto" w:sz="6" w:space="0"/>
              <w:left w:val="single" w:color="auto" w:sz="12" w:space="0"/>
            </w:tcBorders>
            <w:shd w:val="clear" w:color="auto" w:fill="auto"/>
            <w:vAlign w:val="center"/>
          </w:tcPr>
          <w:p>
            <w:pPr>
              <w:pStyle w:val="92"/>
              <w:rPr>
                <w:highlight w:val="yellow"/>
              </w:rPr>
            </w:pPr>
          </w:p>
        </w:tc>
        <w:tc>
          <w:tcPr>
            <w:tcW w:w="765" w:type="dxa"/>
            <w:vMerge w:val="continue"/>
            <w:tcBorders>
              <w:top w:val="single" w:color="auto" w:sz="6" w:space="0"/>
              <w:right w:val="single" w:color="auto" w:sz="4" w:space="0"/>
            </w:tcBorders>
            <w:shd w:val="clear" w:color="auto" w:fill="auto"/>
            <w:vAlign w:val="center"/>
          </w:tcPr>
          <w:p>
            <w:pPr>
              <w:pStyle w:val="92"/>
              <w:rPr>
                <w:spacing w:val="-4"/>
              </w:rPr>
            </w:pPr>
          </w:p>
        </w:tc>
        <w:tc>
          <w:tcPr>
            <w:tcW w:w="2555" w:type="dxa"/>
            <w:gridSpan w:val="2"/>
            <w:tcBorders>
              <w:top w:val="single" w:color="auto" w:sz="6" w:space="0"/>
              <w:left w:val="single" w:color="auto" w:sz="4" w:space="0"/>
              <w:bottom w:val="single" w:color="auto" w:sz="6" w:space="0"/>
            </w:tcBorders>
            <w:shd w:val="clear" w:color="auto" w:fill="auto"/>
            <w:vAlign w:val="center"/>
          </w:tcPr>
          <w:p>
            <w:pPr>
              <w:pStyle w:val="92"/>
            </w:pPr>
            <w:r>
              <w:rPr>
                <w:rFonts w:hint="eastAsia"/>
              </w:rPr>
              <w:t>废渣</w:t>
            </w:r>
          </w:p>
        </w:tc>
        <w:tc>
          <w:tcPr>
            <w:tcW w:w="707" w:type="dxa"/>
            <w:tcBorders>
              <w:top w:val="single" w:color="auto" w:sz="6" w:space="0"/>
              <w:bottom w:val="single" w:color="auto" w:sz="6" w:space="0"/>
            </w:tcBorders>
            <w:shd w:val="clear" w:color="auto" w:fill="auto"/>
            <w:vAlign w:val="center"/>
          </w:tcPr>
          <w:p>
            <w:pPr>
              <w:pStyle w:val="92"/>
            </w:pPr>
            <w:r>
              <w:rPr>
                <w:rFonts w:hint="eastAsia"/>
              </w:rPr>
              <w:t>/</w:t>
            </w:r>
          </w:p>
        </w:tc>
        <w:tc>
          <w:tcPr>
            <w:tcW w:w="992" w:type="dxa"/>
            <w:tcBorders>
              <w:top w:val="single" w:color="auto" w:sz="6" w:space="0"/>
              <w:bottom w:val="single" w:color="auto" w:sz="6" w:space="0"/>
            </w:tcBorders>
            <w:shd w:val="clear" w:color="auto" w:fill="auto"/>
            <w:vAlign w:val="center"/>
          </w:tcPr>
          <w:p>
            <w:pPr>
              <w:pStyle w:val="92"/>
            </w:pPr>
            <w:r>
              <w:rPr>
                <w:rFonts w:hint="eastAsia"/>
              </w:rPr>
              <w:t>0</w:t>
            </w:r>
          </w:p>
        </w:tc>
        <w:tc>
          <w:tcPr>
            <w:tcW w:w="3261" w:type="dxa"/>
            <w:tcBorders>
              <w:top w:val="single" w:color="auto" w:sz="6" w:space="0"/>
            </w:tcBorders>
            <w:shd w:val="clear" w:color="auto" w:fill="auto"/>
            <w:vAlign w:val="center"/>
          </w:tcPr>
          <w:p>
            <w:pPr>
              <w:spacing w:line="240" w:lineRule="auto"/>
              <w:ind w:firstLine="0" w:firstLineChars="0"/>
              <w:rPr>
                <w:sz w:val="21"/>
                <w:szCs w:val="21"/>
              </w:rPr>
            </w:pPr>
            <w:r>
              <w:rPr>
                <w:rFonts w:hint="eastAsia"/>
                <w:sz w:val="21"/>
                <w:szCs w:val="21"/>
              </w:rPr>
              <w:t>统一</w:t>
            </w:r>
            <w:r>
              <w:rPr>
                <w:sz w:val="21"/>
                <w:szCs w:val="21"/>
              </w:rPr>
              <w:t>收集后，外售综合利用</w:t>
            </w:r>
          </w:p>
        </w:tc>
        <w:tc>
          <w:tcPr>
            <w:tcW w:w="995" w:type="dxa"/>
            <w:vMerge w:val="continue"/>
            <w:shd w:val="clear" w:color="auto" w:fill="auto"/>
            <w:vAlign w:val="center"/>
          </w:tcPr>
          <w:p>
            <w:pPr>
              <w:pStyle w:val="92"/>
            </w:pPr>
          </w:p>
        </w:tc>
        <w:tc>
          <w:tcPr>
            <w:tcW w:w="4203" w:type="dxa"/>
            <w:tcBorders>
              <w:top w:val="single" w:color="auto" w:sz="6" w:space="0"/>
              <w:right w:val="single" w:color="auto" w:sz="12" w:space="0"/>
            </w:tcBorders>
            <w:shd w:val="clear" w:color="auto" w:fill="auto"/>
            <w:vAlign w:val="center"/>
          </w:tcPr>
          <w:p>
            <w:pPr>
              <w:pStyle w:val="92"/>
            </w:pPr>
            <w:r>
              <w:t>《一般工业固体废物贮存</w:t>
            </w:r>
            <w:r>
              <w:rPr>
                <w:rFonts w:hint="eastAsia"/>
              </w:rPr>
              <w:t>填埋</w:t>
            </w:r>
            <w:r>
              <w:t>污染控制标准》（GB18599-2020）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left w:val="single" w:color="auto" w:sz="12" w:space="0"/>
            </w:tcBorders>
            <w:shd w:val="clear" w:color="auto" w:fill="auto"/>
            <w:vAlign w:val="center"/>
          </w:tcPr>
          <w:p>
            <w:pPr>
              <w:pStyle w:val="92"/>
              <w:rPr>
                <w:highlight w:val="yellow"/>
              </w:rPr>
            </w:pPr>
          </w:p>
        </w:tc>
        <w:tc>
          <w:tcPr>
            <w:tcW w:w="765" w:type="dxa"/>
            <w:tcBorders>
              <w:top w:val="single" w:color="auto" w:sz="6" w:space="0"/>
            </w:tcBorders>
            <w:shd w:val="clear" w:color="auto" w:fill="auto"/>
            <w:vAlign w:val="center"/>
          </w:tcPr>
          <w:p>
            <w:pPr>
              <w:pStyle w:val="92"/>
            </w:pPr>
            <w:r>
              <w:t>危险废物</w:t>
            </w:r>
          </w:p>
        </w:tc>
        <w:tc>
          <w:tcPr>
            <w:tcW w:w="1135" w:type="dxa"/>
            <w:tcBorders>
              <w:top w:val="single" w:color="auto" w:sz="6" w:space="0"/>
              <w:bottom w:val="single" w:color="auto" w:sz="6" w:space="0"/>
            </w:tcBorders>
            <w:shd w:val="clear" w:color="auto" w:fill="auto"/>
            <w:vAlign w:val="center"/>
          </w:tcPr>
          <w:p>
            <w:pPr>
              <w:pStyle w:val="92"/>
            </w:pPr>
            <w:r>
              <w:rPr>
                <w:rFonts w:hint="eastAsia"/>
              </w:rPr>
              <w:t>设备</w:t>
            </w:r>
            <w:r>
              <w:t>维修</w:t>
            </w:r>
          </w:p>
        </w:tc>
        <w:tc>
          <w:tcPr>
            <w:tcW w:w="1420" w:type="dxa"/>
            <w:tcBorders>
              <w:top w:val="single" w:color="auto" w:sz="6" w:space="0"/>
              <w:bottom w:val="single" w:color="auto" w:sz="6" w:space="0"/>
            </w:tcBorders>
            <w:shd w:val="clear" w:color="auto" w:fill="auto"/>
            <w:vAlign w:val="center"/>
          </w:tcPr>
          <w:p>
            <w:pPr>
              <w:pStyle w:val="92"/>
            </w:pPr>
            <w:r>
              <w:rPr>
                <w:rFonts w:hint="eastAsia"/>
              </w:rPr>
              <w:t>废</w:t>
            </w:r>
            <w:r>
              <w:t>含油抹布</w:t>
            </w:r>
          </w:p>
        </w:tc>
        <w:tc>
          <w:tcPr>
            <w:tcW w:w="707" w:type="dxa"/>
            <w:tcBorders>
              <w:top w:val="single" w:color="auto" w:sz="6" w:space="0"/>
              <w:bottom w:val="single" w:color="auto" w:sz="6" w:space="0"/>
            </w:tcBorders>
            <w:shd w:val="clear" w:color="auto" w:fill="auto"/>
            <w:vAlign w:val="center"/>
          </w:tcPr>
          <w:p>
            <w:pPr>
              <w:pStyle w:val="92"/>
            </w:pPr>
            <w:r>
              <w:rPr>
                <w:rFonts w:hint="eastAsia"/>
              </w:rPr>
              <w:t>/</w:t>
            </w:r>
          </w:p>
        </w:tc>
        <w:tc>
          <w:tcPr>
            <w:tcW w:w="992" w:type="dxa"/>
            <w:tcBorders>
              <w:top w:val="single" w:color="auto" w:sz="6" w:space="0"/>
              <w:bottom w:val="single" w:color="auto" w:sz="6" w:space="0"/>
            </w:tcBorders>
            <w:shd w:val="clear" w:color="auto" w:fill="auto"/>
            <w:vAlign w:val="center"/>
          </w:tcPr>
          <w:p>
            <w:pPr>
              <w:pStyle w:val="92"/>
            </w:pPr>
            <w:r>
              <w:rPr>
                <w:rFonts w:hint="eastAsia"/>
              </w:rPr>
              <w:t>/</w:t>
            </w:r>
          </w:p>
        </w:tc>
        <w:tc>
          <w:tcPr>
            <w:tcW w:w="3261" w:type="dxa"/>
            <w:tcBorders>
              <w:top w:val="single" w:color="auto" w:sz="6" w:space="0"/>
            </w:tcBorders>
            <w:shd w:val="clear" w:color="auto" w:fill="auto"/>
            <w:vAlign w:val="center"/>
          </w:tcPr>
          <w:p>
            <w:pPr>
              <w:pStyle w:val="92"/>
            </w:pPr>
            <w:r>
              <w:rPr>
                <w:rFonts w:hint="eastAsia"/>
                <w:szCs w:val="21"/>
              </w:rPr>
              <w:t>危险</w:t>
            </w:r>
            <w:r>
              <w:rPr>
                <w:szCs w:val="21"/>
              </w:rPr>
              <w:t>废物暂存间暂存后，交有资质单位处置</w:t>
            </w:r>
          </w:p>
        </w:tc>
        <w:tc>
          <w:tcPr>
            <w:tcW w:w="995" w:type="dxa"/>
            <w:tcBorders>
              <w:top w:val="single" w:color="auto" w:sz="6" w:space="0"/>
            </w:tcBorders>
            <w:shd w:val="clear" w:color="auto" w:fill="auto"/>
            <w:vAlign w:val="center"/>
          </w:tcPr>
          <w:p>
            <w:pPr>
              <w:pStyle w:val="92"/>
            </w:pPr>
            <w:r>
              <w:t>100%</w:t>
            </w:r>
          </w:p>
        </w:tc>
        <w:tc>
          <w:tcPr>
            <w:tcW w:w="4203" w:type="dxa"/>
            <w:tcBorders>
              <w:top w:val="single" w:color="auto" w:sz="6" w:space="0"/>
              <w:right w:val="single" w:color="auto" w:sz="12" w:space="0"/>
            </w:tcBorders>
            <w:shd w:val="clear" w:color="auto" w:fill="auto"/>
            <w:vAlign w:val="center"/>
          </w:tcPr>
          <w:p>
            <w:pPr>
              <w:pStyle w:val="92"/>
            </w:pPr>
            <w:r>
              <w:t>《危险废物贮存污染控制标准》（GB18597-2001）及年修改单相关要求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tcBorders>
              <w:left w:val="single" w:color="auto" w:sz="12" w:space="0"/>
            </w:tcBorders>
            <w:shd w:val="clear" w:color="auto" w:fill="auto"/>
            <w:vAlign w:val="center"/>
          </w:tcPr>
          <w:p>
            <w:pPr>
              <w:pStyle w:val="92"/>
              <w:rPr>
                <w:highlight w:val="yellow"/>
              </w:rPr>
            </w:pPr>
          </w:p>
        </w:tc>
        <w:tc>
          <w:tcPr>
            <w:tcW w:w="765" w:type="dxa"/>
            <w:tcBorders>
              <w:top w:val="single" w:color="auto" w:sz="6" w:space="0"/>
            </w:tcBorders>
            <w:shd w:val="clear" w:color="auto" w:fill="auto"/>
            <w:vAlign w:val="center"/>
          </w:tcPr>
          <w:p>
            <w:pPr>
              <w:pStyle w:val="92"/>
            </w:pPr>
          </w:p>
        </w:tc>
        <w:tc>
          <w:tcPr>
            <w:tcW w:w="1135" w:type="dxa"/>
            <w:tcBorders>
              <w:top w:val="single" w:color="auto" w:sz="6" w:space="0"/>
              <w:bottom w:val="single" w:color="auto" w:sz="6" w:space="0"/>
            </w:tcBorders>
            <w:shd w:val="clear" w:color="auto" w:fill="auto"/>
            <w:vAlign w:val="center"/>
          </w:tcPr>
          <w:p>
            <w:pPr>
              <w:pStyle w:val="92"/>
            </w:pPr>
            <w:r>
              <w:rPr>
                <w:rFonts w:hint="eastAsia"/>
              </w:rPr>
              <w:t>酸液</w:t>
            </w:r>
            <w:r>
              <w:t>回收</w:t>
            </w:r>
          </w:p>
        </w:tc>
        <w:tc>
          <w:tcPr>
            <w:tcW w:w="1420" w:type="dxa"/>
            <w:tcBorders>
              <w:top w:val="single" w:color="auto" w:sz="6" w:space="0"/>
              <w:bottom w:val="single" w:color="auto" w:sz="6" w:space="0"/>
            </w:tcBorders>
            <w:shd w:val="clear" w:color="auto" w:fill="auto"/>
            <w:vAlign w:val="center"/>
          </w:tcPr>
          <w:p>
            <w:pPr>
              <w:pStyle w:val="92"/>
            </w:pPr>
            <w:r>
              <w:rPr>
                <w:rFonts w:hint="eastAsia"/>
              </w:rPr>
              <w:t>废</w:t>
            </w:r>
            <w:r>
              <w:t>活性炭</w:t>
            </w:r>
          </w:p>
        </w:tc>
        <w:tc>
          <w:tcPr>
            <w:tcW w:w="707" w:type="dxa"/>
            <w:tcBorders>
              <w:top w:val="single" w:color="auto" w:sz="6" w:space="0"/>
              <w:bottom w:val="single" w:color="auto" w:sz="6" w:space="0"/>
            </w:tcBorders>
            <w:shd w:val="clear" w:color="auto" w:fill="auto"/>
            <w:vAlign w:val="center"/>
          </w:tcPr>
          <w:p>
            <w:pPr>
              <w:pStyle w:val="92"/>
            </w:pPr>
            <w:r>
              <w:rPr>
                <w:rFonts w:hint="eastAsia"/>
              </w:rPr>
              <w:t>/</w:t>
            </w:r>
          </w:p>
        </w:tc>
        <w:tc>
          <w:tcPr>
            <w:tcW w:w="992" w:type="dxa"/>
            <w:tcBorders>
              <w:top w:val="single" w:color="auto" w:sz="6" w:space="0"/>
              <w:bottom w:val="single" w:color="auto" w:sz="6" w:space="0"/>
            </w:tcBorders>
            <w:shd w:val="clear" w:color="auto" w:fill="auto"/>
            <w:vAlign w:val="center"/>
          </w:tcPr>
          <w:p>
            <w:pPr>
              <w:pStyle w:val="92"/>
            </w:pPr>
            <w:r>
              <w:rPr>
                <w:rFonts w:hint="eastAsia"/>
              </w:rPr>
              <w:t>/</w:t>
            </w:r>
          </w:p>
        </w:tc>
        <w:tc>
          <w:tcPr>
            <w:tcW w:w="3261" w:type="dxa"/>
            <w:tcBorders>
              <w:top w:val="single" w:color="auto" w:sz="6" w:space="0"/>
            </w:tcBorders>
            <w:shd w:val="clear" w:color="auto" w:fill="auto"/>
            <w:vAlign w:val="center"/>
          </w:tcPr>
          <w:p>
            <w:pPr>
              <w:pStyle w:val="92"/>
              <w:rPr>
                <w:szCs w:val="21"/>
              </w:rPr>
            </w:pPr>
            <w:r>
              <w:rPr>
                <w:rFonts w:hint="eastAsia"/>
                <w:szCs w:val="21"/>
              </w:rPr>
              <w:t>/</w:t>
            </w:r>
          </w:p>
        </w:tc>
        <w:tc>
          <w:tcPr>
            <w:tcW w:w="995" w:type="dxa"/>
            <w:tcBorders>
              <w:top w:val="single" w:color="auto" w:sz="6" w:space="0"/>
            </w:tcBorders>
            <w:shd w:val="clear" w:color="auto" w:fill="auto"/>
            <w:vAlign w:val="center"/>
          </w:tcPr>
          <w:p>
            <w:pPr>
              <w:pStyle w:val="92"/>
            </w:pPr>
            <w:r>
              <w:rPr>
                <w:rFonts w:hint="eastAsia"/>
              </w:rPr>
              <w:t>100</w:t>
            </w:r>
            <w:r>
              <w:t>%</w:t>
            </w:r>
          </w:p>
        </w:tc>
        <w:tc>
          <w:tcPr>
            <w:tcW w:w="4203" w:type="dxa"/>
            <w:tcBorders>
              <w:top w:val="single" w:color="auto" w:sz="6" w:space="0"/>
              <w:right w:val="single" w:color="auto" w:sz="12" w:space="0"/>
            </w:tcBorders>
            <w:shd w:val="clear" w:color="auto" w:fill="auto"/>
            <w:vAlign w:val="center"/>
          </w:tcPr>
          <w:p>
            <w:pPr>
              <w:pStyle w:val="92"/>
            </w:pPr>
            <w:r>
              <w:t>《危险废物贮存污染控制标准》（GB18597-2001）及年修改单相关要求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restart"/>
            <w:tcBorders>
              <w:top w:val="single" w:color="auto" w:sz="6" w:space="0"/>
              <w:left w:val="single" w:color="auto" w:sz="12" w:space="0"/>
              <w:bottom w:val="single" w:color="auto" w:sz="6" w:space="0"/>
            </w:tcBorders>
            <w:shd w:val="clear" w:color="auto" w:fill="auto"/>
            <w:vAlign w:val="center"/>
          </w:tcPr>
          <w:p>
            <w:pPr>
              <w:pStyle w:val="92"/>
            </w:pPr>
            <w:r>
              <w:t>噪声</w:t>
            </w:r>
          </w:p>
        </w:tc>
        <w:tc>
          <w:tcPr>
            <w:tcW w:w="5019" w:type="dxa"/>
            <w:gridSpan w:val="5"/>
            <w:tcBorders>
              <w:top w:val="single" w:color="auto" w:sz="6" w:space="0"/>
              <w:bottom w:val="single" w:color="auto" w:sz="6" w:space="0"/>
            </w:tcBorders>
            <w:shd w:val="clear" w:color="auto" w:fill="auto"/>
            <w:vAlign w:val="center"/>
          </w:tcPr>
          <w:p>
            <w:pPr>
              <w:pStyle w:val="92"/>
            </w:pPr>
            <w:r>
              <w:rPr>
                <w:rFonts w:hint="eastAsia"/>
              </w:rPr>
              <w:t>粉碎机、引风机、循环泵、出料泵、真空泵</w:t>
            </w:r>
            <w:r>
              <w:t>等机械设备</w:t>
            </w:r>
          </w:p>
        </w:tc>
        <w:tc>
          <w:tcPr>
            <w:tcW w:w="3261" w:type="dxa"/>
            <w:vMerge w:val="restart"/>
            <w:tcBorders>
              <w:top w:val="single" w:color="auto" w:sz="6" w:space="0"/>
            </w:tcBorders>
            <w:shd w:val="clear" w:color="auto" w:fill="auto"/>
            <w:vAlign w:val="center"/>
          </w:tcPr>
          <w:p>
            <w:pPr>
              <w:pStyle w:val="92"/>
            </w:pPr>
            <w:r>
              <w:t>选用低噪声设备，加减振基础、设置在厂房内、风机安装减振垫、风管与设备采用软连接，排风口安装消声器</w:t>
            </w:r>
          </w:p>
        </w:tc>
        <w:tc>
          <w:tcPr>
            <w:tcW w:w="995" w:type="dxa"/>
            <w:vMerge w:val="restart"/>
            <w:tcBorders>
              <w:top w:val="single" w:color="auto" w:sz="6" w:space="0"/>
              <w:bottom w:val="single" w:color="auto" w:sz="6" w:space="0"/>
              <w:right w:val="single" w:color="auto" w:sz="4" w:space="0"/>
            </w:tcBorders>
            <w:vAlign w:val="center"/>
          </w:tcPr>
          <w:p>
            <w:pPr>
              <w:pStyle w:val="92"/>
            </w:pPr>
            <w:r>
              <w:t>降噪效果15~20dB（A）</w:t>
            </w:r>
          </w:p>
        </w:tc>
        <w:tc>
          <w:tcPr>
            <w:tcW w:w="4203" w:type="dxa"/>
            <w:vMerge w:val="restart"/>
            <w:tcBorders>
              <w:top w:val="single" w:color="auto" w:sz="6" w:space="0"/>
              <w:bottom w:val="single" w:color="auto" w:sz="6" w:space="0"/>
              <w:right w:val="single" w:color="auto" w:sz="12" w:space="0"/>
            </w:tcBorders>
            <w:shd w:val="clear" w:color="auto" w:fill="auto"/>
            <w:vAlign w:val="center"/>
          </w:tcPr>
          <w:p>
            <w:pPr>
              <w:pStyle w:val="92"/>
            </w:pPr>
            <w:r>
              <w:t>《工业企业厂界环境噪声排放标准》（GB12348-2008）中的3类标准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94" w:type="dxa"/>
            <w:vMerge w:val="continue"/>
            <w:tcBorders>
              <w:top w:val="single" w:color="auto" w:sz="6" w:space="0"/>
              <w:left w:val="single" w:color="auto" w:sz="12" w:space="0"/>
              <w:bottom w:val="single" w:color="auto" w:sz="12" w:space="0"/>
            </w:tcBorders>
            <w:shd w:val="clear" w:color="auto" w:fill="auto"/>
            <w:vAlign w:val="center"/>
          </w:tcPr>
          <w:p>
            <w:pPr>
              <w:pStyle w:val="92"/>
              <w:rPr>
                <w:highlight w:val="yellow"/>
              </w:rPr>
            </w:pPr>
          </w:p>
        </w:tc>
        <w:tc>
          <w:tcPr>
            <w:tcW w:w="5019" w:type="dxa"/>
            <w:gridSpan w:val="5"/>
            <w:tcBorders>
              <w:top w:val="single" w:color="auto" w:sz="6" w:space="0"/>
              <w:bottom w:val="single" w:color="auto" w:sz="12" w:space="0"/>
            </w:tcBorders>
            <w:shd w:val="clear" w:color="auto" w:fill="auto"/>
            <w:vAlign w:val="center"/>
          </w:tcPr>
          <w:p>
            <w:pPr>
              <w:pStyle w:val="92"/>
              <w:rPr>
                <w:highlight w:val="yellow"/>
              </w:rPr>
            </w:pPr>
            <w:r>
              <w:t>风机</w:t>
            </w:r>
          </w:p>
        </w:tc>
        <w:tc>
          <w:tcPr>
            <w:tcW w:w="3261" w:type="dxa"/>
            <w:vMerge w:val="continue"/>
            <w:tcBorders>
              <w:bottom w:val="single" w:color="auto" w:sz="12" w:space="0"/>
            </w:tcBorders>
            <w:shd w:val="clear" w:color="auto" w:fill="auto"/>
            <w:vAlign w:val="center"/>
          </w:tcPr>
          <w:p>
            <w:pPr>
              <w:pStyle w:val="92"/>
              <w:rPr>
                <w:highlight w:val="yellow"/>
              </w:rPr>
            </w:pPr>
          </w:p>
        </w:tc>
        <w:tc>
          <w:tcPr>
            <w:tcW w:w="995" w:type="dxa"/>
            <w:vMerge w:val="continue"/>
            <w:tcBorders>
              <w:top w:val="single" w:color="auto" w:sz="6" w:space="0"/>
              <w:bottom w:val="single" w:color="auto" w:sz="12" w:space="0"/>
              <w:right w:val="single" w:color="auto" w:sz="4" w:space="0"/>
            </w:tcBorders>
            <w:vAlign w:val="center"/>
          </w:tcPr>
          <w:p>
            <w:pPr>
              <w:pStyle w:val="92"/>
              <w:rPr>
                <w:highlight w:val="yellow"/>
              </w:rPr>
            </w:pPr>
          </w:p>
        </w:tc>
        <w:tc>
          <w:tcPr>
            <w:tcW w:w="4203" w:type="dxa"/>
            <w:vMerge w:val="continue"/>
            <w:tcBorders>
              <w:top w:val="single" w:color="auto" w:sz="6" w:space="0"/>
              <w:bottom w:val="single" w:color="auto" w:sz="12" w:space="0"/>
              <w:right w:val="single" w:color="auto" w:sz="12" w:space="0"/>
            </w:tcBorders>
            <w:shd w:val="clear" w:color="auto" w:fill="auto"/>
            <w:vAlign w:val="center"/>
          </w:tcPr>
          <w:p>
            <w:pPr>
              <w:pStyle w:val="92"/>
              <w:rPr>
                <w:highlight w:val="yellow"/>
              </w:rPr>
            </w:pPr>
          </w:p>
        </w:tc>
      </w:tr>
    </w:tbl>
    <w:p>
      <w:pPr>
        <w:ind w:firstLine="480"/>
        <w:rPr>
          <w:highlight w:val="yellow"/>
        </w:rPr>
      </w:pPr>
    </w:p>
    <w:p>
      <w:pPr>
        <w:ind w:firstLine="480"/>
        <w:rPr>
          <w:highlight w:val="yellow"/>
        </w:rPr>
      </w:pPr>
    </w:p>
    <w:p>
      <w:pPr>
        <w:ind w:firstLine="480"/>
        <w:rPr>
          <w:highlight w:val="yellow"/>
        </w:rPr>
        <w:sectPr>
          <w:headerReference r:id="rId62" w:type="default"/>
          <w:headerReference r:id="rId63" w:type="even"/>
          <w:pgSz w:w="16838" w:h="11906" w:orient="landscape"/>
          <w:pgMar w:top="1800" w:right="1418" w:bottom="1800" w:left="1418" w:header="992" w:footer="992" w:gutter="0"/>
          <w:cols w:space="425" w:num="1"/>
          <w:docGrid w:type="lines" w:linePitch="326" w:charSpace="0"/>
        </w:sectPr>
      </w:pPr>
    </w:p>
    <w:p>
      <w:pPr>
        <w:pStyle w:val="4"/>
      </w:pPr>
      <w:r>
        <w:rPr>
          <w:rFonts w:hint="eastAsia"/>
        </w:rPr>
        <w:t>排污口</w:t>
      </w:r>
      <w:r>
        <w:t>规范化</w:t>
      </w:r>
    </w:p>
    <w:p>
      <w:pPr>
        <w:ind w:firstLine="480"/>
      </w:pPr>
      <w:r>
        <w:rPr>
          <w:rFonts w:hint="eastAsia"/>
        </w:rPr>
        <w:t>根据原国家环境保护总局环发[1999]24号文件的规定：一切新建、扩建、改建的排污单位必须在建设污染治理设施的同时建设规范化排污口，作为落实环境保护“三同时”制度的必要组成和项目验收内容之一。</w:t>
      </w:r>
    </w:p>
    <w:p>
      <w:pPr>
        <w:ind w:firstLine="480"/>
      </w:pPr>
      <w:r>
        <w:rPr>
          <w:rFonts w:hint="eastAsia"/>
        </w:rPr>
        <w:t>本工程建设时，应统一规划设置本工程的废气排气筒和固定噪声源，规范固体废物贮存（处置）场所。</w:t>
      </w:r>
    </w:p>
    <w:p>
      <w:pPr>
        <w:ind w:firstLine="480"/>
      </w:pPr>
      <w:r>
        <w:rPr>
          <w:rFonts w:hint="eastAsia"/>
        </w:rPr>
        <w:t>（1）废气排放口的规范化设置</w:t>
      </w:r>
    </w:p>
    <w:p>
      <w:pPr>
        <w:ind w:firstLine="480"/>
      </w:pPr>
      <w:r>
        <w:rPr>
          <w:rFonts w:hint="eastAsia"/>
        </w:rPr>
        <w:t>对有组织废气的排气筒，应按规范要求设置。根据项目废气排放情况，共设</w:t>
      </w:r>
      <w:r>
        <w:t>6</w:t>
      </w:r>
      <w:r>
        <w:rPr>
          <w:rFonts w:hint="eastAsia"/>
        </w:rPr>
        <w:t>个排气筒，废气排气筒要设立标识牌，并预留采样监测孔，</w:t>
      </w:r>
      <w:r>
        <w:t>排污口应便于采样与计量检测，便于日常现场监督检查</w:t>
      </w:r>
      <w:r>
        <w:rPr>
          <w:rFonts w:hint="eastAsia"/>
        </w:rPr>
        <w:t>。</w:t>
      </w:r>
    </w:p>
    <w:p>
      <w:pPr>
        <w:ind w:firstLine="480"/>
      </w:pPr>
      <w:r>
        <w:rPr>
          <w:rFonts w:hint="eastAsia"/>
        </w:rPr>
        <w:t>对于废气排气筒提出如下规范化要求：</w:t>
      </w:r>
    </w:p>
    <w:p>
      <w:pPr>
        <w:ind w:firstLine="480"/>
      </w:pPr>
      <w:r>
        <w:rPr>
          <w:rFonts w:hint="eastAsia"/>
        </w:rPr>
        <w:t>①采样位置应优先选择在垂直管段。应避开烟道弯头和断面急剧变化的部位，并应避开涡流区。应避开对测试人员操作有危险的场所。</w:t>
      </w:r>
    </w:p>
    <w:p>
      <w:pPr>
        <w:ind w:firstLine="480"/>
      </w:pPr>
      <w:r>
        <w:rPr>
          <w:rFonts w:hint="eastAsia"/>
        </w:rPr>
        <w:t>②在选定的测定位置上开设采样孔，采样孔内径不应小于80mm，采样孔长应不大于50mm。对正压下输送高温或有毒气体的烟道应采用带有闸板盖的密封采样孔。</w:t>
      </w:r>
    </w:p>
    <w:p>
      <w:pPr>
        <w:ind w:firstLine="480"/>
      </w:pPr>
      <w:r>
        <w:rPr>
          <w:rFonts w:hint="eastAsia"/>
        </w:rPr>
        <w:t>③采样平台为检测人员采样设置，应有足够的工作面积使工作人员安全、方便操作。平台面积不应小于1.5m</w:t>
      </w:r>
      <w:r>
        <w:rPr>
          <w:rFonts w:hint="eastAsia"/>
          <w:vertAlign w:val="superscript"/>
        </w:rPr>
        <w:t>2</w:t>
      </w:r>
      <w:r>
        <w:rPr>
          <w:rFonts w:hint="eastAsia"/>
        </w:rPr>
        <w:t>，并设有1.1m高的护栏。</w:t>
      </w:r>
    </w:p>
    <w:p>
      <w:pPr>
        <w:ind w:firstLine="480"/>
      </w:pPr>
      <w:r>
        <w:rPr>
          <w:rFonts w:hint="eastAsia"/>
        </w:rPr>
        <w:t>④设置标志牌。</w:t>
      </w:r>
    </w:p>
    <w:p>
      <w:pPr>
        <w:ind w:firstLine="480"/>
      </w:pPr>
      <w:r>
        <w:rPr>
          <w:rFonts w:hint="eastAsia"/>
        </w:rPr>
        <w:t>（2）固定噪声源规范化</w:t>
      </w:r>
    </w:p>
    <w:p>
      <w:pPr>
        <w:ind w:firstLine="480"/>
      </w:pPr>
      <w:r>
        <w:rPr>
          <w:rFonts w:hint="eastAsia"/>
        </w:rPr>
        <w:t>应在固定噪声源处设置环保图形标志牌。</w:t>
      </w:r>
    </w:p>
    <w:p>
      <w:pPr>
        <w:ind w:firstLine="480"/>
      </w:pPr>
      <w:r>
        <w:rPr>
          <w:rFonts w:hint="eastAsia"/>
        </w:rPr>
        <w:t>（3）固体废弃物贮存（处置）场所</w:t>
      </w:r>
    </w:p>
    <w:p>
      <w:pPr>
        <w:ind w:firstLine="480"/>
      </w:pPr>
      <w:r>
        <w:rPr>
          <w:rFonts w:hint="eastAsia"/>
        </w:rPr>
        <w:t>在厂内固体废物暂存场所应有防雨、防渗漏措施并在醒目处设置环保图形标志牌。</w:t>
      </w:r>
    </w:p>
    <w:p>
      <w:pPr>
        <w:ind w:firstLine="480"/>
      </w:pPr>
      <w:r>
        <w:rPr>
          <w:rFonts w:hint="eastAsia"/>
        </w:rPr>
        <w:t>本项目产生的废含油抹布等危险废物在危废贮存间存放。危险废物贮存间按《环境保护图形标志（GB15562-1995）》的规定设置警示标志，具有防风、防雨、防晒等防止污染环境能力。</w:t>
      </w:r>
    </w:p>
    <w:p>
      <w:pPr>
        <w:ind w:firstLine="480"/>
      </w:pPr>
      <w:r>
        <w:rPr>
          <w:rFonts w:hint="eastAsia"/>
        </w:rPr>
        <w:t>（4）污口建档管理</w:t>
      </w:r>
    </w:p>
    <w:p>
      <w:pPr>
        <w:ind w:firstLine="480"/>
      </w:pPr>
      <w:r>
        <w:rPr>
          <w:rFonts w:hint="eastAsia"/>
        </w:rPr>
        <w:t>①使用《中华人民共和国规范化排污口标志登记证》，并按要求填写有关内容。</w:t>
      </w:r>
    </w:p>
    <w:p>
      <w:pPr>
        <w:ind w:firstLine="480"/>
      </w:pPr>
      <w:r>
        <w:rPr>
          <w:rFonts w:hint="eastAsia"/>
        </w:rPr>
        <w:t>②按照环境管理监控计划及排污口管理内容要求，在项目建成后将主要污染物种类、数量、排放浓度与去向，立标及环保设施运行情况记录在案。</w:t>
      </w:r>
    </w:p>
    <w:p>
      <w:pPr>
        <w:ind w:firstLine="480"/>
      </w:pPr>
      <w:r>
        <w:rPr>
          <w:rFonts w:hint="eastAsia"/>
        </w:rPr>
        <w:t>根据《陕西省排污口设置及规范化整治管理办法》的规定，废气、废水排放口应进行规范化设计，具备采样、监测条件，排放口附近树立环保图形标志牌。排污口应符合“一明显、二合理、三便于”的要求，即环保标志明显，排污口设置合理，排污去向合理，便于采集样品，便于监测计量，便于公众监督管理。按照原国家环境保护部制定的《〈环境保护图形标志〉实施细则(试行)》(环监[1996]463 号)的规定，在各排污口设立相应的环境保护图形标志牌。具体</w:t>
      </w:r>
      <w:r>
        <w:t>要求见表</w:t>
      </w:r>
      <w:r>
        <w:rPr>
          <w:rFonts w:hint="eastAsia"/>
        </w:rPr>
        <w:t>9.</w:t>
      </w:r>
      <w:r>
        <w:t>2</w:t>
      </w:r>
      <w:r>
        <w:rPr>
          <w:rFonts w:hint="eastAsia"/>
        </w:rPr>
        <w:t>-2。</w:t>
      </w:r>
    </w:p>
    <w:p>
      <w:pPr>
        <w:pStyle w:val="93"/>
      </w:pPr>
      <w:r>
        <w:t>表</w:t>
      </w:r>
      <w:r>
        <w:fldChar w:fldCharType="begin"/>
      </w:r>
      <w:r>
        <w:instrText xml:space="preserve"> STYLEREF 2 \s </w:instrText>
      </w:r>
      <w:r>
        <w:fldChar w:fldCharType="separate"/>
      </w:r>
      <w:r>
        <w:t>9.2</w:t>
      </w:r>
      <w:r>
        <w:fldChar w:fldCharType="end"/>
      </w:r>
      <w:r>
        <w:noBreakHyphen/>
      </w:r>
      <w:r>
        <w:fldChar w:fldCharType="begin"/>
      </w:r>
      <w:r>
        <w:instrText xml:space="preserve"> SEQ 表 \* ARABIC \s 2 </w:instrText>
      </w:r>
      <w:r>
        <w:fldChar w:fldCharType="separate"/>
      </w:r>
      <w:r>
        <w:t>2</w:t>
      </w:r>
      <w:r>
        <w:fldChar w:fldCharType="end"/>
      </w:r>
      <w:r>
        <w:t xml:space="preserve">  </w:t>
      </w:r>
      <w:r>
        <w:rPr>
          <w:rFonts w:hint="eastAsia"/>
        </w:rPr>
        <w:t>各</w:t>
      </w:r>
      <w:r>
        <w:t>排污口环保标志</w:t>
      </w:r>
    </w:p>
    <w:tbl>
      <w:tblPr>
        <w:tblStyle w:val="35"/>
        <w:tblW w:w="840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814"/>
        <w:gridCol w:w="1714"/>
        <w:gridCol w:w="1714"/>
        <w:gridCol w:w="17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03" w:type="dxa"/>
            <w:vAlign w:val="center"/>
          </w:tcPr>
          <w:p>
            <w:pPr>
              <w:pStyle w:val="48"/>
            </w:pPr>
            <w:r>
              <w:t>排放口</w:t>
            </w:r>
          </w:p>
        </w:tc>
        <w:tc>
          <w:tcPr>
            <w:tcW w:w="1814" w:type="dxa"/>
            <w:vAlign w:val="center"/>
          </w:tcPr>
          <w:p>
            <w:pPr>
              <w:pStyle w:val="48"/>
            </w:pPr>
            <w:r>
              <w:t>废气排放口</w:t>
            </w:r>
          </w:p>
        </w:tc>
        <w:tc>
          <w:tcPr>
            <w:tcW w:w="1714" w:type="dxa"/>
            <w:vAlign w:val="center"/>
          </w:tcPr>
          <w:p>
            <w:pPr>
              <w:pStyle w:val="48"/>
            </w:pPr>
            <w:r>
              <w:t>噪声源</w:t>
            </w:r>
          </w:p>
        </w:tc>
        <w:tc>
          <w:tcPr>
            <w:tcW w:w="1714" w:type="dxa"/>
            <w:vAlign w:val="center"/>
          </w:tcPr>
          <w:p>
            <w:pPr>
              <w:pStyle w:val="48"/>
            </w:pPr>
            <w:r>
              <w:rPr>
                <w:rFonts w:hint="eastAsia"/>
              </w:rPr>
              <w:t>危险</w:t>
            </w:r>
            <w:r>
              <w:t>废物</w:t>
            </w:r>
          </w:p>
        </w:tc>
        <w:tc>
          <w:tcPr>
            <w:tcW w:w="1759" w:type="dxa"/>
            <w:vAlign w:val="center"/>
          </w:tcPr>
          <w:p>
            <w:pPr>
              <w:pStyle w:val="48"/>
            </w:pPr>
            <w:r>
              <w:t>固体废物</w:t>
            </w:r>
          </w:p>
          <w:p>
            <w:pPr>
              <w:pStyle w:val="48"/>
            </w:pPr>
            <w:r>
              <w:t>堆放场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691" w:hRule="atLeast"/>
          <w:jc w:val="center"/>
        </w:trPr>
        <w:tc>
          <w:tcPr>
            <w:tcW w:w="1403" w:type="dxa"/>
            <w:vAlign w:val="center"/>
          </w:tcPr>
          <w:p>
            <w:pPr>
              <w:pStyle w:val="48"/>
            </w:pPr>
            <w:r>
              <w:t>图形符号</w:t>
            </w:r>
          </w:p>
        </w:tc>
        <w:tc>
          <w:tcPr>
            <w:tcW w:w="1814" w:type="dxa"/>
            <w:vAlign w:val="center"/>
          </w:tcPr>
          <w:p>
            <w:pPr>
              <w:pStyle w:val="48"/>
            </w:pPr>
            <w:r>
              <mc:AlternateContent>
                <mc:Choice Requires="wpg">
                  <w:drawing>
                    <wp:anchor distT="0" distB="0" distL="114300" distR="114300" simplePos="0" relativeHeight="252319744" behindDoc="0" locked="0" layoutInCell="1" allowOverlap="1">
                      <wp:simplePos x="0" y="0"/>
                      <wp:positionH relativeFrom="column">
                        <wp:posOffset>113665</wp:posOffset>
                      </wp:positionH>
                      <wp:positionV relativeFrom="paragraph">
                        <wp:posOffset>6985</wp:posOffset>
                      </wp:positionV>
                      <wp:extent cx="657225" cy="659765"/>
                      <wp:effectExtent l="5080" t="5715" r="13970" b="10795"/>
                      <wp:wrapNone/>
                      <wp:docPr id="11" name="Group 775"/>
                      <wp:cNvGraphicFramePr/>
                      <a:graphic xmlns:a="http://schemas.openxmlformats.org/drawingml/2006/main">
                        <a:graphicData uri="http://schemas.microsoft.com/office/word/2010/wordprocessingGroup">
                          <wpg:wgp>
                            <wpg:cNvGrpSpPr/>
                            <wpg:grpSpPr>
                              <a:xfrm>
                                <a:off x="0" y="0"/>
                                <a:ext cx="657225" cy="659765"/>
                                <a:chOff x="0" y="0"/>
                                <a:chExt cx="1035" cy="1039"/>
                              </a:xfrm>
                            </wpg:grpSpPr>
                            <pic:pic xmlns:pic="http://schemas.openxmlformats.org/drawingml/2006/picture">
                              <pic:nvPicPr>
                                <pic:cNvPr id="12" name="Picture 776" descr="未标题-1"/>
                                <pic:cNvPicPr>
                                  <a:picLocks noChangeAspect="1" noChangeArrowheads="1"/>
                                </pic:cNvPicPr>
                              </pic:nvPicPr>
                              <pic:blipFill>
                                <a:blip r:embed="rId112">
                                  <a:grayscl/>
                                  <a:lum contrast="24000"/>
                                  <a:extLst>
                                    <a:ext uri="{28A0092B-C50C-407E-A947-70E740481C1C}">
                                      <a14:useLocalDpi xmlns:a14="http://schemas.microsoft.com/office/drawing/2010/main" val="0"/>
                                    </a:ext>
                                  </a:extLst>
                                </a:blip>
                                <a:srcRect l="40858" t="28969" r="48135" b="48921"/>
                                <a:stretch>
                                  <a:fillRect/>
                                </a:stretch>
                              </pic:blipFill>
                              <pic:spPr>
                                <a:xfrm>
                                  <a:off x="56" y="117"/>
                                  <a:ext cx="885" cy="922"/>
                                </a:xfrm>
                                <a:prstGeom prst="rect">
                                  <a:avLst/>
                                </a:prstGeom>
                                <a:noFill/>
                              </pic:spPr>
                            </pic:pic>
                            <wps:wsp>
                              <wps:cNvPr id="13" name="Rectangle 777"/>
                              <wps:cNvSpPr>
                                <a:spLocks noChangeArrowheads="1"/>
                              </wps:cNvSpPr>
                              <wps:spPr bwMode="auto">
                                <a:xfrm>
                                  <a:off x="0" y="0"/>
                                  <a:ext cx="1035" cy="1038"/>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775" o:spid="_x0000_s1026" o:spt="203" style="position:absolute;left:0pt;margin-left:8.95pt;margin-top:0.55pt;height:51.95pt;width:51.75pt;z-index:252319744;mso-width-relative:page;mso-height-relative:page;" coordsize="1035,1039" o:gfxdata="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">
                      <o:lock v:ext="edit" aspectratio="f"/>
                      <v:shape id="Picture 776" o:spid="_x0000_s1026" o:spt="75" alt="未标题-1" type="#_x0000_t75" style="position:absolute;left:56;top:117;height:922;width:885;" filled="f" o:preferrelative="t" stroked="f" coordsize="21600,21600" o:gfxdata="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sIw8vQAA&#10;ANsAAAAPAAAAAAAAAAEAIAAAACIAAABkcnMvZG93bnJldi54bWxQSwECFAAUAAAACACHTuJAMy8F&#10;njsAAAA5AAAAEAAAAAAAAAABACAAAAAMAQAAZHJzL3NoYXBleG1sLnhtbFBLBQYAAAAABgAGAFsB&#10;AAC2AwAAAAA=&#10;">
                        <v:fill on="f" focussize="0,0"/>
                        <v:stroke on="f"/>
                        <v:imagedata r:id="rId112" cropleft="26777f" croptop="18985f" cropright="31546f" cropbottom="32061f" gain="86231f" blacklevel="0f" grayscale="t" o:title=""/>
                        <o:lock v:ext="edit" aspectratio="t"/>
                      </v:shape>
                      <v:rect id="Rectangle 777" o:spid="_x0000_s1026" o:spt="1" style="position:absolute;left:0;top:0;height:1038;width:1035;" filled="f" stroked="t" coordsize="21600,21600" o:gfxdata="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88tCi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rect>
                    </v:group>
                  </w:pict>
                </mc:Fallback>
              </mc:AlternateContent>
            </w:r>
          </w:p>
          <w:p>
            <w:pPr>
              <w:pStyle w:val="48"/>
            </w:pPr>
          </w:p>
          <w:p>
            <w:pPr>
              <w:pStyle w:val="48"/>
            </w:pPr>
          </w:p>
          <w:p>
            <w:pPr>
              <w:pStyle w:val="48"/>
            </w:pPr>
          </w:p>
        </w:tc>
        <w:tc>
          <w:tcPr>
            <w:tcW w:w="1714" w:type="dxa"/>
            <w:vAlign w:val="center"/>
          </w:tcPr>
          <w:p>
            <w:pPr>
              <w:pStyle w:val="48"/>
            </w:pPr>
            <w:r>
              <mc:AlternateContent>
                <mc:Choice Requires="wpg">
                  <w:drawing>
                    <wp:anchor distT="0" distB="0" distL="114300" distR="114300" simplePos="0" relativeHeight="252320768" behindDoc="0" locked="0" layoutInCell="1" allowOverlap="1">
                      <wp:simplePos x="0" y="0"/>
                      <wp:positionH relativeFrom="column">
                        <wp:posOffset>208280</wp:posOffset>
                      </wp:positionH>
                      <wp:positionV relativeFrom="paragraph">
                        <wp:posOffset>81280</wp:posOffset>
                      </wp:positionV>
                      <wp:extent cx="665480" cy="659130"/>
                      <wp:effectExtent l="0" t="5080" r="13335" b="12065"/>
                      <wp:wrapNone/>
                      <wp:docPr id="6" name="Group 778"/>
                      <wp:cNvGraphicFramePr/>
                      <a:graphic xmlns:a="http://schemas.openxmlformats.org/drawingml/2006/main">
                        <a:graphicData uri="http://schemas.microsoft.com/office/word/2010/wordprocessingGroup">
                          <wpg:wgp>
                            <wpg:cNvGrpSpPr/>
                            <wpg:grpSpPr>
                              <a:xfrm>
                                <a:off x="0" y="0"/>
                                <a:ext cx="665480" cy="659130"/>
                                <a:chOff x="0" y="0"/>
                                <a:chExt cx="1048" cy="1038"/>
                              </a:xfrm>
                            </wpg:grpSpPr>
                            <pic:pic xmlns:pic="http://schemas.openxmlformats.org/drawingml/2006/picture">
                              <pic:nvPicPr>
                                <pic:cNvPr id="7" name="Picture 779" descr="未标题-1"/>
                                <pic:cNvPicPr>
                                  <a:picLocks noChangeAspect="1" noChangeArrowheads="1"/>
                                </pic:cNvPicPr>
                              </pic:nvPicPr>
                              <pic:blipFill>
                                <a:blip r:embed="rId112">
                                  <a:grayscl/>
                                  <a:lum contrast="24000"/>
                                  <a:extLst>
                                    <a:ext uri="{28A0092B-C50C-407E-A947-70E740481C1C}">
                                      <a14:useLocalDpi xmlns:a14="http://schemas.microsoft.com/office/drawing/2010/main" val="0"/>
                                    </a:ext>
                                  </a:extLst>
                                </a:blip>
                                <a:srcRect l="60822" t="29927" r="27611" b="50002"/>
                                <a:stretch>
                                  <a:fillRect/>
                                </a:stretch>
                              </pic:blipFill>
                              <pic:spPr>
                                <a:xfrm>
                                  <a:off x="0" y="87"/>
                                  <a:ext cx="930" cy="837"/>
                                </a:xfrm>
                                <a:prstGeom prst="rect">
                                  <a:avLst/>
                                </a:prstGeom>
                                <a:noFill/>
                              </pic:spPr>
                            </pic:pic>
                            <wps:wsp>
                              <wps:cNvPr id="9" name="Rectangle 780"/>
                              <wps:cNvSpPr>
                                <a:spLocks noChangeArrowheads="1"/>
                              </wps:cNvSpPr>
                              <wps:spPr bwMode="auto">
                                <a:xfrm>
                                  <a:off x="13" y="0"/>
                                  <a:ext cx="1035" cy="1038"/>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778" o:spid="_x0000_s1026" o:spt="203" style="position:absolute;left:0pt;margin-left:16.4pt;margin-top:6.4pt;height:51.9pt;width:52.4pt;z-index:252320768;mso-width-relative:page;mso-height-relative:page;" coordsize="1048,1038" o:gfxdata="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">
                      <o:lock v:ext="edit" aspectratio="f"/>
                      <v:shape id="Picture 779" o:spid="_x0000_s1026" o:spt="75" alt="未标题-1" type="#_x0000_t75" style="position:absolute;left:0;top:87;height:837;width:930;" filled="f" o:preferrelative="t" stroked="f" coordsize="21600,21600" o:gfxdata="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ZYw7gAAADaAAAA&#10;DwAAAAAAAAABACAAAAAiAAAAZHJzL2Rvd25yZXYueG1sUEsBAhQAFAAAAAgAh07iQDMvBZ47AAAA&#10;OQAAABAAAAAAAAAAAQAgAAAABwEAAGRycy9zaGFwZXhtbC54bWxQSwUGAAAAAAYABgBbAQAAsQMA&#10;AAAA&#10;">
                        <v:fill on="f" focussize="0,0"/>
                        <v:stroke on="f"/>
                        <v:imagedata r:id="rId112" cropleft="39860f" croptop="19613f" cropright="18095f" cropbottom="32769f" gain="86231f" blacklevel="0f" grayscale="t" o:title=""/>
                        <o:lock v:ext="edit" aspectratio="t"/>
                      </v:shape>
                      <v:rect id="Rectangle 780" o:spid="_x0000_s1026" o:spt="1" style="position:absolute;left:13;top:0;height:1038;width:1035;" filled="f" stroked="t" coordsize="21600,21600" o:gfxdata="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AwYa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rect>
                    </v:group>
                  </w:pict>
                </mc:Fallback>
              </mc:AlternateContent>
            </w:r>
          </w:p>
        </w:tc>
        <w:tc>
          <w:tcPr>
            <w:tcW w:w="1714" w:type="dxa"/>
            <w:vAlign w:val="center"/>
          </w:tcPr>
          <w:p>
            <w:pPr>
              <w:pStyle w:val="48"/>
            </w:pPr>
            <w:r>
              <w:drawing>
                <wp:inline distT="0" distB="0" distL="0" distR="0">
                  <wp:extent cx="900430" cy="629285"/>
                  <wp:effectExtent l="0" t="0" r="0" b="0"/>
                  <wp:docPr id="8" name="图片 8" descr="C:\Users\ADMINI~1\AppData\Local\Temp\1588147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88147335(1).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913808" cy="638704"/>
                          </a:xfrm>
                          <a:prstGeom prst="rect">
                            <a:avLst/>
                          </a:prstGeom>
                          <a:noFill/>
                          <a:ln>
                            <a:noFill/>
                          </a:ln>
                        </pic:spPr>
                      </pic:pic>
                    </a:graphicData>
                  </a:graphic>
                </wp:inline>
              </w:drawing>
            </w:r>
          </w:p>
        </w:tc>
        <w:tc>
          <w:tcPr>
            <w:tcW w:w="1759" w:type="dxa"/>
            <w:vAlign w:val="center"/>
          </w:tcPr>
          <w:p>
            <w:pPr>
              <w:widowControl/>
              <w:spacing w:line="240" w:lineRule="auto"/>
              <w:ind w:firstLine="480" w:firstLineChars="0"/>
              <w:jc w:val="left"/>
              <w:rPr>
                <w:rFonts w:ascii="宋体" w:hAnsi="宋体" w:cs="宋体"/>
                <w:kern w:val="0"/>
                <w:szCs w:val="24"/>
              </w:rPr>
            </w:pPr>
            <w:r>
              <w:rPr>
                <w:rFonts w:ascii="宋体" w:hAnsi="宋体" w:cs="宋体"/>
                <w:kern w:val="0"/>
                <w:szCs w:val="24"/>
              </w:rPr>
              <w:drawing>
                <wp:anchor distT="0" distB="0" distL="114300" distR="114300" simplePos="0" relativeHeight="252317696" behindDoc="0" locked="0" layoutInCell="1" allowOverlap="1">
                  <wp:simplePos x="0" y="0"/>
                  <wp:positionH relativeFrom="column">
                    <wp:posOffset>106045</wp:posOffset>
                  </wp:positionH>
                  <wp:positionV relativeFrom="paragraph">
                    <wp:posOffset>41910</wp:posOffset>
                  </wp:positionV>
                  <wp:extent cx="762000" cy="685800"/>
                  <wp:effectExtent l="19050" t="0" r="0" b="0"/>
                  <wp:wrapNone/>
                  <wp:docPr id="149" name="图片 149" descr="C:\Users\Administrator\AppData\Roaming\Tencent\Users\914615440\QQ\WinTemp\RichOle\4ANYF8R%E[{)GIEJP{{L$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Administrator\AppData\Roaming\Tencent\Users\914615440\QQ\WinTemp\RichOle\4ANYF8R%E[{)GIEJP{{L$XH.png"/>
                          <pic:cNvPicPr>
                            <a:picLocks noChangeAspect="1" noChangeArrowheads="1"/>
                          </pic:cNvPicPr>
                        </pic:nvPicPr>
                        <pic:blipFill>
                          <a:blip r:embed="rId114" cstate="print"/>
                          <a:srcRect/>
                          <a:stretch>
                            <a:fillRect/>
                          </a:stretch>
                        </pic:blipFill>
                        <pic:spPr>
                          <a:xfrm>
                            <a:off x="0" y="0"/>
                            <a:ext cx="762000" cy="685800"/>
                          </a:xfrm>
                          <a:prstGeom prst="rect">
                            <a:avLst/>
                          </a:prstGeom>
                          <a:noFill/>
                          <a:ln w="9525">
                            <a:noFill/>
                            <a:miter lim="800000"/>
                            <a:headEnd/>
                            <a:tailEnd/>
                          </a:ln>
                        </pic:spPr>
                      </pic:pic>
                    </a:graphicData>
                  </a:graphic>
                </wp:anchor>
              </w:drawing>
            </w:r>
          </w:p>
          <w:p>
            <w:pPr>
              <w:pStyle w:val="48"/>
              <w:jc w:val="left"/>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403" w:type="dxa"/>
            <w:vAlign w:val="center"/>
          </w:tcPr>
          <w:p>
            <w:pPr>
              <w:pStyle w:val="48"/>
            </w:pPr>
            <w:r>
              <w:rPr>
                <w:rFonts w:hint="eastAsia"/>
              </w:rPr>
              <w:t>功能</w:t>
            </w:r>
          </w:p>
        </w:tc>
        <w:tc>
          <w:tcPr>
            <w:tcW w:w="1814"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表示废气向大气</w:t>
            </w:r>
          </w:p>
          <w:p>
            <w:pPr>
              <w:pStyle w:val="48"/>
            </w:pPr>
            <w:r>
              <w:rPr>
                <w:rFonts w:hint="eastAsia" w:ascii="宋体" w:hAnsi="Calibri" w:cs="宋体"/>
                <w:kern w:val="0"/>
                <w:szCs w:val="21"/>
              </w:rPr>
              <w:t>环境排放</w:t>
            </w:r>
          </w:p>
        </w:tc>
        <w:tc>
          <w:tcPr>
            <w:tcW w:w="1714"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表示噪声向外环</w:t>
            </w:r>
          </w:p>
          <w:p>
            <w:pPr>
              <w:pStyle w:val="48"/>
            </w:pPr>
            <w:r>
              <w:rPr>
                <w:rFonts w:hint="eastAsia" w:ascii="宋体" w:hAnsi="Calibri" w:cs="宋体"/>
                <w:kern w:val="0"/>
                <w:szCs w:val="21"/>
              </w:rPr>
              <w:t>境排放</w:t>
            </w:r>
          </w:p>
        </w:tc>
        <w:tc>
          <w:tcPr>
            <w:tcW w:w="1714"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表示危险废物贮</w:t>
            </w:r>
          </w:p>
          <w:p>
            <w:pPr>
              <w:pStyle w:val="48"/>
            </w:pPr>
            <w:r>
              <w:rPr>
                <w:rFonts w:hint="eastAsia" w:ascii="宋体" w:hAnsi="Calibri" w:cs="宋体"/>
                <w:kern w:val="0"/>
                <w:szCs w:val="21"/>
              </w:rPr>
              <w:t>存场</w:t>
            </w:r>
          </w:p>
        </w:tc>
        <w:tc>
          <w:tcPr>
            <w:tcW w:w="1759" w:type="dxa"/>
            <w:vAlign w:val="center"/>
          </w:tcPr>
          <w:p>
            <w:pPr>
              <w:autoSpaceDE w:val="0"/>
              <w:autoSpaceDN w:val="0"/>
              <w:snapToGrid/>
              <w:spacing w:line="240" w:lineRule="auto"/>
              <w:ind w:firstLine="0" w:firstLineChars="0"/>
              <w:jc w:val="left"/>
              <w:rPr>
                <w:rFonts w:ascii="宋体" w:hAnsi="Calibri" w:cs="宋体"/>
                <w:kern w:val="0"/>
                <w:sz w:val="21"/>
                <w:szCs w:val="21"/>
              </w:rPr>
            </w:pPr>
            <w:r>
              <w:rPr>
                <w:rFonts w:hint="eastAsia" w:ascii="宋体" w:hAnsi="Calibri" w:cs="宋体"/>
                <w:kern w:val="0"/>
                <w:sz w:val="21"/>
                <w:szCs w:val="21"/>
              </w:rPr>
              <w:t>表示一般固体废物贮存、处置场</w:t>
            </w:r>
          </w:p>
        </w:tc>
      </w:tr>
    </w:tbl>
    <w:p>
      <w:pPr>
        <w:pStyle w:val="4"/>
      </w:pPr>
      <w:r>
        <w:rPr>
          <w:rFonts w:hint="eastAsia"/>
        </w:rPr>
        <w:t>企业</w:t>
      </w:r>
      <w:r>
        <w:t>信息公开</w:t>
      </w:r>
    </w:p>
    <w:p>
      <w:pPr>
        <w:ind w:firstLine="480"/>
      </w:pPr>
      <w:r>
        <w:rPr>
          <w:rFonts w:hint="eastAsia"/>
        </w:rPr>
        <w:t>（1）企业环境信息公开的内容</w:t>
      </w:r>
    </w:p>
    <w:p>
      <w:pPr>
        <w:ind w:firstLine="480"/>
      </w:pPr>
      <w:r>
        <w:rPr>
          <w:rFonts w:hint="eastAsia"/>
        </w:rPr>
        <w:t>根据《企业事业单位环境信息公开办法》（环保部令第31号）的规定以及安康市</w:t>
      </w:r>
      <w:r>
        <w:t>生态环境局的要求，</w:t>
      </w:r>
      <w:r>
        <w:rPr>
          <w:rFonts w:hint="eastAsia"/>
        </w:rPr>
        <w:t>本项目应公开如下环境信息：</w:t>
      </w:r>
    </w:p>
    <w:p>
      <w:pPr>
        <w:ind w:firstLine="480"/>
      </w:pPr>
      <w:r>
        <w:rPr>
          <w:rFonts w:hint="eastAsia"/>
        </w:rPr>
        <w:t>①基础信息，包括单位名称、组织机构代码、法定代表人、生产地址、联系方式，以及生产经营和管理服务的主要内容、产品及规模；</w:t>
      </w:r>
    </w:p>
    <w:p>
      <w:pPr>
        <w:ind w:firstLine="480"/>
      </w:pPr>
      <w:r>
        <w:rPr>
          <w:rFonts w:hint="eastAsia"/>
        </w:rPr>
        <w:t>②排污信息，包括主要污染物及特征污染物的名称、排放方式、排放口数量和分布情况、排放浓度和总量、超标情况，以及执行的污染物排放标准、核定的排放总量；</w:t>
      </w:r>
    </w:p>
    <w:p>
      <w:pPr>
        <w:ind w:firstLine="480"/>
      </w:pPr>
      <w:r>
        <w:rPr>
          <w:rFonts w:hint="eastAsia"/>
        </w:rPr>
        <w:t>③防治污染设施的建设和运行情况；</w:t>
      </w:r>
    </w:p>
    <w:p>
      <w:pPr>
        <w:ind w:firstLine="480"/>
      </w:pPr>
      <w:r>
        <w:rPr>
          <w:rFonts w:hint="eastAsia"/>
        </w:rPr>
        <w:t>④建设项目环境影响评价及其他环境保护行政许可情况；</w:t>
      </w:r>
    </w:p>
    <w:p>
      <w:pPr>
        <w:ind w:firstLine="480"/>
      </w:pPr>
      <w:r>
        <w:rPr>
          <w:rFonts w:hint="eastAsia"/>
        </w:rPr>
        <w:t>⑤突发环境事件应急预案；</w:t>
      </w:r>
    </w:p>
    <w:p>
      <w:pPr>
        <w:ind w:firstLine="480"/>
      </w:pPr>
      <w:r>
        <w:rPr>
          <w:rFonts w:hint="eastAsia"/>
        </w:rPr>
        <w:t>⑥其他应当公开的环境信息。</w:t>
      </w:r>
    </w:p>
    <w:p>
      <w:pPr>
        <w:ind w:firstLine="480"/>
      </w:pPr>
      <w:r>
        <w:rPr>
          <w:rFonts w:hint="eastAsia"/>
        </w:rPr>
        <w:t>（2）公开信息的方式</w:t>
      </w:r>
    </w:p>
    <w:p>
      <w:pPr>
        <w:ind w:firstLine="480"/>
      </w:pPr>
      <w:r>
        <w:rPr>
          <w:rFonts w:hint="eastAsia"/>
        </w:rPr>
        <w:t>排污单位应当通过其网站、建设单位环境信息公开平台或者当地报刊等便于公众知晓的方式公开环境信息，同时可以采取以下一种或者几种方式予以公开：</w:t>
      </w:r>
    </w:p>
    <w:p>
      <w:pPr>
        <w:ind w:firstLine="480"/>
      </w:pPr>
      <w:r>
        <w:rPr>
          <w:rFonts w:hint="eastAsia"/>
        </w:rPr>
        <w:t>①公告或者公开发行的信息专刊；</w:t>
      </w:r>
    </w:p>
    <w:p>
      <w:pPr>
        <w:ind w:firstLine="480"/>
      </w:pPr>
      <w:r>
        <w:rPr>
          <w:rFonts w:hint="eastAsia"/>
        </w:rPr>
        <w:t>②广播、电视等新闻媒体；</w:t>
      </w:r>
    </w:p>
    <w:p>
      <w:pPr>
        <w:ind w:firstLine="480"/>
      </w:pPr>
      <w:r>
        <w:rPr>
          <w:rFonts w:hint="eastAsia"/>
        </w:rPr>
        <w:t>③信息公开服务、监督热线电话；</w:t>
      </w:r>
    </w:p>
    <w:p>
      <w:pPr>
        <w:ind w:firstLine="480"/>
      </w:pPr>
      <w:r>
        <w:rPr>
          <w:rFonts w:hint="eastAsia"/>
        </w:rPr>
        <w:t>④本单位的资料索取点、信息公开栏、信息亭、电子屏幕、电子触摸屏等场所或者设施。</w:t>
      </w:r>
    </w:p>
    <w:p>
      <w:pPr>
        <w:pStyle w:val="3"/>
        <w:rPr>
          <w:snapToGrid w:val="0"/>
        </w:rPr>
      </w:pPr>
      <w:bookmarkStart w:id="253" w:name="_Toc406942451"/>
      <w:bookmarkStart w:id="254" w:name="_Toc16296"/>
      <w:bookmarkStart w:id="255" w:name="_Toc21232"/>
      <w:bookmarkStart w:id="256" w:name="_Toc82502980"/>
      <w:bookmarkStart w:id="257" w:name="_Toc28232"/>
      <w:r>
        <w:rPr>
          <w:snapToGrid w:val="0"/>
        </w:rPr>
        <w:t>环境监测计划</w:t>
      </w:r>
      <w:bookmarkEnd w:id="253"/>
      <w:bookmarkEnd w:id="254"/>
      <w:bookmarkEnd w:id="255"/>
      <w:bookmarkEnd w:id="256"/>
      <w:bookmarkEnd w:id="257"/>
    </w:p>
    <w:p>
      <w:pPr>
        <w:ind w:firstLine="480"/>
      </w:pPr>
      <w:r>
        <w:rPr>
          <w:rFonts w:hint="eastAsia"/>
        </w:rPr>
        <w:t>根据《排污单位自行监测技术指南 总则》（HJ819-2017）、</w:t>
      </w:r>
      <w:r>
        <w:t>《</w:t>
      </w:r>
      <w:r>
        <w:rPr>
          <w:rFonts w:hint="eastAsia"/>
        </w:rPr>
        <w:t>排污</w:t>
      </w:r>
      <w:r>
        <w:t>单位自行监测技术指南</w:t>
      </w:r>
      <w:r>
        <w:rPr>
          <w:rFonts w:hint="eastAsia"/>
        </w:rPr>
        <w:t xml:space="preserve"> 火力</w:t>
      </w:r>
      <w:r>
        <w:t>发电</w:t>
      </w:r>
      <w:r>
        <w:rPr>
          <w:rFonts w:hint="eastAsia"/>
        </w:rPr>
        <w:t>及</w:t>
      </w:r>
      <w:r>
        <w:t>锅炉》</w:t>
      </w:r>
      <w:r>
        <w:rPr>
          <w:rFonts w:hint="eastAsia"/>
        </w:rPr>
        <w:t>，为保证项目污染治理措施有效稳定运行，实现污染物稳定达标排放，建设单位可根据自身条件和能力，利用自有人员、场所和设备自行监测；也可委托其他有资质的检（监）测机构代其开展自行监测，以便及时掌握产排污规律，加强污染治理。</w:t>
      </w:r>
    </w:p>
    <w:p>
      <w:pPr>
        <w:ind w:firstLine="480"/>
      </w:pPr>
      <w:r>
        <w:rPr>
          <w:rFonts w:hint="eastAsia"/>
        </w:rPr>
        <w:t>本项目营运期污染源监测计划见表</w:t>
      </w:r>
      <w:r>
        <w:t>9.3-1</w:t>
      </w:r>
      <w:r>
        <w:rPr>
          <w:rFonts w:hint="eastAsia"/>
        </w:rPr>
        <w:t>。</w:t>
      </w:r>
    </w:p>
    <w:p>
      <w:pPr>
        <w:spacing w:line="240" w:lineRule="auto"/>
        <w:ind w:firstLine="0" w:firstLineChars="0"/>
        <w:jc w:val="center"/>
        <w:rPr>
          <w:b/>
          <w:sz w:val="20"/>
          <w:szCs w:val="20"/>
        </w:rPr>
      </w:pPr>
      <w:bookmarkStart w:id="258" w:name="_Ref25834876"/>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9.3</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bookmarkEnd w:id="258"/>
      <w:r>
        <w:rPr>
          <w:b/>
          <w:sz w:val="21"/>
          <w:szCs w:val="21"/>
        </w:rPr>
        <w:t xml:space="preserve">  污染源监测计划表</w:t>
      </w:r>
    </w:p>
    <w:tbl>
      <w:tblPr>
        <w:tblStyle w:val="35"/>
        <w:tblW w:w="848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9"/>
        <w:gridCol w:w="2126"/>
        <w:gridCol w:w="1862"/>
        <w:gridCol w:w="1956"/>
        <w:gridCol w:w="1124"/>
        <w:gridCol w:w="9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5" w:type="dxa"/>
            <w:gridSpan w:val="2"/>
            <w:vAlign w:val="center"/>
          </w:tcPr>
          <w:p>
            <w:pPr>
              <w:spacing w:line="240" w:lineRule="auto"/>
              <w:ind w:firstLine="0" w:firstLineChars="0"/>
              <w:jc w:val="center"/>
              <w:rPr>
                <w:sz w:val="21"/>
                <w:szCs w:val="21"/>
              </w:rPr>
            </w:pPr>
            <w:r>
              <w:rPr>
                <w:sz w:val="21"/>
                <w:szCs w:val="21"/>
              </w:rPr>
              <w:t>污染源</w:t>
            </w:r>
          </w:p>
          <w:p>
            <w:pPr>
              <w:spacing w:line="240" w:lineRule="auto"/>
              <w:ind w:firstLine="0" w:firstLineChars="0"/>
              <w:jc w:val="center"/>
              <w:rPr>
                <w:sz w:val="21"/>
                <w:szCs w:val="21"/>
              </w:rPr>
            </w:pPr>
            <w:r>
              <w:rPr>
                <w:sz w:val="21"/>
                <w:szCs w:val="21"/>
              </w:rPr>
              <w:t>名称</w:t>
            </w:r>
          </w:p>
        </w:tc>
        <w:tc>
          <w:tcPr>
            <w:tcW w:w="1862" w:type="dxa"/>
            <w:vAlign w:val="center"/>
          </w:tcPr>
          <w:p>
            <w:pPr>
              <w:spacing w:line="240" w:lineRule="auto"/>
              <w:ind w:firstLine="0" w:firstLineChars="0"/>
              <w:jc w:val="center"/>
              <w:rPr>
                <w:sz w:val="21"/>
                <w:szCs w:val="21"/>
              </w:rPr>
            </w:pPr>
            <w:r>
              <w:rPr>
                <w:sz w:val="21"/>
                <w:szCs w:val="21"/>
              </w:rPr>
              <w:t>监测因子</w:t>
            </w:r>
          </w:p>
        </w:tc>
        <w:tc>
          <w:tcPr>
            <w:tcW w:w="1956" w:type="dxa"/>
            <w:vAlign w:val="center"/>
          </w:tcPr>
          <w:p>
            <w:pPr>
              <w:spacing w:line="240" w:lineRule="auto"/>
              <w:ind w:firstLine="0" w:firstLineChars="0"/>
              <w:jc w:val="center"/>
              <w:rPr>
                <w:sz w:val="21"/>
                <w:szCs w:val="21"/>
              </w:rPr>
            </w:pPr>
            <w:r>
              <w:rPr>
                <w:sz w:val="21"/>
                <w:szCs w:val="21"/>
              </w:rPr>
              <w:t>监测点位置</w:t>
            </w:r>
          </w:p>
        </w:tc>
        <w:tc>
          <w:tcPr>
            <w:tcW w:w="1124" w:type="dxa"/>
            <w:vAlign w:val="center"/>
          </w:tcPr>
          <w:p>
            <w:pPr>
              <w:spacing w:line="240" w:lineRule="auto"/>
              <w:ind w:firstLine="0" w:firstLineChars="0"/>
              <w:jc w:val="center"/>
              <w:rPr>
                <w:sz w:val="21"/>
                <w:szCs w:val="21"/>
              </w:rPr>
            </w:pPr>
            <w:r>
              <w:rPr>
                <w:sz w:val="21"/>
                <w:szCs w:val="21"/>
              </w:rPr>
              <w:t>监测</w:t>
            </w:r>
          </w:p>
          <w:p>
            <w:pPr>
              <w:spacing w:line="240" w:lineRule="auto"/>
              <w:ind w:firstLine="0" w:firstLineChars="0"/>
              <w:jc w:val="center"/>
              <w:rPr>
                <w:sz w:val="21"/>
                <w:szCs w:val="21"/>
              </w:rPr>
            </w:pPr>
            <w:r>
              <w:rPr>
                <w:sz w:val="21"/>
                <w:szCs w:val="21"/>
              </w:rPr>
              <w:t>点数</w:t>
            </w:r>
          </w:p>
        </w:tc>
        <w:tc>
          <w:tcPr>
            <w:tcW w:w="992" w:type="dxa"/>
            <w:vAlign w:val="center"/>
          </w:tcPr>
          <w:p>
            <w:pPr>
              <w:spacing w:line="240" w:lineRule="auto"/>
              <w:ind w:firstLine="0" w:firstLineChars="0"/>
              <w:jc w:val="center"/>
              <w:rPr>
                <w:sz w:val="21"/>
                <w:szCs w:val="21"/>
              </w:rPr>
            </w:pPr>
            <w:r>
              <w:rPr>
                <w:sz w:val="21"/>
                <w:szCs w:val="21"/>
              </w:rPr>
              <w:t>监测</w:t>
            </w:r>
          </w:p>
          <w:p>
            <w:pPr>
              <w:spacing w:line="240" w:lineRule="auto"/>
              <w:ind w:firstLine="0" w:firstLineChars="0"/>
              <w:jc w:val="center"/>
              <w:rPr>
                <w:sz w:val="21"/>
                <w:szCs w:val="21"/>
              </w:rPr>
            </w:pPr>
            <w:r>
              <w:rPr>
                <w:sz w:val="21"/>
                <w:szCs w:val="21"/>
              </w:rPr>
              <w:t>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restart"/>
            <w:tcBorders>
              <w:top w:val="single" w:color="auto" w:sz="4" w:space="0"/>
            </w:tcBorders>
            <w:vAlign w:val="center"/>
          </w:tcPr>
          <w:p>
            <w:pPr>
              <w:spacing w:line="240" w:lineRule="auto"/>
              <w:ind w:firstLine="0" w:firstLineChars="0"/>
              <w:jc w:val="center"/>
              <w:rPr>
                <w:sz w:val="21"/>
                <w:szCs w:val="21"/>
              </w:rPr>
            </w:pPr>
            <w:r>
              <w:rPr>
                <w:rFonts w:hint="eastAsia"/>
                <w:sz w:val="21"/>
                <w:szCs w:val="21"/>
              </w:rPr>
              <w:t>有组织</w:t>
            </w:r>
            <w:r>
              <w:rPr>
                <w:sz w:val="21"/>
                <w:szCs w:val="21"/>
              </w:rPr>
              <w:t>废气</w:t>
            </w:r>
          </w:p>
        </w:tc>
        <w:tc>
          <w:tcPr>
            <w:tcW w:w="2126" w:type="dxa"/>
            <w:vAlign w:val="center"/>
          </w:tcPr>
          <w:p>
            <w:pPr>
              <w:spacing w:line="240" w:lineRule="auto"/>
              <w:ind w:firstLine="0" w:firstLineChars="0"/>
              <w:jc w:val="center"/>
              <w:rPr>
                <w:sz w:val="21"/>
                <w:szCs w:val="21"/>
              </w:rPr>
            </w:pPr>
            <w:r>
              <w:rPr>
                <w:rFonts w:hint="eastAsia"/>
                <w:sz w:val="21"/>
                <w:szCs w:val="21"/>
              </w:rPr>
              <w:t>初清</w:t>
            </w:r>
            <w:r>
              <w:rPr>
                <w:sz w:val="21"/>
                <w:szCs w:val="21"/>
              </w:rPr>
              <w:t>排气筒P1</w:t>
            </w:r>
          </w:p>
        </w:tc>
        <w:tc>
          <w:tcPr>
            <w:tcW w:w="1862" w:type="dxa"/>
            <w:vAlign w:val="center"/>
          </w:tcPr>
          <w:p>
            <w:pPr>
              <w:spacing w:line="240" w:lineRule="auto"/>
              <w:ind w:firstLine="0" w:firstLineChars="0"/>
              <w:jc w:val="center"/>
              <w:rPr>
                <w:sz w:val="21"/>
                <w:szCs w:val="21"/>
              </w:rPr>
            </w:pPr>
            <w:r>
              <w:rPr>
                <w:rFonts w:hint="eastAsia"/>
                <w:sz w:val="21"/>
                <w:szCs w:val="21"/>
              </w:rPr>
              <w:t>颗粒物</w:t>
            </w:r>
          </w:p>
        </w:tc>
        <w:tc>
          <w:tcPr>
            <w:tcW w:w="19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排气筒出口</w:t>
            </w:r>
          </w:p>
        </w:tc>
        <w:tc>
          <w:tcPr>
            <w:tcW w:w="1124" w:type="dxa"/>
            <w:vAlign w:val="center"/>
          </w:tcPr>
          <w:p>
            <w:pPr>
              <w:spacing w:line="240" w:lineRule="auto"/>
              <w:ind w:firstLine="0" w:firstLineChars="0"/>
              <w:jc w:val="center"/>
              <w:rPr>
                <w:sz w:val="21"/>
                <w:szCs w:val="21"/>
              </w:rPr>
            </w:pPr>
            <w:r>
              <w:rPr>
                <w:rFonts w:hint="eastAsia"/>
                <w:sz w:val="21"/>
                <w:szCs w:val="21"/>
              </w:rPr>
              <w:t>1</w:t>
            </w:r>
          </w:p>
        </w:tc>
        <w:tc>
          <w:tcPr>
            <w:tcW w:w="992" w:type="dxa"/>
            <w:vAlign w:val="center"/>
          </w:tcPr>
          <w:p>
            <w:pPr>
              <w:spacing w:line="240" w:lineRule="auto"/>
              <w:ind w:firstLine="0" w:firstLineChars="0"/>
              <w:jc w:val="center"/>
              <w:rPr>
                <w:sz w:val="21"/>
                <w:szCs w:val="21"/>
              </w:rPr>
            </w:pPr>
            <w:r>
              <w:rPr>
                <w:rFonts w:hint="eastAsia"/>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Align w:val="center"/>
          </w:tcPr>
          <w:p>
            <w:pPr>
              <w:spacing w:line="240" w:lineRule="auto"/>
              <w:ind w:firstLine="0" w:firstLineChars="0"/>
              <w:jc w:val="center"/>
              <w:rPr>
                <w:sz w:val="21"/>
                <w:szCs w:val="21"/>
              </w:rPr>
            </w:pPr>
            <w:r>
              <w:rPr>
                <w:rFonts w:hint="eastAsia"/>
                <w:sz w:val="21"/>
                <w:szCs w:val="21"/>
              </w:rPr>
              <w:t>粗粉</w:t>
            </w:r>
            <w:r>
              <w:rPr>
                <w:sz w:val="21"/>
                <w:szCs w:val="21"/>
              </w:rPr>
              <w:t>排气筒P2</w:t>
            </w:r>
          </w:p>
        </w:tc>
        <w:tc>
          <w:tcPr>
            <w:tcW w:w="1862" w:type="dxa"/>
            <w:vAlign w:val="center"/>
          </w:tcPr>
          <w:p>
            <w:pPr>
              <w:spacing w:line="240" w:lineRule="auto"/>
              <w:ind w:firstLine="0" w:firstLineChars="0"/>
              <w:jc w:val="center"/>
              <w:rPr>
                <w:sz w:val="21"/>
                <w:szCs w:val="21"/>
              </w:rPr>
            </w:pPr>
            <w:r>
              <w:rPr>
                <w:rFonts w:hint="eastAsia"/>
                <w:sz w:val="21"/>
                <w:szCs w:val="21"/>
              </w:rPr>
              <w:t>颗粒物</w:t>
            </w:r>
          </w:p>
        </w:tc>
        <w:tc>
          <w:tcPr>
            <w:tcW w:w="19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排气筒出口</w:t>
            </w:r>
          </w:p>
        </w:tc>
        <w:tc>
          <w:tcPr>
            <w:tcW w:w="1124" w:type="dxa"/>
            <w:vAlign w:val="center"/>
          </w:tcPr>
          <w:p>
            <w:pPr>
              <w:spacing w:line="240" w:lineRule="auto"/>
              <w:ind w:firstLine="0" w:firstLineChars="0"/>
              <w:jc w:val="center"/>
              <w:rPr>
                <w:sz w:val="21"/>
                <w:szCs w:val="21"/>
              </w:rPr>
            </w:pPr>
            <w:r>
              <w:rPr>
                <w:rFonts w:hint="eastAsia"/>
                <w:sz w:val="21"/>
                <w:szCs w:val="21"/>
              </w:rPr>
              <w:t>1</w:t>
            </w:r>
          </w:p>
        </w:tc>
        <w:tc>
          <w:tcPr>
            <w:tcW w:w="992" w:type="dxa"/>
            <w:vAlign w:val="center"/>
          </w:tcPr>
          <w:p>
            <w:pPr>
              <w:spacing w:line="240" w:lineRule="auto"/>
              <w:ind w:firstLine="0" w:firstLineChars="0"/>
              <w:jc w:val="center"/>
              <w:rPr>
                <w:sz w:val="21"/>
                <w:szCs w:val="21"/>
              </w:rPr>
            </w:pPr>
            <w:r>
              <w:rPr>
                <w:rFonts w:hint="eastAsia"/>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Align w:val="center"/>
          </w:tcPr>
          <w:p>
            <w:pPr>
              <w:spacing w:line="240" w:lineRule="auto"/>
              <w:ind w:firstLine="0" w:firstLineChars="0"/>
              <w:jc w:val="center"/>
              <w:rPr>
                <w:sz w:val="21"/>
                <w:szCs w:val="21"/>
              </w:rPr>
            </w:pPr>
            <w:r>
              <w:rPr>
                <w:rFonts w:hint="eastAsia"/>
                <w:sz w:val="21"/>
                <w:szCs w:val="21"/>
              </w:rPr>
              <w:t>微粉</w:t>
            </w:r>
            <w:r>
              <w:rPr>
                <w:sz w:val="21"/>
                <w:szCs w:val="21"/>
              </w:rPr>
              <w:t>排气筒P3/P4</w:t>
            </w:r>
          </w:p>
        </w:tc>
        <w:tc>
          <w:tcPr>
            <w:tcW w:w="1862" w:type="dxa"/>
            <w:vAlign w:val="center"/>
          </w:tcPr>
          <w:p>
            <w:pPr>
              <w:spacing w:line="240" w:lineRule="auto"/>
              <w:ind w:firstLine="0" w:firstLineChars="0"/>
              <w:jc w:val="center"/>
              <w:rPr>
                <w:sz w:val="21"/>
                <w:szCs w:val="21"/>
              </w:rPr>
            </w:pPr>
            <w:r>
              <w:rPr>
                <w:rFonts w:hint="eastAsia"/>
                <w:sz w:val="21"/>
                <w:szCs w:val="21"/>
              </w:rPr>
              <w:t>颗粒物</w:t>
            </w:r>
          </w:p>
        </w:tc>
        <w:tc>
          <w:tcPr>
            <w:tcW w:w="19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排气筒出口</w:t>
            </w:r>
          </w:p>
        </w:tc>
        <w:tc>
          <w:tcPr>
            <w:tcW w:w="1124" w:type="dxa"/>
            <w:vAlign w:val="center"/>
          </w:tcPr>
          <w:p>
            <w:pPr>
              <w:spacing w:line="240" w:lineRule="auto"/>
              <w:ind w:firstLine="0" w:firstLineChars="0"/>
              <w:jc w:val="center"/>
              <w:rPr>
                <w:sz w:val="21"/>
                <w:szCs w:val="21"/>
              </w:rPr>
            </w:pPr>
            <w:r>
              <w:rPr>
                <w:sz w:val="21"/>
                <w:szCs w:val="21"/>
              </w:rPr>
              <w:t>2</w:t>
            </w:r>
          </w:p>
        </w:tc>
        <w:tc>
          <w:tcPr>
            <w:tcW w:w="992" w:type="dxa"/>
            <w:vAlign w:val="center"/>
          </w:tcPr>
          <w:p>
            <w:pPr>
              <w:spacing w:line="240" w:lineRule="auto"/>
              <w:ind w:firstLine="0" w:firstLineChars="0"/>
              <w:jc w:val="center"/>
              <w:rPr>
                <w:sz w:val="21"/>
                <w:szCs w:val="21"/>
              </w:rPr>
            </w:pPr>
            <w:r>
              <w:rPr>
                <w:rFonts w:hint="eastAsia"/>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Align w:val="center"/>
          </w:tcPr>
          <w:p>
            <w:pPr>
              <w:spacing w:line="240" w:lineRule="auto"/>
              <w:ind w:firstLine="0" w:firstLineChars="0"/>
              <w:jc w:val="center"/>
              <w:rPr>
                <w:sz w:val="21"/>
                <w:szCs w:val="21"/>
              </w:rPr>
            </w:pPr>
            <w:r>
              <w:rPr>
                <w:rFonts w:hint="eastAsia"/>
                <w:sz w:val="21"/>
                <w:szCs w:val="21"/>
              </w:rPr>
              <w:t>甲醇</w:t>
            </w:r>
            <w:r>
              <w:rPr>
                <w:sz w:val="21"/>
                <w:szCs w:val="21"/>
              </w:rPr>
              <w:t>回收排气筒P5</w:t>
            </w:r>
          </w:p>
        </w:tc>
        <w:tc>
          <w:tcPr>
            <w:tcW w:w="1862" w:type="dxa"/>
            <w:vAlign w:val="center"/>
          </w:tcPr>
          <w:p>
            <w:pPr>
              <w:spacing w:line="240" w:lineRule="auto"/>
              <w:ind w:firstLine="0" w:firstLineChars="0"/>
              <w:jc w:val="center"/>
              <w:rPr>
                <w:sz w:val="21"/>
                <w:szCs w:val="21"/>
              </w:rPr>
            </w:pPr>
            <w:r>
              <w:rPr>
                <w:rFonts w:hint="eastAsia"/>
                <w:sz w:val="21"/>
                <w:szCs w:val="21"/>
              </w:rPr>
              <w:t>颗粒物</w:t>
            </w:r>
          </w:p>
        </w:tc>
        <w:tc>
          <w:tcPr>
            <w:tcW w:w="1956"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排气筒出口</w:t>
            </w:r>
          </w:p>
        </w:tc>
        <w:tc>
          <w:tcPr>
            <w:tcW w:w="1124" w:type="dxa"/>
            <w:vAlign w:val="center"/>
          </w:tcPr>
          <w:p>
            <w:pPr>
              <w:spacing w:line="240" w:lineRule="auto"/>
              <w:ind w:firstLine="0" w:firstLineChars="0"/>
              <w:jc w:val="center"/>
              <w:rPr>
                <w:sz w:val="21"/>
                <w:szCs w:val="21"/>
              </w:rPr>
            </w:pPr>
            <w:r>
              <w:rPr>
                <w:rFonts w:hint="eastAsia"/>
                <w:sz w:val="21"/>
                <w:szCs w:val="21"/>
              </w:rPr>
              <w:t>1</w:t>
            </w:r>
          </w:p>
        </w:tc>
        <w:tc>
          <w:tcPr>
            <w:tcW w:w="992" w:type="dxa"/>
            <w:vAlign w:val="center"/>
          </w:tcPr>
          <w:p>
            <w:pPr>
              <w:spacing w:line="240" w:lineRule="auto"/>
              <w:ind w:firstLine="0" w:firstLineChars="0"/>
              <w:jc w:val="center"/>
              <w:rPr>
                <w:sz w:val="21"/>
                <w:szCs w:val="21"/>
              </w:rPr>
            </w:pPr>
            <w:r>
              <w:rPr>
                <w:rFonts w:hint="eastAsia"/>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Merge w:val="restart"/>
            <w:vAlign w:val="center"/>
          </w:tcPr>
          <w:p>
            <w:pPr>
              <w:spacing w:line="240" w:lineRule="auto"/>
              <w:ind w:firstLine="0" w:firstLineChars="0"/>
              <w:jc w:val="center"/>
              <w:rPr>
                <w:sz w:val="21"/>
                <w:szCs w:val="21"/>
              </w:rPr>
            </w:pPr>
            <w:r>
              <w:rPr>
                <w:rFonts w:hint="eastAsia"/>
                <w:sz w:val="21"/>
                <w:szCs w:val="21"/>
              </w:rPr>
              <w:t>天然气</w:t>
            </w:r>
            <w:r>
              <w:rPr>
                <w:sz w:val="21"/>
                <w:szCs w:val="21"/>
              </w:rPr>
              <w:t>锅炉</w:t>
            </w:r>
          </w:p>
        </w:tc>
        <w:tc>
          <w:tcPr>
            <w:tcW w:w="1862" w:type="dxa"/>
            <w:vAlign w:val="center"/>
          </w:tcPr>
          <w:p>
            <w:pPr>
              <w:spacing w:line="240" w:lineRule="auto"/>
              <w:ind w:firstLine="0" w:firstLineChars="0"/>
              <w:jc w:val="center"/>
              <w:rPr>
                <w:sz w:val="21"/>
                <w:szCs w:val="21"/>
              </w:rPr>
            </w:pPr>
            <w:r>
              <w:rPr>
                <w:rFonts w:hint="eastAsia"/>
                <w:sz w:val="21"/>
                <w:szCs w:val="21"/>
              </w:rPr>
              <w:t>NOx</w:t>
            </w:r>
          </w:p>
        </w:tc>
        <w:tc>
          <w:tcPr>
            <w:tcW w:w="1956" w:type="dxa"/>
          </w:tcPr>
          <w:p>
            <w:pPr>
              <w:pStyle w:val="97"/>
            </w:pPr>
            <w:r>
              <w:t>排气筒出口</w:t>
            </w:r>
          </w:p>
        </w:tc>
        <w:tc>
          <w:tcPr>
            <w:tcW w:w="1124" w:type="dxa"/>
            <w:vMerge w:val="restart"/>
            <w:vAlign w:val="center"/>
          </w:tcPr>
          <w:p>
            <w:pPr>
              <w:spacing w:line="240" w:lineRule="auto"/>
              <w:ind w:firstLine="0" w:firstLineChars="0"/>
              <w:jc w:val="center"/>
              <w:rPr>
                <w:sz w:val="21"/>
                <w:szCs w:val="21"/>
              </w:rPr>
            </w:pPr>
            <w:r>
              <w:rPr>
                <w:rFonts w:hint="eastAsia"/>
                <w:sz w:val="21"/>
                <w:szCs w:val="21"/>
              </w:rPr>
              <w:t>1</w:t>
            </w:r>
          </w:p>
        </w:tc>
        <w:tc>
          <w:tcPr>
            <w:tcW w:w="992" w:type="dxa"/>
            <w:vAlign w:val="center"/>
          </w:tcPr>
          <w:p>
            <w:pPr>
              <w:spacing w:line="240" w:lineRule="auto"/>
              <w:ind w:firstLine="0" w:firstLineChars="0"/>
              <w:jc w:val="center"/>
              <w:rPr>
                <w:sz w:val="21"/>
                <w:szCs w:val="21"/>
              </w:rPr>
            </w:pPr>
            <w:r>
              <w:rPr>
                <w:rFonts w:hint="eastAsia"/>
                <w:sz w:val="21"/>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Merge w:val="continue"/>
            <w:vAlign w:val="center"/>
          </w:tcPr>
          <w:p>
            <w:pPr>
              <w:spacing w:line="240" w:lineRule="auto"/>
              <w:ind w:firstLine="0" w:firstLineChars="0"/>
              <w:jc w:val="center"/>
              <w:rPr>
                <w:sz w:val="21"/>
                <w:szCs w:val="21"/>
              </w:rPr>
            </w:pPr>
          </w:p>
        </w:tc>
        <w:tc>
          <w:tcPr>
            <w:tcW w:w="1862" w:type="dxa"/>
            <w:vAlign w:val="center"/>
          </w:tcPr>
          <w:p>
            <w:pPr>
              <w:spacing w:line="240" w:lineRule="auto"/>
              <w:ind w:firstLine="0" w:firstLineChars="0"/>
              <w:jc w:val="center"/>
              <w:rPr>
                <w:sz w:val="21"/>
                <w:szCs w:val="21"/>
              </w:rPr>
            </w:pPr>
            <w:r>
              <w:rPr>
                <w:rFonts w:hint="eastAsia"/>
                <w:sz w:val="21"/>
                <w:szCs w:val="21"/>
              </w:rPr>
              <w:t>颗粒物</w:t>
            </w:r>
            <w:r>
              <w:rPr>
                <w:sz w:val="21"/>
                <w:szCs w:val="21"/>
              </w:rPr>
              <w:t>、SO</w:t>
            </w:r>
            <w:r>
              <w:rPr>
                <w:sz w:val="21"/>
                <w:szCs w:val="21"/>
                <w:vertAlign w:val="subscript"/>
              </w:rPr>
              <w:t>2</w:t>
            </w:r>
          </w:p>
        </w:tc>
        <w:tc>
          <w:tcPr>
            <w:tcW w:w="1956" w:type="dxa"/>
          </w:tcPr>
          <w:p>
            <w:pPr>
              <w:pStyle w:val="97"/>
            </w:pPr>
            <w:r>
              <w:t>排气筒出口</w:t>
            </w:r>
          </w:p>
        </w:tc>
        <w:tc>
          <w:tcPr>
            <w:tcW w:w="1124" w:type="dxa"/>
            <w:vMerge w:val="continue"/>
            <w:vAlign w:val="center"/>
          </w:tcPr>
          <w:p>
            <w:pPr>
              <w:spacing w:line="240" w:lineRule="auto"/>
              <w:ind w:firstLine="0" w:firstLineChars="0"/>
              <w:jc w:val="center"/>
              <w:rPr>
                <w:sz w:val="21"/>
                <w:szCs w:val="21"/>
              </w:rPr>
            </w:pPr>
          </w:p>
        </w:tc>
        <w:tc>
          <w:tcPr>
            <w:tcW w:w="992" w:type="dxa"/>
            <w:vAlign w:val="center"/>
          </w:tcPr>
          <w:p>
            <w:pPr>
              <w:spacing w:line="240" w:lineRule="auto"/>
              <w:ind w:firstLine="0" w:firstLineChars="0"/>
              <w:jc w:val="center"/>
              <w:rPr>
                <w:sz w:val="21"/>
                <w:szCs w:val="21"/>
              </w:rPr>
            </w:pPr>
            <w:r>
              <w:rPr>
                <w:rFonts w:hint="eastAsia"/>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restart"/>
            <w:vAlign w:val="center"/>
          </w:tcPr>
          <w:p>
            <w:pPr>
              <w:spacing w:line="240" w:lineRule="auto"/>
              <w:ind w:firstLine="0" w:firstLineChars="0"/>
              <w:jc w:val="center"/>
              <w:rPr>
                <w:sz w:val="21"/>
                <w:szCs w:val="21"/>
              </w:rPr>
            </w:pPr>
            <w:r>
              <w:rPr>
                <w:rFonts w:hint="eastAsia"/>
                <w:sz w:val="21"/>
                <w:szCs w:val="21"/>
              </w:rPr>
              <w:t>无组织</w:t>
            </w:r>
            <w:r>
              <w:rPr>
                <w:sz w:val="21"/>
                <w:szCs w:val="21"/>
              </w:rPr>
              <w:t>废气</w:t>
            </w:r>
          </w:p>
        </w:tc>
        <w:tc>
          <w:tcPr>
            <w:tcW w:w="2126" w:type="dxa"/>
            <w:vMerge w:val="restart"/>
            <w:vAlign w:val="center"/>
          </w:tcPr>
          <w:p>
            <w:pPr>
              <w:spacing w:line="240" w:lineRule="auto"/>
              <w:ind w:firstLine="0" w:firstLineChars="0"/>
              <w:jc w:val="center"/>
              <w:rPr>
                <w:sz w:val="21"/>
                <w:szCs w:val="21"/>
              </w:rPr>
            </w:pPr>
            <w:r>
              <w:rPr>
                <w:rFonts w:hint="eastAsia"/>
                <w:sz w:val="21"/>
                <w:szCs w:val="21"/>
              </w:rPr>
              <w:t>厂界</w:t>
            </w:r>
            <w:r>
              <w:rPr>
                <w:sz w:val="21"/>
                <w:szCs w:val="21"/>
              </w:rPr>
              <w:t>外无组织排放监控点</w:t>
            </w:r>
          </w:p>
        </w:tc>
        <w:tc>
          <w:tcPr>
            <w:tcW w:w="1862" w:type="dxa"/>
            <w:vAlign w:val="center"/>
          </w:tcPr>
          <w:p>
            <w:pPr>
              <w:spacing w:line="240" w:lineRule="auto"/>
              <w:ind w:firstLine="0" w:firstLineChars="0"/>
              <w:jc w:val="center"/>
              <w:rPr>
                <w:sz w:val="21"/>
                <w:szCs w:val="21"/>
              </w:rPr>
            </w:pPr>
            <w:r>
              <w:rPr>
                <w:rFonts w:hint="eastAsia"/>
                <w:sz w:val="21"/>
                <w:szCs w:val="21"/>
              </w:rPr>
              <w:t>非甲烷</w:t>
            </w:r>
            <w:r>
              <w:rPr>
                <w:sz w:val="21"/>
                <w:szCs w:val="21"/>
              </w:rPr>
              <w:t>总烃</w:t>
            </w:r>
          </w:p>
        </w:tc>
        <w:tc>
          <w:tcPr>
            <w:tcW w:w="1956"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每个厂区</w:t>
            </w:r>
            <w:r>
              <w:rPr>
                <w:kern w:val="0"/>
                <w:sz w:val="21"/>
                <w:szCs w:val="20"/>
              </w:rPr>
              <w:t>上风向</w:t>
            </w:r>
            <w:r>
              <w:rPr>
                <w:rFonts w:hint="eastAsia"/>
                <w:kern w:val="0"/>
                <w:sz w:val="21"/>
                <w:szCs w:val="20"/>
              </w:rPr>
              <w:t>1个点、下风向3个</w:t>
            </w:r>
            <w:r>
              <w:rPr>
                <w:kern w:val="0"/>
                <w:sz w:val="21"/>
                <w:szCs w:val="20"/>
              </w:rPr>
              <w:t>点</w:t>
            </w:r>
          </w:p>
        </w:tc>
        <w:tc>
          <w:tcPr>
            <w:tcW w:w="1124" w:type="dxa"/>
            <w:vAlign w:val="center"/>
          </w:tcPr>
          <w:p>
            <w:pPr>
              <w:spacing w:line="240" w:lineRule="auto"/>
              <w:ind w:firstLine="0" w:firstLineChars="0"/>
              <w:jc w:val="center"/>
              <w:rPr>
                <w:sz w:val="21"/>
                <w:szCs w:val="21"/>
              </w:rPr>
            </w:pPr>
            <w:r>
              <w:rPr>
                <w:rFonts w:hint="eastAsia"/>
                <w:sz w:val="21"/>
                <w:szCs w:val="21"/>
              </w:rPr>
              <w:t>4</w:t>
            </w:r>
          </w:p>
        </w:tc>
        <w:tc>
          <w:tcPr>
            <w:tcW w:w="992" w:type="dxa"/>
            <w:vAlign w:val="center"/>
          </w:tcPr>
          <w:p>
            <w:pPr>
              <w:pStyle w:val="92"/>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Merge w:val="continue"/>
            <w:vAlign w:val="center"/>
          </w:tcPr>
          <w:p>
            <w:pPr>
              <w:spacing w:line="240" w:lineRule="auto"/>
              <w:ind w:firstLine="0" w:firstLineChars="0"/>
              <w:jc w:val="center"/>
              <w:rPr>
                <w:sz w:val="21"/>
                <w:szCs w:val="21"/>
              </w:rPr>
            </w:pPr>
          </w:p>
        </w:tc>
        <w:tc>
          <w:tcPr>
            <w:tcW w:w="1862" w:type="dxa"/>
            <w:vAlign w:val="center"/>
          </w:tcPr>
          <w:p>
            <w:pPr>
              <w:spacing w:line="240" w:lineRule="auto"/>
              <w:ind w:firstLine="0" w:firstLineChars="0"/>
              <w:jc w:val="center"/>
              <w:rPr>
                <w:sz w:val="21"/>
                <w:szCs w:val="21"/>
              </w:rPr>
            </w:pPr>
            <w:r>
              <w:rPr>
                <w:rFonts w:hint="eastAsia"/>
                <w:sz w:val="21"/>
                <w:szCs w:val="21"/>
              </w:rPr>
              <w:t>甲醇</w:t>
            </w:r>
          </w:p>
        </w:tc>
        <w:tc>
          <w:tcPr>
            <w:tcW w:w="1956"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24" w:type="dxa"/>
            <w:vAlign w:val="center"/>
          </w:tcPr>
          <w:p>
            <w:pPr>
              <w:spacing w:line="240" w:lineRule="auto"/>
              <w:ind w:firstLine="0" w:firstLineChars="0"/>
              <w:jc w:val="center"/>
              <w:rPr>
                <w:sz w:val="21"/>
                <w:szCs w:val="21"/>
              </w:rPr>
            </w:pPr>
            <w:r>
              <w:rPr>
                <w:rFonts w:hint="eastAsia"/>
                <w:sz w:val="21"/>
                <w:szCs w:val="21"/>
              </w:rPr>
              <w:t>4</w:t>
            </w:r>
          </w:p>
        </w:tc>
        <w:tc>
          <w:tcPr>
            <w:tcW w:w="992" w:type="dxa"/>
            <w:vAlign w:val="center"/>
          </w:tcPr>
          <w:p>
            <w:pPr>
              <w:pStyle w:val="92"/>
            </w:pPr>
            <w:r>
              <w:rPr>
                <w:rFonts w:hint="eastAsia"/>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29" w:type="dxa"/>
            <w:vMerge w:val="continue"/>
            <w:vAlign w:val="center"/>
          </w:tcPr>
          <w:p>
            <w:pPr>
              <w:spacing w:line="240" w:lineRule="auto"/>
              <w:ind w:firstLine="0" w:firstLineChars="0"/>
              <w:jc w:val="center"/>
              <w:rPr>
                <w:sz w:val="21"/>
                <w:szCs w:val="21"/>
              </w:rPr>
            </w:pPr>
          </w:p>
        </w:tc>
        <w:tc>
          <w:tcPr>
            <w:tcW w:w="2126" w:type="dxa"/>
            <w:vAlign w:val="center"/>
          </w:tcPr>
          <w:p>
            <w:pPr>
              <w:spacing w:line="240" w:lineRule="auto"/>
              <w:ind w:firstLine="0" w:firstLineChars="0"/>
              <w:jc w:val="center"/>
              <w:rPr>
                <w:sz w:val="21"/>
                <w:szCs w:val="21"/>
              </w:rPr>
            </w:pPr>
            <w:r>
              <w:rPr>
                <w:rFonts w:hint="eastAsia"/>
                <w:sz w:val="21"/>
                <w:szCs w:val="21"/>
              </w:rPr>
              <w:t>厂界内</w:t>
            </w:r>
            <w:r>
              <w:rPr>
                <w:sz w:val="21"/>
                <w:szCs w:val="21"/>
              </w:rPr>
              <w:t>浓度最高点</w:t>
            </w:r>
          </w:p>
        </w:tc>
        <w:tc>
          <w:tcPr>
            <w:tcW w:w="1862" w:type="dxa"/>
            <w:vAlign w:val="center"/>
          </w:tcPr>
          <w:p>
            <w:pPr>
              <w:pStyle w:val="97"/>
            </w:pPr>
            <w:r>
              <w:rPr>
                <w:rFonts w:hint="eastAsia"/>
              </w:rPr>
              <w:t>非甲烷</w:t>
            </w:r>
            <w:r>
              <w:t>总烃</w:t>
            </w:r>
          </w:p>
        </w:tc>
        <w:tc>
          <w:tcPr>
            <w:tcW w:w="1956" w:type="dxa"/>
            <w:vAlign w:val="center"/>
          </w:tcPr>
          <w:p>
            <w:pPr>
              <w:pStyle w:val="97"/>
            </w:pPr>
            <w:r>
              <w:rPr>
                <w:rFonts w:hint="eastAsia"/>
              </w:rPr>
              <w:t>北厂房</w:t>
            </w:r>
            <w:r>
              <w:t>外</w:t>
            </w:r>
          </w:p>
        </w:tc>
        <w:tc>
          <w:tcPr>
            <w:tcW w:w="1124" w:type="dxa"/>
            <w:vAlign w:val="center"/>
          </w:tcPr>
          <w:p>
            <w:pPr>
              <w:pStyle w:val="97"/>
            </w:pPr>
            <w:r>
              <w:t>1</w:t>
            </w:r>
          </w:p>
        </w:tc>
        <w:tc>
          <w:tcPr>
            <w:tcW w:w="992" w:type="dxa"/>
            <w:vAlign w:val="center"/>
          </w:tcPr>
          <w:p>
            <w:pPr>
              <w:pStyle w:val="97"/>
            </w:pPr>
            <w:r>
              <w:rPr>
                <w:rFonts w:hint="eastAsia"/>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5" w:type="dxa"/>
            <w:gridSpan w:val="2"/>
            <w:tcBorders>
              <w:bottom w:val="single" w:color="auto" w:sz="4" w:space="0"/>
            </w:tcBorders>
            <w:vAlign w:val="center"/>
          </w:tcPr>
          <w:p>
            <w:pPr>
              <w:spacing w:line="240" w:lineRule="auto"/>
              <w:ind w:firstLine="0" w:firstLineChars="0"/>
              <w:jc w:val="center"/>
              <w:rPr>
                <w:sz w:val="21"/>
                <w:szCs w:val="21"/>
              </w:rPr>
            </w:pPr>
            <w:r>
              <w:rPr>
                <w:sz w:val="21"/>
                <w:szCs w:val="21"/>
              </w:rPr>
              <w:t>厂界噪声</w:t>
            </w:r>
          </w:p>
        </w:tc>
        <w:tc>
          <w:tcPr>
            <w:tcW w:w="1862" w:type="dxa"/>
            <w:vAlign w:val="center"/>
          </w:tcPr>
          <w:p>
            <w:pPr>
              <w:spacing w:line="240" w:lineRule="auto"/>
              <w:ind w:firstLine="0" w:firstLineChars="0"/>
              <w:jc w:val="center"/>
              <w:rPr>
                <w:sz w:val="21"/>
                <w:szCs w:val="21"/>
              </w:rPr>
            </w:pPr>
            <w:r>
              <w:rPr>
                <w:sz w:val="21"/>
                <w:szCs w:val="21"/>
              </w:rPr>
              <w:t>Leq(A)</w:t>
            </w:r>
          </w:p>
        </w:tc>
        <w:tc>
          <w:tcPr>
            <w:tcW w:w="1956" w:type="dxa"/>
            <w:vAlign w:val="center"/>
          </w:tcPr>
          <w:p>
            <w:pPr>
              <w:spacing w:line="240" w:lineRule="auto"/>
              <w:ind w:firstLine="0" w:firstLineChars="0"/>
              <w:jc w:val="center"/>
              <w:rPr>
                <w:sz w:val="21"/>
                <w:szCs w:val="21"/>
              </w:rPr>
            </w:pPr>
            <w:r>
              <w:rPr>
                <w:sz w:val="21"/>
                <w:szCs w:val="21"/>
              </w:rPr>
              <w:t>厂界外1米</w:t>
            </w:r>
          </w:p>
        </w:tc>
        <w:tc>
          <w:tcPr>
            <w:tcW w:w="1124" w:type="dxa"/>
            <w:vAlign w:val="center"/>
          </w:tcPr>
          <w:p>
            <w:pPr>
              <w:spacing w:line="240" w:lineRule="auto"/>
              <w:ind w:firstLine="0" w:firstLineChars="0"/>
              <w:jc w:val="center"/>
              <w:rPr>
                <w:sz w:val="21"/>
                <w:szCs w:val="21"/>
              </w:rPr>
            </w:pPr>
            <w:r>
              <w:rPr>
                <w:sz w:val="21"/>
                <w:szCs w:val="21"/>
              </w:rPr>
              <w:t>4</w:t>
            </w:r>
          </w:p>
        </w:tc>
        <w:tc>
          <w:tcPr>
            <w:tcW w:w="992" w:type="dxa"/>
            <w:vAlign w:val="center"/>
          </w:tcPr>
          <w:p>
            <w:pPr>
              <w:spacing w:line="240" w:lineRule="auto"/>
              <w:ind w:firstLine="0" w:firstLineChars="0"/>
              <w:jc w:val="center"/>
              <w:rPr>
                <w:sz w:val="21"/>
                <w:szCs w:val="21"/>
              </w:rPr>
            </w:pPr>
            <w:r>
              <w:rPr>
                <w:rFonts w:hint="eastAsia"/>
                <w:sz w:val="21"/>
                <w:szCs w:val="21"/>
              </w:rPr>
              <w:t>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5" w:type="dxa"/>
            <w:gridSpan w:val="2"/>
            <w:tcBorders>
              <w:bottom w:val="single" w:color="auto" w:sz="4" w:space="0"/>
            </w:tcBorders>
            <w:vAlign w:val="center"/>
          </w:tcPr>
          <w:p>
            <w:pPr>
              <w:spacing w:line="240" w:lineRule="auto"/>
              <w:ind w:firstLine="0" w:firstLineChars="0"/>
              <w:jc w:val="center"/>
              <w:rPr>
                <w:sz w:val="21"/>
                <w:szCs w:val="21"/>
              </w:rPr>
            </w:pPr>
            <w:r>
              <w:rPr>
                <w:rFonts w:hint="eastAsia"/>
                <w:sz w:val="21"/>
                <w:szCs w:val="21"/>
              </w:rPr>
              <w:t>厂区</w:t>
            </w:r>
            <w:r>
              <w:rPr>
                <w:sz w:val="21"/>
                <w:szCs w:val="21"/>
              </w:rPr>
              <w:t>废水总排口</w:t>
            </w:r>
          </w:p>
        </w:tc>
        <w:tc>
          <w:tcPr>
            <w:tcW w:w="1862" w:type="dxa"/>
            <w:vAlign w:val="center"/>
          </w:tcPr>
          <w:p>
            <w:pPr>
              <w:spacing w:line="240" w:lineRule="auto"/>
              <w:ind w:firstLine="0" w:firstLineChars="0"/>
              <w:jc w:val="center"/>
              <w:rPr>
                <w:sz w:val="21"/>
                <w:szCs w:val="21"/>
              </w:rPr>
            </w:pPr>
            <w:r>
              <w:rPr>
                <w:rFonts w:hint="eastAsia"/>
                <w:sz w:val="21"/>
                <w:szCs w:val="21"/>
              </w:rPr>
              <w:t>pH</w:t>
            </w:r>
            <w:r>
              <w:rPr>
                <w:sz w:val="21"/>
                <w:szCs w:val="21"/>
              </w:rPr>
              <w:t>、COD、BOD</w:t>
            </w:r>
            <w:r>
              <w:rPr>
                <w:sz w:val="21"/>
                <w:szCs w:val="21"/>
                <w:vertAlign w:val="subscript"/>
              </w:rPr>
              <w:t>5</w:t>
            </w:r>
          </w:p>
          <w:p>
            <w:pPr>
              <w:spacing w:line="240" w:lineRule="auto"/>
              <w:ind w:firstLine="0" w:firstLineChars="0"/>
              <w:jc w:val="center"/>
              <w:rPr>
                <w:sz w:val="21"/>
                <w:szCs w:val="21"/>
              </w:rPr>
            </w:pPr>
            <w:r>
              <w:rPr>
                <w:rFonts w:hint="eastAsia"/>
                <w:sz w:val="21"/>
                <w:szCs w:val="21"/>
              </w:rPr>
              <w:t>、</w:t>
            </w:r>
            <w:r>
              <w:rPr>
                <w:sz w:val="21"/>
                <w:szCs w:val="21"/>
              </w:rPr>
              <w:t>SS、NH</w:t>
            </w:r>
            <w:r>
              <w:rPr>
                <w:sz w:val="21"/>
                <w:szCs w:val="21"/>
                <w:vertAlign w:val="subscript"/>
              </w:rPr>
              <w:t>3</w:t>
            </w:r>
            <w:r>
              <w:rPr>
                <w:sz w:val="21"/>
                <w:szCs w:val="21"/>
              </w:rPr>
              <w:t>-N</w:t>
            </w:r>
          </w:p>
        </w:tc>
        <w:tc>
          <w:tcPr>
            <w:tcW w:w="1956" w:type="dxa"/>
            <w:vAlign w:val="center"/>
          </w:tcPr>
          <w:p>
            <w:pPr>
              <w:spacing w:line="240" w:lineRule="auto"/>
              <w:ind w:firstLine="0" w:firstLineChars="0"/>
              <w:jc w:val="center"/>
              <w:rPr>
                <w:sz w:val="21"/>
                <w:szCs w:val="21"/>
              </w:rPr>
            </w:pPr>
            <w:r>
              <w:rPr>
                <w:rFonts w:hint="eastAsia"/>
                <w:sz w:val="21"/>
                <w:szCs w:val="21"/>
              </w:rPr>
              <w:t>厂区</w:t>
            </w:r>
            <w:r>
              <w:rPr>
                <w:sz w:val="21"/>
                <w:szCs w:val="21"/>
              </w:rPr>
              <w:t>废水总排口</w:t>
            </w:r>
          </w:p>
        </w:tc>
        <w:tc>
          <w:tcPr>
            <w:tcW w:w="1124" w:type="dxa"/>
            <w:vAlign w:val="center"/>
          </w:tcPr>
          <w:p>
            <w:pPr>
              <w:spacing w:line="240" w:lineRule="auto"/>
              <w:ind w:firstLine="0" w:firstLineChars="0"/>
              <w:jc w:val="center"/>
              <w:rPr>
                <w:sz w:val="21"/>
                <w:szCs w:val="21"/>
              </w:rPr>
            </w:pPr>
            <w:r>
              <w:rPr>
                <w:rFonts w:hint="eastAsia"/>
                <w:sz w:val="21"/>
                <w:szCs w:val="21"/>
              </w:rPr>
              <w:t>1</w:t>
            </w:r>
          </w:p>
        </w:tc>
        <w:tc>
          <w:tcPr>
            <w:tcW w:w="992" w:type="dxa"/>
            <w:vAlign w:val="center"/>
          </w:tcPr>
          <w:p>
            <w:pPr>
              <w:spacing w:line="240" w:lineRule="auto"/>
              <w:ind w:firstLine="0" w:firstLineChars="0"/>
              <w:jc w:val="center"/>
              <w:rPr>
                <w:sz w:val="21"/>
                <w:szCs w:val="21"/>
              </w:rPr>
            </w:pPr>
            <w:r>
              <w:rPr>
                <w:rFonts w:hint="eastAsia"/>
                <w:sz w:val="21"/>
                <w:szCs w:val="21"/>
              </w:rPr>
              <w:t>半年</w:t>
            </w:r>
          </w:p>
        </w:tc>
      </w:tr>
    </w:tbl>
    <w:p>
      <w:pPr>
        <w:pStyle w:val="3"/>
      </w:pPr>
      <w:bookmarkStart w:id="259" w:name="_Toc82502981"/>
      <w:r>
        <w:rPr>
          <w:rFonts w:hint="eastAsia"/>
        </w:rPr>
        <w:t>竣工</w:t>
      </w:r>
      <w:r>
        <w:t>环保验收</w:t>
      </w:r>
      <w:r>
        <w:rPr>
          <w:rFonts w:hint="eastAsia"/>
        </w:rPr>
        <w:t>清单</w:t>
      </w:r>
      <w:bookmarkEnd w:id="259"/>
    </w:p>
    <w:p>
      <w:pPr>
        <w:pStyle w:val="87"/>
        <w:ind w:firstLine="480"/>
        <w:rPr>
          <w:rFonts w:cs="Times New Roman"/>
        </w:rPr>
      </w:pPr>
      <w:r>
        <w:rPr>
          <w:rFonts w:cs="Times New Roman"/>
        </w:rPr>
        <w:t>验收范围：环评报告书、批复文件和有关设计文件规定应采取的各项环保治理设施与措施。</w:t>
      </w:r>
    </w:p>
    <w:p>
      <w:pPr>
        <w:pStyle w:val="87"/>
        <w:ind w:firstLine="480"/>
        <w:rPr>
          <w:rFonts w:cs="Times New Roman"/>
        </w:rPr>
      </w:pPr>
      <w:r>
        <w:rPr>
          <w:rFonts w:cs="Times New Roman"/>
        </w:rPr>
        <w:t>本项目环保设施竣工验收一览表见</w:t>
      </w:r>
      <w:r>
        <w:rPr>
          <w:rFonts w:hint="eastAsia" w:cs="Times New Roman"/>
        </w:rPr>
        <w:t>表10.5-1。</w:t>
      </w:r>
    </w:p>
    <w:p>
      <w:pPr>
        <w:ind w:firstLine="480"/>
        <w:rPr>
          <w:highlight w:val="yellow"/>
        </w:rPr>
        <w:sectPr>
          <w:headerReference r:id="rId64" w:type="default"/>
          <w:headerReference r:id="rId65" w:type="even"/>
          <w:pgSz w:w="11906" w:h="16838"/>
          <w:pgMar w:top="1440" w:right="1418" w:bottom="1440" w:left="1418" w:header="992" w:footer="992" w:gutter="0"/>
          <w:pgNumType w:fmt="numberInDash"/>
          <w:cols w:space="425" w:num="1"/>
          <w:docGrid w:type="lines" w:linePitch="326" w:charSpace="0"/>
        </w:sectPr>
      </w:pPr>
    </w:p>
    <w:p>
      <w:pPr>
        <w:spacing w:line="240" w:lineRule="auto"/>
        <w:ind w:firstLine="0" w:firstLineChars="0"/>
        <w:jc w:val="center"/>
        <w:rPr>
          <w:b/>
          <w:sz w:val="21"/>
          <w:szCs w:val="24"/>
        </w:rPr>
      </w:pPr>
      <w:r>
        <w:rPr>
          <w:b/>
          <w:sz w:val="21"/>
          <w:szCs w:val="24"/>
        </w:rPr>
        <w:t>表</w:t>
      </w:r>
      <w:r>
        <w:rPr>
          <w:b/>
          <w:sz w:val="21"/>
          <w:szCs w:val="24"/>
        </w:rPr>
        <w:fldChar w:fldCharType="begin"/>
      </w:r>
      <w:r>
        <w:rPr>
          <w:b/>
          <w:sz w:val="21"/>
          <w:szCs w:val="24"/>
        </w:rPr>
        <w:instrText xml:space="preserve"> STYLEREF 2 \s </w:instrText>
      </w:r>
      <w:r>
        <w:rPr>
          <w:b/>
          <w:sz w:val="21"/>
          <w:szCs w:val="24"/>
        </w:rPr>
        <w:fldChar w:fldCharType="separate"/>
      </w:r>
      <w:r>
        <w:rPr>
          <w:b/>
          <w:sz w:val="21"/>
          <w:szCs w:val="24"/>
        </w:rPr>
        <w:t>9.4</w:t>
      </w:r>
      <w:r>
        <w:rPr>
          <w:b/>
          <w:sz w:val="21"/>
          <w:szCs w:val="24"/>
        </w:rPr>
        <w:fldChar w:fldCharType="end"/>
      </w:r>
      <w:r>
        <w:rPr>
          <w:b/>
          <w:sz w:val="21"/>
          <w:szCs w:val="24"/>
        </w:rPr>
        <w:noBreakHyphen/>
      </w:r>
      <w:r>
        <w:rPr>
          <w:b/>
          <w:sz w:val="21"/>
          <w:szCs w:val="24"/>
        </w:rPr>
        <w:fldChar w:fldCharType="begin"/>
      </w:r>
      <w:r>
        <w:rPr>
          <w:b/>
          <w:sz w:val="21"/>
          <w:szCs w:val="24"/>
        </w:rPr>
        <w:instrText xml:space="preserve"> SEQ 表 \* ARABIC \s 2 </w:instrText>
      </w:r>
      <w:r>
        <w:rPr>
          <w:b/>
          <w:sz w:val="21"/>
          <w:szCs w:val="24"/>
        </w:rPr>
        <w:fldChar w:fldCharType="separate"/>
      </w:r>
      <w:r>
        <w:rPr>
          <w:b/>
          <w:sz w:val="21"/>
          <w:szCs w:val="24"/>
        </w:rPr>
        <w:t>1</w:t>
      </w:r>
      <w:r>
        <w:rPr>
          <w:b/>
          <w:sz w:val="21"/>
          <w:szCs w:val="24"/>
        </w:rPr>
        <w:fldChar w:fldCharType="end"/>
      </w:r>
      <w:r>
        <w:rPr>
          <w:b/>
          <w:sz w:val="21"/>
          <w:szCs w:val="24"/>
        </w:rPr>
        <w:t xml:space="preserve">  项目环保验收建议一览表</w:t>
      </w:r>
    </w:p>
    <w:tbl>
      <w:tblPr>
        <w:tblStyle w:val="35"/>
        <w:tblW w:w="139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04"/>
        <w:gridCol w:w="1090"/>
        <w:gridCol w:w="1126"/>
        <w:gridCol w:w="3127"/>
        <w:gridCol w:w="1140"/>
        <w:gridCol w:w="1570"/>
        <w:gridCol w:w="858"/>
        <w:gridCol w:w="4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blHeader/>
        </w:trPr>
        <w:tc>
          <w:tcPr>
            <w:tcW w:w="604"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类别</w:t>
            </w:r>
          </w:p>
        </w:tc>
        <w:tc>
          <w:tcPr>
            <w:tcW w:w="2216" w:type="dxa"/>
            <w:gridSpan w:val="2"/>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污染源</w:t>
            </w:r>
          </w:p>
        </w:tc>
        <w:tc>
          <w:tcPr>
            <w:tcW w:w="312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环保设施名称</w:t>
            </w:r>
          </w:p>
        </w:tc>
        <w:tc>
          <w:tcPr>
            <w:tcW w:w="114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位置</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要求</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数量</w:t>
            </w:r>
          </w:p>
        </w:tc>
        <w:tc>
          <w:tcPr>
            <w:tcW w:w="4457"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废气</w:t>
            </w:r>
          </w:p>
        </w:tc>
        <w:tc>
          <w:tcPr>
            <w:tcW w:w="1090" w:type="dxa"/>
            <w:vAlign w:val="center"/>
          </w:tcPr>
          <w:p>
            <w:pPr>
              <w:pStyle w:val="92"/>
            </w:pPr>
            <w:r>
              <w:rPr>
                <w:rFonts w:hint="eastAsia"/>
              </w:rPr>
              <w:t>初清</w:t>
            </w:r>
          </w:p>
        </w:tc>
        <w:tc>
          <w:tcPr>
            <w:tcW w:w="1126" w:type="dxa"/>
            <w:vAlign w:val="center"/>
          </w:tcPr>
          <w:p>
            <w:pPr>
              <w:pStyle w:val="92"/>
              <w:rPr>
                <w:rFonts w:hAnsi="Times New Roman"/>
              </w:rPr>
            </w:pPr>
            <w:r>
              <w:rPr>
                <w:rFonts w:hint="eastAsia" w:hAnsi="Times New Roman"/>
              </w:rPr>
              <w:t>粉尘</w:t>
            </w:r>
          </w:p>
        </w:tc>
        <w:tc>
          <w:tcPr>
            <w:tcW w:w="3127" w:type="dxa"/>
            <w:vAlign w:val="center"/>
          </w:tcPr>
          <w:p>
            <w:pPr>
              <w:pStyle w:val="92"/>
            </w:pPr>
            <w:r>
              <w:rPr>
                <w:rFonts w:hint="eastAsia"/>
              </w:rPr>
              <w:t>旋风</w:t>
            </w:r>
            <w:r>
              <w:t>收尘</w:t>
            </w:r>
            <w:r>
              <w:rPr>
                <w:rFonts w:hint="eastAsia"/>
              </w:rPr>
              <w:t>+布袋</w:t>
            </w:r>
            <w:r>
              <w:t>除尘</w:t>
            </w:r>
            <w:r>
              <w:rPr>
                <w:rFonts w:hint="eastAsia"/>
              </w:rPr>
              <w:t>+15</w:t>
            </w:r>
            <w:r>
              <w:t>m排气筒</w:t>
            </w:r>
          </w:p>
        </w:tc>
        <w:tc>
          <w:tcPr>
            <w:tcW w:w="114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南</w:t>
            </w:r>
            <w:r>
              <w:rPr>
                <w:kern w:val="0"/>
                <w:sz w:val="21"/>
                <w:szCs w:val="20"/>
              </w:rPr>
              <w:t>车间</w:t>
            </w:r>
          </w:p>
        </w:tc>
        <w:tc>
          <w:tcPr>
            <w:tcW w:w="1570" w:type="dxa"/>
            <w:vAlign w:val="center"/>
          </w:tcPr>
          <w:p>
            <w:pPr>
              <w:pStyle w:val="97"/>
            </w:pPr>
            <w:r>
              <w:rPr>
                <w:rFonts w:hint="eastAsia"/>
              </w:rPr>
              <w:t>99</w:t>
            </w:r>
            <w: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1套</w:t>
            </w:r>
          </w:p>
        </w:tc>
        <w:tc>
          <w:tcPr>
            <w:tcW w:w="4457" w:type="dxa"/>
            <w:vMerge w:val="restart"/>
            <w:vAlign w:val="center"/>
          </w:tcPr>
          <w:p>
            <w:pPr>
              <w:pStyle w:val="97"/>
              <w:rPr>
                <w:rFonts w:ascii="宋体" w:hAnsi="Calibri" w:cs="宋体"/>
                <w:szCs w:val="21"/>
              </w:rPr>
            </w:pPr>
            <w:r>
              <w:rPr>
                <w:rFonts w:hint="eastAsia"/>
              </w:rPr>
              <w:t>《大气污染物综合排放标准》（GB16297-1996）二级标准要求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Align w:val="center"/>
          </w:tcPr>
          <w:p>
            <w:pPr>
              <w:pStyle w:val="92"/>
            </w:pPr>
            <w:r>
              <w:rPr>
                <w:rFonts w:hint="eastAsia"/>
              </w:rPr>
              <w:t>组分</w:t>
            </w:r>
          </w:p>
        </w:tc>
        <w:tc>
          <w:tcPr>
            <w:tcW w:w="1126" w:type="dxa"/>
            <w:vAlign w:val="center"/>
          </w:tcPr>
          <w:p>
            <w:pPr>
              <w:pStyle w:val="92"/>
              <w:rPr>
                <w:rFonts w:hAnsi="Times New Roman"/>
              </w:rPr>
            </w:pPr>
            <w:r>
              <w:rPr>
                <w:rFonts w:hint="eastAsia" w:hAnsi="Times New Roman"/>
              </w:rPr>
              <w:t>粉尘</w:t>
            </w:r>
          </w:p>
        </w:tc>
        <w:tc>
          <w:tcPr>
            <w:tcW w:w="3127" w:type="dxa"/>
            <w:vAlign w:val="center"/>
          </w:tcPr>
          <w:p>
            <w:pPr>
              <w:pStyle w:val="92"/>
            </w:pPr>
            <w:r>
              <w:rPr>
                <w:rFonts w:hint="eastAsia"/>
              </w:rPr>
              <w:t>旋风</w:t>
            </w:r>
            <w:r>
              <w:t>收尘</w:t>
            </w:r>
            <w:r>
              <w:rPr>
                <w:rFonts w:hint="eastAsia"/>
              </w:rPr>
              <w:t>+布袋</w:t>
            </w:r>
            <w:r>
              <w:t>除尘</w:t>
            </w:r>
            <w:r>
              <w:rPr>
                <w:rFonts w:hint="eastAsia"/>
              </w:rPr>
              <w:t>+15</w:t>
            </w:r>
            <w:r>
              <w:t>m排气筒</w:t>
            </w:r>
          </w:p>
        </w:tc>
        <w:tc>
          <w:tcPr>
            <w:tcW w:w="114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570" w:type="dxa"/>
            <w:vAlign w:val="center"/>
          </w:tcPr>
          <w:p>
            <w:pPr>
              <w:pStyle w:val="97"/>
            </w:pPr>
            <w:r>
              <w:rPr>
                <w:rFonts w:hint="eastAsia"/>
              </w:rPr>
              <w:t>99</w:t>
            </w:r>
            <w: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1套</w:t>
            </w:r>
          </w:p>
        </w:tc>
        <w:tc>
          <w:tcPr>
            <w:tcW w:w="445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Align w:val="center"/>
          </w:tcPr>
          <w:p>
            <w:pPr>
              <w:pStyle w:val="92"/>
            </w:pPr>
            <w:r>
              <w:rPr>
                <w:rFonts w:hint="eastAsia"/>
              </w:rPr>
              <w:t>微粉</w:t>
            </w:r>
          </w:p>
        </w:tc>
        <w:tc>
          <w:tcPr>
            <w:tcW w:w="1126" w:type="dxa"/>
            <w:vAlign w:val="center"/>
          </w:tcPr>
          <w:p>
            <w:pPr>
              <w:pStyle w:val="92"/>
              <w:rPr>
                <w:rFonts w:hAnsi="Times New Roman"/>
              </w:rPr>
            </w:pPr>
            <w:r>
              <w:rPr>
                <w:rFonts w:hint="eastAsia" w:hAnsi="Times New Roman"/>
              </w:rPr>
              <w:t>粉尘</w:t>
            </w:r>
          </w:p>
        </w:tc>
        <w:tc>
          <w:tcPr>
            <w:tcW w:w="3127" w:type="dxa"/>
            <w:vAlign w:val="center"/>
          </w:tcPr>
          <w:p>
            <w:pPr>
              <w:pStyle w:val="92"/>
            </w:pPr>
            <w:r>
              <w:rPr>
                <w:rFonts w:hint="eastAsia"/>
              </w:rPr>
              <w:t>旋风</w:t>
            </w:r>
            <w:r>
              <w:t>收尘</w:t>
            </w:r>
            <w:r>
              <w:rPr>
                <w:rFonts w:hint="eastAsia"/>
              </w:rPr>
              <w:t>+布袋</w:t>
            </w:r>
            <w:r>
              <w:t>除尘</w:t>
            </w:r>
            <w:r>
              <w:rPr>
                <w:rFonts w:hint="eastAsia"/>
              </w:rPr>
              <w:t>+15</w:t>
            </w:r>
            <w:r>
              <w:t>m排气筒</w:t>
            </w:r>
          </w:p>
        </w:tc>
        <w:tc>
          <w:tcPr>
            <w:tcW w:w="114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570" w:type="dxa"/>
            <w:vAlign w:val="center"/>
          </w:tcPr>
          <w:p>
            <w:pPr>
              <w:pStyle w:val="97"/>
            </w:pPr>
            <w:r>
              <w:rPr>
                <w:rFonts w:hint="eastAsia"/>
              </w:rPr>
              <w:t>99</w:t>
            </w:r>
            <w: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2套</w:t>
            </w:r>
          </w:p>
        </w:tc>
        <w:tc>
          <w:tcPr>
            <w:tcW w:w="4457" w:type="dxa"/>
            <w:vMerge w:val="continue"/>
            <w:vAlign w:val="center"/>
          </w:tcPr>
          <w:p>
            <w:pPr>
              <w:autoSpaceDE w:val="0"/>
              <w:autoSpaceDN w:val="0"/>
              <w:snapToGrid/>
              <w:spacing w:line="240" w:lineRule="auto"/>
              <w:ind w:firstLine="0" w:firstLineChars="0"/>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Align w:val="center"/>
          </w:tcPr>
          <w:p>
            <w:pPr>
              <w:pStyle w:val="92"/>
            </w:pPr>
            <w:r>
              <w:rPr>
                <w:rFonts w:hint="eastAsia"/>
              </w:rPr>
              <w:t>甲醇</w:t>
            </w:r>
            <w:r>
              <w:t>回收</w:t>
            </w:r>
          </w:p>
        </w:tc>
        <w:tc>
          <w:tcPr>
            <w:tcW w:w="1126" w:type="dxa"/>
            <w:vAlign w:val="center"/>
          </w:tcPr>
          <w:p>
            <w:pPr>
              <w:pStyle w:val="92"/>
              <w:rPr>
                <w:rFonts w:hAnsi="Times New Roman"/>
              </w:rPr>
            </w:pPr>
            <w:r>
              <w:rPr>
                <w:rFonts w:hint="eastAsia" w:hAnsi="Times New Roman"/>
              </w:rPr>
              <w:t>甲醇</w:t>
            </w:r>
          </w:p>
        </w:tc>
        <w:tc>
          <w:tcPr>
            <w:tcW w:w="3127" w:type="dxa"/>
            <w:vAlign w:val="center"/>
          </w:tcPr>
          <w:p>
            <w:pPr>
              <w:pStyle w:val="92"/>
            </w:pPr>
            <w:r>
              <w:rPr>
                <w:rFonts w:hint="eastAsia"/>
              </w:rPr>
              <w:t>冷冻</w:t>
            </w:r>
            <w:r>
              <w:t>回收</w:t>
            </w:r>
            <w:r>
              <w:rPr>
                <w:rFonts w:hint="eastAsia"/>
              </w:rPr>
              <w:t>+15</w:t>
            </w:r>
            <w:r>
              <w:t>m排气筒</w:t>
            </w:r>
          </w:p>
        </w:tc>
        <w:tc>
          <w:tcPr>
            <w:tcW w:w="114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北车间</w:t>
            </w:r>
          </w:p>
        </w:tc>
        <w:tc>
          <w:tcPr>
            <w:tcW w:w="1570" w:type="dxa"/>
            <w:vAlign w:val="center"/>
          </w:tcPr>
          <w:p>
            <w:pPr>
              <w:pStyle w:val="97"/>
            </w:pPr>
            <w:r>
              <w:rPr>
                <w:rFonts w:hint="eastAsia"/>
              </w:rPr>
              <w:t>75</w:t>
            </w:r>
            <w: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1套</w:t>
            </w:r>
          </w:p>
        </w:tc>
        <w:tc>
          <w:tcPr>
            <w:tcW w:w="445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《挥发性有机物排放控制标准》（DB61/T 1061-2017）中医药制造行业标准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天然气锅炉</w:t>
            </w:r>
          </w:p>
        </w:tc>
        <w:tc>
          <w:tcPr>
            <w:tcW w:w="1126" w:type="dxa"/>
            <w:vAlign w:val="center"/>
          </w:tcPr>
          <w:p>
            <w:pPr>
              <w:pStyle w:val="97"/>
            </w:pPr>
            <w:r>
              <w:rPr>
                <w:rFonts w:hint="eastAsia"/>
              </w:rPr>
              <w:t>烟尘</w:t>
            </w:r>
          </w:p>
        </w:tc>
        <w:tc>
          <w:tcPr>
            <w:tcW w:w="312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低氮燃烧+15m高排气筒</w:t>
            </w:r>
          </w:p>
        </w:tc>
        <w:tc>
          <w:tcPr>
            <w:tcW w:w="114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南</w:t>
            </w:r>
            <w:r>
              <w:rPr>
                <w:kern w:val="0"/>
                <w:sz w:val="21"/>
                <w:szCs w:val="20"/>
              </w:rPr>
              <w:t>车间锅炉房</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1套</w:t>
            </w:r>
          </w:p>
        </w:tc>
        <w:tc>
          <w:tcPr>
            <w:tcW w:w="445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《锅炉大气污染物排放标准》（DB61/1226-2018）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26" w:type="dxa"/>
            <w:vAlign w:val="center"/>
          </w:tcPr>
          <w:p>
            <w:pPr>
              <w:pStyle w:val="97"/>
            </w:pPr>
            <w:r>
              <w:rPr>
                <w:rFonts w:hint="eastAsia"/>
              </w:rPr>
              <w:t>SO</w:t>
            </w:r>
            <w:r>
              <w:rPr>
                <w:rFonts w:hint="eastAsia"/>
                <w:vertAlign w:val="subscript"/>
              </w:rPr>
              <w:t>2</w:t>
            </w:r>
          </w:p>
        </w:tc>
        <w:tc>
          <w:tcPr>
            <w:tcW w:w="312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4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445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26" w:type="dxa"/>
            <w:vAlign w:val="center"/>
          </w:tcPr>
          <w:p>
            <w:pPr>
              <w:pStyle w:val="97"/>
            </w:pPr>
            <w:r>
              <w:rPr>
                <w:rFonts w:hint="eastAsia"/>
              </w:rPr>
              <w:t>NO</w:t>
            </w:r>
            <w:r>
              <w:rPr>
                <w:rFonts w:hint="eastAsia"/>
                <w:vertAlign w:val="subscript"/>
              </w:rPr>
              <w:t>X</w:t>
            </w:r>
          </w:p>
        </w:tc>
        <w:tc>
          <w:tcPr>
            <w:tcW w:w="312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4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95</w:t>
            </w:r>
            <w:r>
              <w:rPr>
                <w:kern w:val="0"/>
                <w:sz w:val="21"/>
                <w:szCs w:val="20"/>
              </w:rPr>
              <w:t>%</w:t>
            </w:r>
          </w:p>
        </w:tc>
        <w:tc>
          <w:tcPr>
            <w:tcW w:w="858"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445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储罐区大小呼吸</w:t>
            </w:r>
          </w:p>
        </w:tc>
        <w:tc>
          <w:tcPr>
            <w:tcW w:w="1126" w:type="dxa"/>
            <w:vAlign w:val="center"/>
          </w:tcPr>
          <w:p>
            <w:pPr>
              <w:pStyle w:val="92"/>
              <w:rPr>
                <w:rFonts w:hAnsi="Times New Roman"/>
              </w:rPr>
            </w:pPr>
            <w:r>
              <w:rPr>
                <w:rFonts w:hint="eastAsia" w:hAnsi="Times New Roman"/>
              </w:rPr>
              <w:t>非甲烷</w:t>
            </w:r>
            <w:r>
              <w:rPr>
                <w:rFonts w:hAnsi="Times New Roman"/>
              </w:rPr>
              <w:t>总烃</w:t>
            </w:r>
          </w:p>
        </w:tc>
        <w:tc>
          <w:tcPr>
            <w:tcW w:w="312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地埋式</w:t>
            </w:r>
            <w:r>
              <w:rPr>
                <w:kern w:val="0"/>
                <w:sz w:val="21"/>
                <w:szCs w:val="20"/>
              </w:rPr>
              <w:t>储罐</w:t>
            </w:r>
          </w:p>
        </w:tc>
        <w:tc>
          <w:tcPr>
            <w:tcW w:w="114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北车间</w:t>
            </w:r>
            <w:r>
              <w:rPr>
                <w:kern w:val="0"/>
                <w:sz w:val="21"/>
                <w:szCs w:val="20"/>
              </w:rPr>
              <w:t>西侧</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445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厂界甲醇、非甲烷总烃执行《大气污染物综合排放标准》（GB16297-1996）二级</w:t>
            </w:r>
          </w:p>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厂内非甲烷总烃执行《挥发性有机物无组织排放控制标准》（GB37822-2019）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09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26" w:type="dxa"/>
            <w:vAlign w:val="center"/>
          </w:tcPr>
          <w:p>
            <w:pPr>
              <w:pStyle w:val="92"/>
              <w:rPr>
                <w:rFonts w:hAnsi="Times New Roman"/>
              </w:rPr>
            </w:pPr>
            <w:r>
              <w:rPr>
                <w:rFonts w:hint="eastAsia" w:hAnsi="Times New Roman"/>
              </w:rPr>
              <w:t>甲醇</w:t>
            </w:r>
          </w:p>
        </w:tc>
        <w:tc>
          <w:tcPr>
            <w:tcW w:w="312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14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445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废水</w:t>
            </w:r>
          </w:p>
        </w:tc>
        <w:tc>
          <w:tcPr>
            <w:tcW w:w="2216" w:type="dxa"/>
            <w:gridSpan w:val="2"/>
            <w:vAlign w:val="center"/>
          </w:tcPr>
          <w:p>
            <w:pPr>
              <w:pStyle w:val="92"/>
              <w:rPr>
                <w:rFonts w:hAnsi="Times New Roman"/>
              </w:rPr>
            </w:pPr>
            <w:r>
              <w:rPr>
                <w:rFonts w:hint="eastAsia" w:hAnsi="Times New Roman"/>
              </w:rPr>
              <w:t>生活</w:t>
            </w:r>
            <w:r>
              <w:rPr>
                <w:rFonts w:hAnsi="Times New Roman"/>
              </w:rPr>
              <w:t>污水</w:t>
            </w:r>
          </w:p>
        </w:tc>
        <w:tc>
          <w:tcPr>
            <w:tcW w:w="312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经化粪池预处理后排入吕河镇污水处理厂处理</w:t>
            </w:r>
          </w:p>
        </w:tc>
        <w:tc>
          <w:tcPr>
            <w:tcW w:w="114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厂区</w:t>
            </w:r>
            <w:r>
              <w:rPr>
                <w:kern w:val="0"/>
                <w:sz w:val="21"/>
                <w:szCs w:val="20"/>
              </w:rPr>
              <w:t>西侧</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1套</w:t>
            </w:r>
          </w:p>
        </w:tc>
        <w:tc>
          <w:tcPr>
            <w:tcW w:w="445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《污水综合排放标准》（GB8978-1996）表4中三级标准及《污水排入城镇下水道水质标准》（GB/T 31962-2015）表1中B级标准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固体</w:t>
            </w:r>
            <w:r>
              <w:rPr>
                <w:kern w:val="0"/>
                <w:sz w:val="21"/>
                <w:szCs w:val="20"/>
              </w:rPr>
              <w:t>废物</w:t>
            </w:r>
          </w:p>
        </w:tc>
        <w:tc>
          <w:tcPr>
            <w:tcW w:w="2216" w:type="dxa"/>
            <w:gridSpan w:val="2"/>
            <w:vAlign w:val="center"/>
          </w:tcPr>
          <w:p>
            <w:pPr>
              <w:pStyle w:val="92"/>
            </w:pPr>
            <w:r>
              <w:rPr>
                <w:rFonts w:hint="eastAsia"/>
              </w:rPr>
              <w:t>生活</w:t>
            </w:r>
            <w:r>
              <w:t>垃圾</w:t>
            </w:r>
          </w:p>
        </w:tc>
        <w:tc>
          <w:tcPr>
            <w:tcW w:w="4267" w:type="dxa"/>
            <w:gridSpan w:val="2"/>
            <w:vAlign w:val="center"/>
          </w:tcPr>
          <w:p>
            <w:pPr>
              <w:autoSpaceDE w:val="0"/>
              <w:autoSpaceDN w:val="0"/>
              <w:snapToGrid/>
              <w:spacing w:line="240" w:lineRule="auto"/>
              <w:ind w:firstLine="0" w:firstLineChars="0"/>
              <w:jc w:val="center"/>
              <w:textAlignment w:val="bottom"/>
              <w:rPr>
                <w:kern w:val="0"/>
                <w:sz w:val="21"/>
                <w:szCs w:val="21"/>
              </w:rPr>
            </w:pPr>
            <w:r>
              <w:rPr>
                <w:rFonts w:hint="eastAsia"/>
                <w:sz w:val="21"/>
                <w:szCs w:val="21"/>
              </w:rPr>
              <w:t>设置</w:t>
            </w:r>
            <w:r>
              <w:rPr>
                <w:sz w:val="21"/>
                <w:szCs w:val="21"/>
              </w:rPr>
              <w:t>垃圾桶收集，由环卫部门统一清运</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若干</w:t>
            </w:r>
          </w:p>
        </w:tc>
        <w:tc>
          <w:tcPr>
            <w:tcW w:w="4457"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16" w:type="dxa"/>
            <w:gridSpan w:val="2"/>
            <w:vAlign w:val="center"/>
          </w:tcPr>
          <w:p>
            <w:pPr>
              <w:pStyle w:val="92"/>
            </w:pPr>
            <w:r>
              <w:rPr>
                <w:rFonts w:hint="eastAsia"/>
              </w:rPr>
              <w:t>废渣</w:t>
            </w:r>
          </w:p>
        </w:tc>
        <w:tc>
          <w:tcPr>
            <w:tcW w:w="4267" w:type="dxa"/>
            <w:gridSpan w:val="2"/>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统一收集后，外售综合利用</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4457" w:type="dxa"/>
            <w:vAlign w:val="center"/>
          </w:tcPr>
          <w:p>
            <w:pPr>
              <w:autoSpaceDE w:val="0"/>
              <w:autoSpaceDN w:val="0"/>
              <w:snapToGrid/>
              <w:spacing w:line="240" w:lineRule="auto"/>
              <w:ind w:firstLine="0" w:firstLineChars="0"/>
              <w:jc w:val="center"/>
              <w:textAlignment w:val="bottom"/>
              <w:rPr>
                <w:kern w:val="0"/>
                <w:sz w:val="21"/>
                <w:szCs w:val="20"/>
              </w:rPr>
            </w:pPr>
            <w:r>
              <w:rPr>
                <w:sz w:val="21"/>
                <w:szCs w:val="21"/>
              </w:rPr>
              <w:t>《一般工业固体废物贮存</w:t>
            </w:r>
            <w:r>
              <w:rPr>
                <w:rFonts w:hint="eastAsia"/>
                <w:sz w:val="21"/>
                <w:szCs w:val="21"/>
              </w:rPr>
              <w:t>和</w:t>
            </w:r>
            <w:r>
              <w:rPr>
                <w:sz w:val="21"/>
                <w:szCs w:val="21"/>
              </w:rPr>
              <w:t>填埋污染控制标准》（GB18599-2020）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16" w:type="dxa"/>
            <w:gridSpan w:val="2"/>
            <w:vAlign w:val="center"/>
          </w:tcPr>
          <w:p>
            <w:pPr>
              <w:pStyle w:val="92"/>
            </w:pPr>
            <w:r>
              <w:rPr>
                <w:rFonts w:hint="eastAsia"/>
              </w:rPr>
              <w:t>废活性炭</w:t>
            </w:r>
          </w:p>
        </w:tc>
        <w:tc>
          <w:tcPr>
            <w:tcW w:w="4267" w:type="dxa"/>
            <w:gridSpan w:val="2"/>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危险废物</w:t>
            </w:r>
            <w:r>
              <w:rPr>
                <w:kern w:val="0"/>
                <w:sz w:val="21"/>
                <w:szCs w:val="20"/>
              </w:rPr>
              <w:t>暂存间</w:t>
            </w:r>
            <w:r>
              <w:rPr>
                <w:rFonts w:hint="eastAsia"/>
                <w:kern w:val="0"/>
                <w:sz w:val="21"/>
                <w:szCs w:val="20"/>
              </w:rPr>
              <w:t>暂存</w:t>
            </w:r>
            <w:r>
              <w:rPr>
                <w:kern w:val="0"/>
                <w:sz w:val="21"/>
                <w:szCs w:val="20"/>
              </w:rPr>
              <w:t>后，交有资质单位处置</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w:t>
            </w:r>
          </w:p>
        </w:tc>
        <w:tc>
          <w:tcPr>
            <w:tcW w:w="858" w:type="dxa"/>
            <w:vMerge w:val="restart"/>
            <w:vAlign w:val="center"/>
          </w:tcPr>
          <w:p>
            <w:pPr>
              <w:autoSpaceDE w:val="0"/>
              <w:autoSpaceDN w:val="0"/>
              <w:spacing w:line="240" w:lineRule="auto"/>
              <w:ind w:firstLine="420"/>
              <w:jc w:val="center"/>
              <w:textAlignment w:val="bottom"/>
              <w:rPr>
                <w:kern w:val="0"/>
                <w:sz w:val="21"/>
                <w:szCs w:val="20"/>
              </w:rPr>
            </w:pPr>
            <w:r>
              <w:rPr>
                <w:rFonts w:hint="eastAsia"/>
                <w:kern w:val="0"/>
                <w:sz w:val="21"/>
                <w:szCs w:val="20"/>
              </w:rPr>
              <w:t>1座</w:t>
            </w:r>
          </w:p>
        </w:tc>
        <w:tc>
          <w:tcPr>
            <w:tcW w:w="4457" w:type="dxa"/>
            <w:vMerge w:val="restart"/>
            <w:vAlign w:val="center"/>
          </w:tcPr>
          <w:p>
            <w:pPr>
              <w:autoSpaceDE w:val="0"/>
              <w:autoSpaceDN w:val="0"/>
              <w:spacing w:line="240" w:lineRule="auto"/>
              <w:ind w:firstLine="420"/>
              <w:jc w:val="center"/>
              <w:textAlignment w:val="bottom"/>
              <w:rPr>
                <w:sz w:val="21"/>
                <w:szCs w:val="21"/>
              </w:rPr>
            </w:pPr>
            <w:r>
              <w:rPr>
                <w:sz w:val="21"/>
                <w:szCs w:val="21"/>
              </w:rPr>
              <w:t>《危险废物贮存污染控制标准》（GB18597-2001）及年修改单相关要求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16" w:type="dxa"/>
            <w:gridSpan w:val="2"/>
            <w:vAlign w:val="center"/>
          </w:tcPr>
          <w:p>
            <w:pPr>
              <w:pStyle w:val="92"/>
            </w:pPr>
            <w:r>
              <w:rPr>
                <w:rFonts w:hint="eastAsia"/>
              </w:rPr>
              <w:t>废</w:t>
            </w:r>
            <w:r>
              <w:t>含油抹布</w:t>
            </w:r>
          </w:p>
        </w:tc>
        <w:tc>
          <w:tcPr>
            <w:tcW w:w="4267" w:type="dxa"/>
            <w:gridSpan w:val="2"/>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危险废物暂存间暂存后，交有资质单位处置</w:t>
            </w:r>
          </w:p>
        </w:tc>
        <w:tc>
          <w:tcPr>
            <w:tcW w:w="1570" w:type="dxa"/>
            <w:vAlign w:val="center"/>
          </w:tcPr>
          <w:p>
            <w:pPr>
              <w:autoSpaceDE w:val="0"/>
              <w:autoSpaceDN w:val="0"/>
              <w:snapToGrid/>
              <w:spacing w:line="240" w:lineRule="auto"/>
              <w:ind w:firstLine="0" w:firstLineChars="0"/>
              <w:jc w:val="center"/>
              <w:textAlignment w:val="bottom"/>
              <w:rPr>
                <w:kern w:val="0"/>
                <w:sz w:val="21"/>
                <w:szCs w:val="20"/>
              </w:rPr>
            </w:pPr>
            <w:r>
              <w:rPr>
                <w:rFonts w:hint="eastAsia"/>
                <w:kern w:val="0"/>
                <w:sz w:val="21"/>
                <w:szCs w:val="20"/>
              </w:rPr>
              <w:t>/</w:t>
            </w:r>
          </w:p>
        </w:tc>
        <w:tc>
          <w:tcPr>
            <w:tcW w:w="858"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4457" w:type="dxa"/>
            <w:vMerge w:val="continue"/>
            <w:vAlign w:val="center"/>
          </w:tcPr>
          <w:p>
            <w:pPr>
              <w:autoSpaceDE w:val="0"/>
              <w:autoSpaceDN w:val="0"/>
              <w:snapToGrid/>
              <w:spacing w:line="240" w:lineRule="auto"/>
              <w:ind w:firstLine="0" w:firstLineChars="0"/>
              <w:jc w:val="center"/>
              <w:textAlignment w:val="bottom"/>
              <w:rPr>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噪声</w:t>
            </w:r>
          </w:p>
        </w:tc>
        <w:tc>
          <w:tcPr>
            <w:tcW w:w="2216" w:type="dxa"/>
            <w:gridSpan w:val="2"/>
            <w:vMerge w:val="restart"/>
            <w:vAlign w:val="center"/>
          </w:tcPr>
          <w:p>
            <w:pPr>
              <w:pStyle w:val="92"/>
            </w:pPr>
            <w:r>
              <w:rPr>
                <w:rFonts w:hint="eastAsia"/>
              </w:rPr>
              <w:t>粉碎机、引风机、循环泵、出料泵、真空泵</w:t>
            </w:r>
            <w:r>
              <w:t>等机械设备</w:t>
            </w:r>
            <w:r>
              <w:rPr>
                <w:rFonts w:hint="eastAsia"/>
              </w:rPr>
              <w:t>、</w:t>
            </w:r>
            <w:r>
              <w:t>风机</w:t>
            </w:r>
          </w:p>
        </w:tc>
        <w:tc>
          <w:tcPr>
            <w:tcW w:w="4267" w:type="dxa"/>
            <w:gridSpan w:val="2"/>
            <w:vMerge w:val="restart"/>
            <w:vAlign w:val="center"/>
          </w:tcPr>
          <w:p>
            <w:pPr>
              <w:pStyle w:val="92"/>
            </w:pPr>
            <w:r>
              <w:t>加减振基础、设置在厂房内、窗户</w:t>
            </w:r>
            <w:r>
              <w:rPr>
                <w:rFonts w:hint="eastAsia"/>
              </w:rPr>
              <w:t>密闭</w:t>
            </w:r>
          </w:p>
          <w:p>
            <w:pPr>
              <w:pStyle w:val="92"/>
            </w:pPr>
            <w:r>
              <w:t>选用低噪声设备，风机安装减振垫、风管与设备采用软连接，排风口安装消声器</w:t>
            </w:r>
          </w:p>
        </w:tc>
        <w:tc>
          <w:tcPr>
            <w:tcW w:w="1570"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降噪15~20 dB（A）以上</w:t>
            </w: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若干</w:t>
            </w:r>
          </w:p>
        </w:tc>
        <w:tc>
          <w:tcPr>
            <w:tcW w:w="4457" w:type="dxa"/>
            <w:vMerge w:val="restart"/>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《工业企业厂界环境噪声排放标准》（GB12348-2008）中3类标准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604"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2216" w:type="dxa"/>
            <w:gridSpan w:val="2"/>
            <w:vMerge w:val="continue"/>
            <w:vAlign w:val="center"/>
          </w:tcPr>
          <w:p>
            <w:pPr>
              <w:pStyle w:val="92"/>
            </w:pPr>
          </w:p>
        </w:tc>
        <w:tc>
          <w:tcPr>
            <w:tcW w:w="4267" w:type="dxa"/>
            <w:gridSpan w:val="2"/>
            <w:vMerge w:val="continue"/>
            <w:vAlign w:val="center"/>
          </w:tcPr>
          <w:p>
            <w:pPr>
              <w:pStyle w:val="92"/>
            </w:pPr>
          </w:p>
        </w:tc>
        <w:tc>
          <w:tcPr>
            <w:tcW w:w="1570"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c>
          <w:tcPr>
            <w:tcW w:w="858" w:type="dxa"/>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若干</w:t>
            </w:r>
          </w:p>
        </w:tc>
        <w:tc>
          <w:tcPr>
            <w:tcW w:w="4457" w:type="dxa"/>
            <w:vMerge w:val="continue"/>
            <w:vAlign w:val="center"/>
          </w:tcPr>
          <w:p>
            <w:pPr>
              <w:autoSpaceDE w:val="0"/>
              <w:autoSpaceDN w:val="0"/>
              <w:snapToGrid/>
              <w:spacing w:line="240" w:lineRule="auto"/>
              <w:ind w:firstLine="0" w:firstLineChars="0"/>
              <w:jc w:val="center"/>
              <w:textAlignment w:val="bottom"/>
              <w:rPr>
                <w:kern w:val="0"/>
                <w:sz w:val="21"/>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2820" w:type="dxa"/>
            <w:gridSpan w:val="3"/>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排污口规范化设置</w:t>
            </w:r>
          </w:p>
        </w:tc>
        <w:tc>
          <w:tcPr>
            <w:tcW w:w="11152" w:type="dxa"/>
            <w:gridSpan w:val="5"/>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废气采样口，排放源标志牌等；危险废物暂存间环境保护图形标志灯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2820" w:type="dxa"/>
            <w:gridSpan w:val="3"/>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环境管理</w:t>
            </w:r>
          </w:p>
        </w:tc>
        <w:tc>
          <w:tcPr>
            <w:tcW w:w="11152" w:type="dxa"/>
            <w:gridSpan w:val="5"/>
            <w:vAlign w:val="center"/>
          </w:tcPr>
          <w:p>
            <w:pPr>
              <w:autoSpaceDE w:val="0"/>
              <w:autoSpaceDN w:val="0"/>
              <w:snapToGrid/>
              <w:spacing w:line="240" w:lineRule="auto"/>
              <w:ind w:firstLine="0" w:firstLineChars="0"/>
              <w:jc w:val="center"/>
              <w:textAlignment w:val="bottom"/>
              <w:rPr>
                <w:kern w:val="0"/>
                <w:sz w:val="21"/>
                <w:szCs w:val="20"/>
              </w:rPr>
            </w:pPr>
            <w:r>
              <w:rPr>
                <w:kern w:val="0"/>
                <w:sz w:val="21"/>
                <w:szCs w:val="20"/>
              </w:rPr>
              <w:t>设专职环保管理人员；建立健全风险防范措施；环保设施、环境管理规章制度、运行期环境监测制度等</w:t>
            </w:r>
          </w:p>
        </w:tc>
      </w:tr>
    </w:tbl>
    <w:p>
      <w:pPr>
        <w:ind w:firstLine="199" w:firstLineChars="83"/>
        <w:rPr>
          <w:szCs w:val="24"/>
          <w:highlight w:val="yellow"/>
        </w:rPr>
        <w:sectPr>
          <w:headerReference r:id="rId66" w:type="default"/>
          <w:headerReference r:id="rId67" w:type="even"/>
          <w:pgSz w:w="16838" w:h="11906" w:orient="landscape"/>
          <w:pgMar w:top="1440" w:right="1418" w:bottom="1440" w:left="1418" w:header="992" w:footer="992" w:gutter="0"/>
          <w:cols w:space="425" w:num="1"/>
          <w:docGrid w:type="lines" w:linePitch="326" w:charSpace="0"/>
        </w:sectPr>
      </w:pPr>
    </w:p>
    <w:p>
      <w:pPr>
        <w:pStyle w:val="2"/>
      </w:pPr>
      <w:bookmarkStart w:id="260" w:name="_Toc82502982"/>
      <w:r>
        <w:rPr>
          <w:rFonts w:hint="eastAsia"/>
        </w:rPr>
        <w:t>结论</w:t>
      </w:r>
      <w:r>
        <w:t>和建议</w:t>
      </w:r>
      <w:bookmarkEnd w:id="260"/>
    </w:p>
    <w:p>
      <w:pPr>
        <w:pStyle w:val="3"/>
      </w:pPr>
      <w:bookmarkStart w:id="261" w:name="_Toc82502983"/>
      <w:bookmarkStart w:id="262" w:name="_Toc488102196"/>
      <w:r>
        <w:rPr>
          <w:rFonts w:hint="eastAsia"/>
        </w:rPr>
        <w:t>项目概况</w:t>
      </w:r>
      <w:bookmarkEnd w:id="261"/>
      <w:bookmarkEnd w:id="262"/>
    </w:p>
    <w:p>
      <w:pPr>
        <w:ind w:firstLine="480"/>
        <w:rPr>
          <w:rFonts w:hAnsiTheme="minorEastAsia" w:eastAsiaTheme="minorEastAsia"/>
        </w:rPr>
      </w:pPr>
      <w:r>
        <w:rPr>
          <w:rFonts w:hAnsiTheme="minorEastAsia" w:eastAsiaTheme="minorEastAsia"/>
        </w:rPr>
        <w:t>陕西宏达坤生物科技有限公司黄姜提取物研究基地项目位于旬阳高新区吕河工业园，</w:t>
      </w:r>
      <w:r>
        <w:rPr>
          <w:rFonts w:hint="eastAsia" w:hAnsiTheme="minorEastAsia" w:eastAsiaTheme="minorEastAsia"/>
        </w:rPr>
        <w:t>建设内容主要为黄姜提取皂素中试车间，包括中试生产车间两座，办公区、理化</w:t>
      </w:r>
      <w:r>
        <w:rPr>
          <w:rFonts w:hAnsiTheme="minorEastAsia" w:eastAsiaTheme="minorEastAsia"/>
        </w:rPr>
        <w:t>分析室、称量室、检验检测中心</w:t>
      </w:r>
      <w:r>
        <w:rPr>
          <w:rFonts w:hint="eastAsia" w:hAnsiTheme="minorEastAsia" w:eastAsiaTheme="minorEastAsia"/>
        </w:rPr>
        <w:t>等，配套建设有原料库、成品库、储罐区等，</w:t>
      </w:r>
      <w:r>
        <w:rPr>
          <w:rFonts w:hAnsiTheme="minorEastAsia" w:eastAsiaTheme="minorEastAsia"/>
        </w:rPr>
        <w:t>总投资</w:t>
      </w:r>
      <w:r>
        <w:rPr>
          <w:rFonts w:eastAsiaTheme="minorEastAsia"/>
        </w:rPr>
        <w:t>10000万元</w:t>
      </w:r>
      <w:r>
        <w:rPr>
          <w:rFonts w:hAnsiTheme="minorEastAsia" w:eastAsiaTheme="minorEastAsia"/>
        </w:rPr>
        <w:t>，环保投资</w:t>
      </w:r>
      <w:r>
        <w:rPr>
          <w:rFonts w:eastAsiaTheme="minorEastAsia"/>
        </w:rPr>
        <w:t>114</w:t>
      </w:r>
      <w:r>
        <w:rPr>
          <w:rFonts w:hAnsiTheme="minorEastAsia" w:eastAsiaTheme="minorEastAsia"/>
        </w:rPr>
        <w:t>万元</w:t>
      </w:r>
      <w:r>
        <w:rPr>
          <w:rFonts w:hint="eastAsia" w:hAnsiTheme="minorEastAsia" w:eastAsiaTheme="minorEastAsia"/>
        </w:rPr>
        <w:t>，</w:t>
      </w:r>
      <w:r>
        <w:rPr>
          <w:rFonts w:hAnsiTheme="minorEastAsia" w:eastAsiaTheme="minorEastAsia"/>
        </w:rPr>
        <w:t>占总投资的1.14%。</w:t>
      </w:r>
    </w:p>
    <w:p>
      <w:pPr>
        <w:pStyle w:val="3"/>
      </w:pPr>
      <w:bookmarkStart w:id="263" w:name="_Toc488102197"/>
      <w:bookmarkStart w:id="264" w:name="_Toc82502984"/>
      <w:r>
        <w:rPr>
          <w:rFonts w:hint="eastAsia"/>
        </w:rPr>
        <w:t>环境质量现状</w:t>
      </w:r>
      <w:bookmarkEnd w:id="263"/>
      <w:r>
        <w:rPr>
          <w:rFonts w:hint="eastAsia"/>
        </w:rPr>
        <w:t>结论</w:t>
      </w:r>
      <w:bookmarkEnd w:id="264"/>
    </w:p>
    <w:p>
      <w:pPr>
        <w:pStyle w:val="4"/>
      </w:pPr>
      <w:r>
        <w:rPr>
          <w:rFonts w:hint="eastAsia"/>
        </w:rPr>
        <w:t>环境空气质量现状</w:t>
      </w:r>
    </w:p>
    <w:p>
      <w:pPr>
        <w:ind w:firstLine="480"/>
      </w:pPr>
      <w:r>
        <w:rPr>
          <w:rFonts w:hint="eastAsia"/>
        </w:rPr>
        <w:t>根据</w:t>
      </w:r>
      <w:r>
        <w:t>陕西省</w:t>
      </w:r>
      <w:r>
        <w:rPr>
          <w:rFonts w:hint="eastAsia"/>
        </w:rPr>
        <w:t>2020年</w:t>
      </w:r>
      <w:r>
        <w:t>全省环境质量状况报告，</w:t>
      </w:r>
      <w:r>
        <w:rPr>
          <w:rFonts w:hint="eastAsia"/>
        </w:rPr>
        <w:t>2020年1-12月旬阳市的优良天数为352天，优良率为96.2%，重度及以上污染天数为0天，空气质量综合指数为3.04项目所在区域旬阳市基本污染物均满足《环境空气质量标准》（GB3095-2012）中二级标准，项目所在区域为达标区域。</w:t>
      </w:r>
    </w:p>
    <w:p>
      <w:pPr>
        <w:pStyle w:val="87"/>
        <w:ind w:firstLine="480"/>
      </w:pPr>
      <w:r>
        <w:rPr>
          <w:rFonts w:cs="Times New Roman"/>
        </w:rPr>
        <w:t>本次环评委托</w:t>
      </w:r>
      <w:r>
        <w:rPr>
          <w:rFonts w:hint="eastAsia" w:cs="Times New Roman"/>
        </w:rPr>
        <w:t>托陕西泽希检测服务有限公司</w:t>
      </w:r>
      <w:r>
        <w:rPr>
          <w:rFonts w:cs="Times New Roman"/>
        </w:rPr>
        <w:t>对项目所在地</w:t>
      </w:r>
      <w:r>
        <w:rPr>
          <w:rFonts w:hint="eastAsia" w:cs="Times New Roman"/>
        </w:rPr>
        <w:t>特征</w:t>
      </w:r>
      <w:r>
        <w:rPr>
          <w:rFonts w:cs="Times New Roman"/>
        </w:rPr>
        <w:t>污染物进行了监测。</w:t>
      </w:r>
      <w:r>
        <w:rPr>
          <w:rFonts w:hint="eastAsia"/>
        </w:rPr>
        <w:t>由监测</w:t>
      </w:r>
      <w:r>
        <w:t>结果可知，特征</w:t>
      </w:r>
      <w:r>
        <w:rPr>
          <w:rFonts w:hint="eastAsia"/>
        </w:rPr>
        <w:t>污染物非甲烷总烃满足《大气污染物综合排放标准详解》推荐标准，氮氧化物满足《环境空气质量标准》（GB3095-2012）及其修改单中二级标准，硫酸雾、甲醇满足《环境影响评价技术导则 大气环境》（HJ2.2-2018）表D.1中其他污染物空气质量浓度参考限值。项目建址地周边特征污染物环境背景值现状质量良好。</w:t>
      </w:r>
    </w:p>
    <w:p>
      <w:pPr>
        <w:pStyle w:val="4"/>
      </w:pPr>
      <w:r>
        <w:rPr>
          <w:rFonts w:hint="eastAsia"/>
        </w:rPr>
        <w:t>地下水</w:t>
      </w:r>
      <w:r>
        <w:t>环境质量现状</w:t>
      </w:r>
    </w:p>
    <w:p>
      <w:pPr>
        <w:pStyle w:val="87"/>
        <w:ind w:firstLine="480"/>
        <w:rPr>
          <w:rFonts w:cs="Times New Roman"/>
        </w:rPr>
      </w:pPr>
      <w:r>
        <w:rPr>
          <w:rFonts w:hint="eastAsia" w:cs="Times New Roman"/>
        </w:rPr>
        <w:t>项目周围无地下水饮用水水井，周围居民用水为市政供水或山泉水井。调查走访周边仅有三口山泉水井，</w:t>
      </w:r>
      <w:r>
        <w:rPr>
          <w:rFonts w:cs="Times New Roman"/>
        </w:rPr>
        <w:t>本次委托</w:t>
      </w:r>
      <w:r>
        <w:rPr>
          <w:rFonts w:hint="eastAsia" w:cs="Times New Roman"/>
        </w:rPr>
        <w:t>陕西泽希检测服务有限公司进行</w:t>
      </w:r>
      <w:r>
        <w:rPr>
          <w:rFonts w:cs="Times New Roman"/>
        </w:rPr>
        <w:t>了监测，</w:t>
      </w:r>
      <w:r>
        <w:rPr>
          <w:rFonts w:hint="eastAsia" w:cs="Times New Roman"/>
        </w:rPr>
        <w:t>项目所在地地下水水质各项监测因子均能满足《地下水质量标准》（GB/T14848-2017）Ⅲ类标准限值。</w:t>
      </w:r>
    </w:p>
    <w:p>
      <w:pPr>
        <w:pStyle w:val="4"/>
      </w:pPr>
      <w:r>
        <w:rPr>
          <w:rFonts w:hint="eastAsia"/>
        </w:rPr>
        <w:t>声环境</w:t>
      </w:r>
      <w:r>
        <w:t>质量现状</w:t>
      </w:r>
    </w:p>
    <w:p>
      <w:pPr>
        <w:ind w:firstLine="480"/>
      </w:pPr>
      <w:r>
        <w:rPr>
          <w:rFonts w:hint="eastAsia"/>
        </w:rPr>
        <w:t>由</w:t>
      </w:r>
      <w:r>
        <w:t>监测结果可知，</w:t>
      </w:r>
      <w:r>
        <w:rPr>
          <w:rFonts w:hint="eastAsia"/>
        </w:rPr>
        <w:t>项目所在区域声环境现状良好，厂界四周昼间、夜间监测值均满足《声环境质量标准》中3类标准要求，敏感点江家店村满足2类标准，周围声环境质量较好。</w:t>
      </w:r>
    </w:p>
    <w:p>
      <w:pPr>
        <w:pStyle w:val="3"/>
      </w:pPr>
      <w:bookmarkStart w:id="265" w:name="_Toc82502985"/>
      <w:bookmarkStart w:id="266" w:name="_Toc488102198"/>
      <w:r>
        <w:rPr>
          <w:rFonts w:hint="eastAsia"/>
        </w:rPr>
        <w:t>施工期环境影响</w:t>
      </w:r>
      <w:r>
        <w:t>分析及保护措施</w:t>
      </w:r>
      <w:bookmarkEnd w:id="265"/>
    </w:p>
    <w:p>
      <w:pPr>
        <w:ind w:firstLine="480"/>
        <w:rPr>
          <w:rFonts w:hAnsi="宋体"/>
          <w:bCs/>
        </w:rPr>
      </w:pPr>
      <w:bookmarkStart w:id="267" w:name="9.4.2运营期环境影响评价"/>
      <w:bookmarkEnd w:id="267"/>
      <w:bookmarkStart w:id="268" w:name="9.4环境影响评价结论"/>
      <w:bookmarkEnd w:id="268"/>
      <w:bookmarkStart w:id="269" w:name="9.4.1施工期环境影响评价"/>
      <w:bookmarkEnd w:id="269"/>
      <w:bookmarkStart w:id="270" w:name="9.3.4声环境"/>
      <w:bookmarkEnd w:id="270"/>
      <w:r>
        <w:rPr>
          <w:rFonts w:hint="eastAsia" w:hAnsi="宋体"/>
          <w:bCs/>
        </w:rPr>
        <w:t>本项目施工期</w:t>
      </w:r>
      <w:r>
        <w:rPr>
          <w:rFonts w:hAnsi="宋体"/>
          <w:bCs/>
        </w:rPr>
        <w:t>主要</w:t>
      </w:r>
      <w:r>
        <w:rPr>
          <w:rFonts w:hint="eastAsia" w:hAnsi="宋体"/>
          <w:bCs/>
        </w:rPr>
        <w:t>环境</w:t>
      </w:r>
      <w:r>
        <w:rPr>
          <w:rFonts w:hAnsi="宋体"/>
          <w:bCs/>
        </w:rPr>
        <w:t>影响</w:t>
      </w:r>
      <w:r>
        <w:rPr>
          <w:rFonts w:hint="eastAsia" w:hAnsi="宋体"/>
          <w:bCs/>
        </w:rPr>
        <w:t>为施工废气，</w:t>
      </w:r>
      <w:r>
        <w:rPr>
          <w:rFonts w:hAnsi="宋体"/>
          <w:bCs/>
        </w:rPr>
        <w:t>施工噪声</w:t>
      </w:r>
      <w:r>
        <w:rPr>
          <w:rFonts w:hint="eastAsia" w:hAnsi="宋体"/>
          <w:bCs/>
        </w:rPr>
        <w:t>、施工期</w:t>
      </w:r>
      <w:r>
        <w:rPr>
          <w:rFonts w:hAnsi="宋体"/>
          <w:bCs/>
        </w:rPr>
        <w:t>固体废物</w:t>
      </w:r>
      <w:r>
        <w:rPr>
          <w:rFonts w:hint="eastAsia" w:hAnsi="宋体"/>
          <w:bCs/>
        </w:rPr>
        <w:t>及</w:t>
      </w:r>
      <w:r>
        <w:rPr>
          <w:rFonts w:hAnsi="宋体"/>
          <w:bCs/>
        </w:rPr>
        <w:t>施工废水等。</w:t>
      </w:r>
    </w:p>
    <w:p>
      <w:pPr>
        <w:pStyle w:val="87"/>
        <w:ind w:firstLine="480"/>
      </w:pPr>
      <w:r>
        <w:rPr>
          <w:rFonts w:hAnsi="宋体"/>
        </w:rPr>
        <w:t>施工期对大气环境的影响主要为</w:t>
      </w:r>
      <w:r>
        <w:rPr>
          <w:rFonts w:hint="eastAsia"/>
        </w:rPr>
        <w:t>车间</w:t>
      </w:r>
      <w:r>
        <w:t>设备安装</w:t>
      </w:r>
      <w:r>
        <w:rPr>
          <w:rFonts w:hint="eastAsia"/>
        </w:rPr>
        <w:t>扬尘</w:t>
      </w:r>
      <w:r>
        <w:t>和</w:t>
      </w:r>
      <w:r>
        <w:rPr>
          <w:rFonts w:hint="eastAsia"/>
        </w:rPr>
        <w:t>运输车辆扬尘</w:t>
      </w:r>
      <w:r>
        <w:t>及尾气，本项目在</w:t>
      </w:r>
      <w:r>
        <w:rPr>
          <w:rFonts w:hint="eastAsia"/>
        </w:rPr>
        <w:t>设备</w:t>
      </w:r>
      <w:r>
        <w:t>装修初期，对厂房进行清扫整理时，会产生少量扬尘，但整理厂房主要在车间内进行，且可通过洒水抑尘，降低扬尘污染，对周围环境空气影响较小。</w:t>
      </w:r>
      <w:r>
        <w:rPr>
          <w:rFonts w:hint="eastAsia"/>
        </w:rPr>
        <w:t>运输</w:t>
      </w:r>
      <w:r>
        <w:t>车辆</w:t>
      </w:r>
      <w:r>
        <w:rPr>
          <w:rFonts w:hint="eastAsia"/>
        </w:rPr>
        <w:t>扬尘</w:t>
      </w:r>
      <w:r>
        <w:t>，</w:t>
      </w:r>
      <w:r>
        <w:rPr>
          <w:rFonts w:hint="eastAsia"/>
        </w:rPr>
        <w:t>车辆行驶</w:t>
      </w:r>
      <w:r>
        <w:t>造成的道路扬尘，属无组织排放。运输车辆排放的汽车尾气，主要污染物为NO</w:t>
      </w:r>
      <w:r>
        <w:rPr>
          <w:vertAlign w:val="subscript"/>
        </w:rPr>
        <w:t>2</w:t>
      </w:r>
      <w:r>
        <w:t>、CO，其产生量与施工机械的选用、机械性能和维护水平有关</w:t>
      </w:r>
      <w:r>
        <w:rPr>
          <w:rFonts w:hint="eastAsia"/>
        </w:rPr>
        <w:t>，</w:t>
      </w:r>
      <w:r>
        <w:t>属移动点源污染，是暂时和间断性的</w:t>
      </w:r>
      <w:r>
        <w:rPr>
          <w:rFonts w:hAnsi="宋体"/>
        </w:rPr>
        <w:t>。</w:t>
      </w:r>
      <w:r>
        <w:rPr>
          <w:rFonts w:hint="eastAsia" w:hAnsi="宋体"/>
        </w:rPr>
        <w:t>通过</w:t>
      </w:r>
      <w:r>
        <w:rPr>
          <w:rFonts w:hAnsi="宋体"/>
        </w:rPr>
        <w:t>采用</w:t>
      </w:r>
      <w:r>
        <w:rPr>
          <w:rFonts w:hint="eastAsia" w:hAnsi="宋体"/>
        </w:rPr>
        <w:t>围挡</w:t>
      </w:r>
      <w:r>
        <w:rPr>
          <w:rFonts w:hAnsi="宋体"/>
        </w:rPr>
        <w:t>、定期洒水、对运输车辆进行加盖篷布</w:t>
      </w:r>
      <w:r>
        <w:rPr>
          <w:rFonts w:hint="eastAsia" w:hAnsi="宋体"/>
        </w:rPr>
        <w:t>、</w:t>
      </w:r>
      <w:r>
        <w:rPr>
          <w:rFonts w:hAnsi="宋体"/>
        </w:rPr>
        <w:t>对</w:t>
      </w:r>
      <w:r>
        <w:rPr>
          <w:rFonts w:hint="eastAsia" w:hAnsi="宋体"/>
        </w:rPr>
        <w:t>建筑垃圾</w:t>
      </w:r>
      <w:r>
        <w:rPr>
          <w:rFonts w:hAnsi="宋体"/>
        </w:rPr>
        <w:t>及时处理清运</w:t>
      </w:r>
      <w:r>
        <w:rPr>
          <w:rFonts w:hint="eastAsia" w:hAnsi="宋体"/>
        </w:rPr>
        <w:t>、对</w:t>
      </w:r>
      <w:r>
        <w:rPr>
          <w:rFonts w:hAnsi="宋体"/>
        </w:rPr>
        <w:t>运输车辆定期检查，保持良好车况等措施</w:t>
      </w:r>
      <w:r>
        <w:rPr>
          <w:rFonts w:hint="eastAsia" w:hAnsi="宋体"/>
        </w:rPr>
        <w:t>，可</w:t>
      </w:r>
      <w:r>
        <w:rPr>
          <w:rFonts w:hAnsi="宋体"/>
        </w:rPr>
        <w:t>有效控制施工期废气对环境的影响。</w:t>
      </w:r>
    </w:p>
    <w:p>
      <w:pPr>
        <w:ind w:firstLine="480"/>
      </w:pPr>
      <w:r>
        <w:rPr>
          <w:rFonts w:hint="eastAsia" w:cs="宋体"/>
          <w:kern w:val="0"/>
          <w:szCs w:val="20"/>
        </w:rPr>
        <w:t>施工期废水来自施工人员的生活污水。</w:t>
      </w:r>
      <w:r>
        <w:t>依托</w:t>
      </w:r>
      <w:r>
        <w:rPr>
          <w:rFonts w:hint="eastAsia"/>
        </w:rPr>
        <w:t>厂区</w:t>
      </w:r>
      <w:r>
        <w:t>已建成的化粪池</w:t>
      </w:r>
      <w:r>
        <w:rPr>
          <w:rFonts w:hint="eastAsia"/>
        </w:rPr>
        <w:t>处理</w:t>
      </w:r>
      <w:r>
        <w:t>，经化粪池处理后排入</w:t>
      </w:r>
      <w:r>
        <w:rPr>
          <w:rFonts w:hint="eastAsia"/>
        </w:rPr>
        <w:t>吕河镇</w:t>
      </w:r>
      <w:r>
        <w:t>污水处理厂</w:t>
      </w:r>
      <w:r>
        <w:rPr>
          <w:rFonts w:hint="eastAsia"/>
        </w:rPr>
        <w:t>，</w:t>
      </w:r>
      <w:r>
        <w:t>对项目周围的水环境影响较小。</w:t>
      </w:r>
    </w:p>
    <w:p>
      <w:pPr>
        <w:ind w:firstLine="480"/>
        <w:jc w:val="left"/>
        <w:rPr>
          <w:rFonts w:cs="宋体"/>
          <w:kern w:val="0"/>
          <w:szCs w:val="20"/>
        </w:rPr>
      </w:pPr>
      <w:r>
        <w:rPr>
          <w:rFonts w:hint="eastAsia" w:cs="宋体"/>
          <w:kern w:val="0"/>
          <w:szCs w:val="20"/>
        </w:rPr>
        <w:t>施工期</w:t>
      </w:r>
      <w:r>
        <w:rPr>
          <w:rFonts w:cs="宋体"/>
          <w:kern w:val="0"/>
          <w:szCs w:val="20"/>
        </w:rPr>
        <w:t>噪声源主要为各种施工机械，</w:t>
      </w:r>
      <w:r>
        <w:rPr>
          <w:rFonts w:hint="eastAsia" w:cs="宋体"/>
          <w:kern w:val="0"/>
          <w:szCs w:val="20"/>
        </w:rPr>
        <w:t>通过</w:t>
      </w:r>
      <w:r>
        <w:rPr>
          <w:rFonts w:cs="宋体"/>
          <w:kern w:val="0"/>
          <w:szCs w:val="20"/>
        </w:rPr>
        <w:t>合理安排工期和施工工序，严格控制高噪声设备的运行时段，并按照《建筑施工</w:t>
      </w:r>
      <w:r>
        <w:rPr>
          <w:rFonts w:hint="eastAsia" w:cs="宋体"/>
          <w:kern w:val="0"/>
          <w:szCs w:val="20"/>
        </w:rPr>
        <w:t>场界环境噪声排放标准</w:t>
      </w:r>
      <w:r>
        <w:rPr>
          <w:rFonts w:cs="宋体"/>
          <w:kern w:val="0"/>
          <w:szCs w:val="20"/>
        </w:rPr>
        <w:t>》要求，</w:t>
      </w:r>
      <w:r>
        <w:rPr>
          <w:rFonts w:hint="eastAsia" w:cs="宋体"/>
          <w:kern w:val="0"/>
          <w:szCs w:val="20"/>
        </w:rPr>
        <w:t>合理</w:t>
      </w:r>
      <w:r>
        <w:rPr>
          <w:rFonts w:cs="宋体"/>
          <w:kern w:val="0"/>
          <w:szCs w:val="20"/>
        </w:rPr>
        <w:t>布设施工场地</w:t>
      </w:r>
      <w:r>
        <w:rPr>
          <w:rFonts w:hint="eastAsia" w:cs="宋体"/>
          <w:kern w:val="0"/>
          <w:szCs w:val="20"/>
        </w:rPr>
        <w:t>等</w:t>
      </w:r>
      <w:r>
        <w:rPr>
          <w:rFonts w:cs="宋体"/>
          <w:kern w:val="0"/>
          <w:szCs w:val="20"/>
        </w:rPr>
        <w:t>措施</w:t>
      </w:r>
      <w:r>
        <w:rPr>
          <w:rFonts w:hint="eastAsia" w:cs="宋体"/>
          <w:kern w:val="0"/>
          <w:szCs w:val="20"/>
        </w:rPr>
        <w:t>，</w:t>
      </w:r>
      <w:r>
        <w:rPr>
          <w:rFonts w:cs="宋体"/>
          <w:kern w:val="0"/>
          <w:szCs w:val="20"/>
        </w:rPr>
        <w:t>可有效控制施工期噪声对周围环境的影响。</w:t>
      </w:r>
    </w:p>
    <w:p>
      <w:pPr>
        <w:ind w:firstLine="480"/>
        <w:rPr>
          <w:rFonts w:hAnsi="宋体"/>
        </w:rPr>
      </w:pPr>
      <w:r>
        <w:rPr>
          <w:rFonts w:hint="eastAsia" w:cs="宋体"/>
          <w:kern w:val="0"/>
          <w:szCs w:val="20"/>
        </w:rPr>
        <w:t>施工期固体废物主要来自施工所产生的建筑垃圾以及施工人员产生的生活垃圾。</w:t>
      </w:r>
      <w:r>
        <w:rPr>
          <w:rFonts w:hAnsi="宋体"/>
        </w:rPr>
        <w:t>建筑垃圾收集后运往</w:t>
      </w:r>
      <w:r>
        <w:rPr>
          <w:rFonts w:hint="eastAsia" w:hAnsi="宋体"/>
        </w:rPr>
        <w:t>制定地点填埋</w:t>
      </w:r>
      <w:r>
        <w:rPr>
          <w:rFonts w:hAnsi="宋体"/>
        </w:rPr>
        <w:t>统一处理</w:t>
      </w:r>
      <w:r>
        <w:rPr>
          <w:rFonts w:hint="eastAsia" w:hAnsi="宋体"/>
        </w:rPr>
        <w:t>。</w:t>
      </w:r>
      <w:r>
        <w:rPr>
          <w:rFonts w:hint="eastAsia"/>
        </w:rPr>
        <w:t>生活垃圾</w:t>
      </w:r>
      <w:r>
        <w:t>集中收集，暂存于垃圾收集点，日产日清，由环卫部门统一运送到垃圾处理场集中处理。</w:t>
      </w:r>
    </w:p>
    <w:p>
      <w:pPr>
        <w:ind w:firstLine="480"/>
      </w:pPr>
      <w:r>
        <w:rPr>
          <w:rFonts w:hint="eastAsia" w:hAnsi="宋体"/>
        </w:rPr>
        <w:t>本项目施工期对周边环境的影响是暂时的，随着施工期的结束而消失。</w:t>
      </w:r>
    </w:p>
    <w:bookmarkEnd w:id="266"/>
    <w:p>
      <w:pPr>
        <w:pStyle w:val="3"/>
      </w:pPr>
      <w:bookmarkStart w:id="271" w:name="_Toc82502986"/>
      <w:r>
        <w:rPr>
          <w:rFonts w:hint="eastAsia"/>
        </w:rPr>
        <w:t>运营期环境影响</w:t>
      </w:r>
      <w:r>
        <w:t>分析及保护措施</w:t>
      </w:r>
      <w:bookmarkEnd w:id="271"/>
    </w:p>
    <w:p>
      <w:pPr>
        <w:pStyle w:val="4"/>
      </w:pPr>
      <w:r>
        <w:rPr>
          <w:rFonts w:hint="eastAsia"/>
        </w:rPr>
        <w:t>大气</w:t>
      </w:r>
      <w:r>
        <w:t>环境</w:t>
      </w:r>
      <w:r>
        <w:rPr>
          <w:rFonts w:hint="eastAsia"/>
        </w:rPr>
        <w:t>影响</w:t>
      </w:r>
      <w:r>
        <w:t>分析及保护措施</w:t>
      </w:r>
    </w:p>
    <w:p>
      <w:pPr>
        <w:ind w:firstLine="480"/>
      </w:pPr>
      <w:r>
        <w:rPr>
          <w:rFonts w:hint="eastAsia"/>
        </w:rPr>
        <w:t>（1）粉尘</w:t>
      </w:r>
    </w:p>
    <w:p>
      <w:pPr>
        <w:ind w:firstLine="480"/>
      </w:pPr>
      <w:r>
        <w:rPr>
          <w:rFonts w:hint="eastAsia"/>
        </w:rPr>
        <w:t>项目产生的粉尘主要为黄姜初清、粗粉、微粉工序过程中产生的粉尘，拟采用旋风收尘+布袋除尘+15m排气筒的措施进行处理，处置</w:t>
      </w:r>
      <w:r>
        <w:t>措施效率为</w:t>
      </w:r>
      <w:r>
        <w:rPr>
          <w:rFonts w:hint="eastAsia"/>
        </w:rPr>
        <w:t>99</w:t>
      </w:r>
      <w:r>
        <w:t>%</w:t>
      </w:r>
      <w:r>
        <w:rPr>
          <w:rFonts w:hint="eastAsia"/>
        </w:rPr>
        <w:t>，经旋风收尘+布袋除尘器处理后满足《大气污染物综合排放标准》（GB16297-1996）二级标准要求。</w:t>
      </w:r>
    </w:p>
    <w:p>
      <w:pPr>
        <w:ind w:firstLine="480"/>
      </w:pPr>
      <w:r>
        <w:rPr>
          <w:rFonts w:hint="eastAsia"/>
        </w:rPr>
        <w:t>（2）溶剂</w:t>
      </w:r>
      <w:r>
        <w:t>废气</w:t>
      </w:r>
    </w:p>
    <w:p>
      <w:pPr>
        <w:ind w:firstLine="480"/>
      </w:pPr>
      <w:r>
        <w:rPr>
          <w:rFonts w:hint="eastAsia"/>
        </w:rPr>
        <w:t>项目萃取环节采用甲醇进行萃取，通过蒸发浓缩-冷冻回收甲醇，甲醇冷冻回收对甲醇的处理效率以75%计算，甲醇回收排气筒排放的甲醇满足《挥发性有机物排放控制标准》（DB61/T 1061-2017）中医药制造行业标准（甲醇浓度60mg/m</w:t>
      </w:r>
      <w:r>
        <w:rPr>
          <w:rFonts w:hint="eastAsia"/>
          <w:vertAlign w:val="superscript"/>
        </w:rPr>
        <w:t>3</w:t>
      </w:r>
      <w:r>
        <w:rPr>
          <w:rFonts w:hint="eastAsia"/>
        </w:rPr>
        <w:t>），废气处理措施可行。</w:t>
      </w:r>
    </w:p>
    <w:p>
      <w:pPr>
        <w:ind w:firstLine="480"/>
      </w:pPr>
      <w:r>
        <w:rPr>
          <w:rFonts w:hint="eastAsia"/>
        </w:rPr>
        <w:t>项目提取工序采用石油醚进行提取，提取过程位于密闭的提取罐中，结晶析出后通过离心获取，离心脱离后的石油醚直接通过管道全部回流至提取罐循环使用。蒸发结晶工序产生的石油醚闭路循环至冷冻回收装置，冷冻回收的石油醚全部回用于生产。</w:t>
      </w:r>
    </w:p>
    <w:p>
      <w:pPr>
        <w:ind w:firstLine="480"/>
      </w:pPr>
      <w:r>
        <w:rPr>
          <w:rFonts w:hint="eastAsia"/>
        </w:rPr>
        <w:t>（3）天然气废气</w:t>
      </w:r>
    </w:p>
    <w:p>
      <w:pPr>
        <w:ind w:firstLine="480"/>
      </w:pPr>
      <w:r>
        <w:rPr>
          <w:rFonts w:hint="eastAsia"/>
        </w:rPr>
        <w:t>本项目设置1台</w:t>
      </w:r>
      <w:r>
        <w:t>4</w:t>
      </w:r>
      <w:r>
        <w:rPr>
          <w:rFonts w:hint="eastAsia"/>
        </w:rPr>
        <w:t>t/h燃气锅炉，燃料为天然气，锅炉通过加装低氮燃烧器后废气通过15m高排气筒排放。</w:t>
      </w:r>
      <w:r>
        <w:t>锅炉排放的烟尘、</w:t>
      </w:r>
      <w:r>
        <w:rPr>
          <w:rFonts w:hint="eastAsia"/>
        </w:rPr>
        <w:t>SO</w:t>
      </w:r>
      <w:r>
        <w:rPr>
          <w:rFonts w:hint="eastAsia"/>
          <w:vertAlign w:val="subscript"/>
        </w:rPr>
        <w:t>2</w:t>
      </w:r>
      <w:r>
        <w:rPr>
          <w:rFonts w:hint="eastAsia"/>
        </w:rPr>
        <w:t>、NOx均满足《锅炉大气污染物排放标准》（DB61/1226-2018）中燃气锅炉标准限值</w:t>
      </w:r>
    </w:p>
    <w:p>
      <w:pPr>
        <w:pStyle w:val="4"/>
      </w:pPr>
      <w:r>
        <w:rPr>
          <w:rFonts w:hint="eastAsia"/>
        </w:rPr>
        <w:t>地表水</w:t>
      </w:r>
      <w:r>
        <w:t>环境</w:t>
      </w:r>
      <w:r>
        <w:rPr>
          <w:rFonts w:hint="eastAsia"/>
        </w:rPr>
        <w:t>影响评价</w:t>
      </w:r>
      <w:r>
        <w:t>结论</w:t>
      </w:r>
    </w:p>
    <w:p>
      <w:pPr>
        <w:ind w:firstLine="480"/>
      </w:pPr>
      <w:r>
        <w:rPr>
          <w:rFonts w:hint="eastAsia"/>
        </w:rPr>
        <w:t>营运期的废水主要为员工生活污水、锅炉排污水和软水制备系统的浓水。生活污水经化粪池处理后排入吕河镇污水处理厂处理，锅炉排污水和软水制备系统浓水，排入雨水管网。外排污水满足《污水综合排放标准》（GB8978-1996）表4中三级标准及《污水排入城镇下水道水质标准》（GB/T 31962-2015）表1中B级标准，废水处理措施措施可行。</w:t>
      </w:r>
    </w:p>
    <w:p>
      <w:pPr>
        <w:pStyle w:val="4"/>
      </w:pPr>
      <w:r>
        <w:rPr>
          <w:rFonts w:hint="eastAsia"/>
        </w:rPr>
        <w:t>噪声</w:t>
      </w:r>
    </w:p>
    <w:p>
      <w:pPr>
        <w:pStyle w:val="87"/>
        <w:ind w:firstLine="480"/>
      </w:pPr>
      <w:r>
        <w:rPr>
          <w:rFonts w:hint="eastAsia"/>
        </w:rPr>
        <w:t>项目噪声主要来源于粉碎机、引风机、循环泵、出料泵、真空泵、冷却塔、空压机等机械设备。噪声防治对策首先从声源上进行控制，其次采取有效的隔声、减振</w:t>
      </w:r>
      <w:r>
        <w:t>、</w:t>
      </w:r>
      <w:r>
        <w:rPr>
          <w:rFonts w:hint="eastAsia"/>
        </w:rPr>
        <w:t>消声等控制措施，在采取降噪措施后，项目厂界噪声可满足《工业企业厂界环境噪声排放标准》（</w:t>
      </w:r>
      <w:r>
        <w:rPr>
          <w:rFonts w:ascii="TimesNewRomanPSMT" w:eastAsia="TimesNewRomanPSMT" w:cs="TimesNewRomanPSMT"/>
        </w:rPr>
        <w:t>GB12348-2008</w:t>
      </w:r>
      <w:r>
        <w:rPr>
          <w:rFonts w:hint="eastAsia"/>
        </w:rPr>
        <w:t>）</w:t>
      </w:r>
      <w:r>
        <w:rPr>
          <w:rFonts w:ascii="TimesNewRomanPSMT" w:eastAsia="TimesNewRomanPSMT" w:cs="TimesNewRomanPSMT"/>
        </w:rPr>
        <w:t>3</w:t>
      </w:r>
      <w:r>
        <w:rPr>
          <w:rFonts w:hint="eastAsia"/>
        </w:rPr>
        <w:t>类标准要求，不会对周围声环境产生影响。</w:t>
      </w:r>
    </w:p>
    <w:p>
      <w:pPr>
        <w:pStyle w:val="4"/>
      </w:pPr>
      <w:r>
        <w:rPr>
          <w:rFonts w:hint="eastAsia"/>
        </w:rPr>
        <w:t>固体废物</w:t>
      </w:r>
    </w:p>
    <w:p>
      <w:pPr>
        <w:ind w:firstLine="480"/>
      </w:pPr>
      <w:r>
        <w:rPr>
          <w:szCs w:val="24"/>
        </w:rPr>
        <w:t>项目运营后产生的固体废物主要为</w:t>
      </w:r>
      <w:r>
        <w:rPr>
          <w:rFonts w:hint="eastAsia"/>
          <w:szCs w:val="24"/>
        </w:rPr>
        <w:t>废渣、设备维修和保养过程中产生的废含油抹布、</w:t>
      </w:r>
      <w:r>
        <w:rPr>
          <w:rFonts w:hint="eastAsia"/>
        </w:rPr>
        <w:t>员工生活垃圾等</w:t>
      </w:r>
      <w:r>
        <w:t>。</w:t>
      </w:r>
      <w:r>
        <w:rPr>
          <w:rFonts w:hint="eastAsia"/>
        </w:rPr>
        <w:t>生活</w:t>
      </w:r>
      <w:r>
        <w:t>垃圾统一收集后由环卫</w:t>
      </w:r>
      <w:r>
        <w:rPr>
          <w:rFonts w:hint="eastAsia"/>
        </w:rPr>
        <w:t>部门</w:t>
      </w:r>
      <w:r>
        <w:t>统一清运、</w:t>
      </w:r>
      <w:r>
        <w:rPr>
          <w:rFonts w:hint="eastAsia"/>
        </w:rPr>
        <w:t>废</w:t>
      </w:r>
      <w:r>
        <w:t>含油抹布在危废暂存间暂存后交有资质</w:t>
      </w:r>
      <w:r>
        <w:rPr>
          <w:rFonts w:hint="eastAsia"/>
        </w:rPr>
        <w:t>单位</w:t>
      </w:r>
      <w:r>
        <w:t>处置</w:t>
      </w:r>
      <w:r>
        <w:rPr>
          <w:rFonts w:hint="eastAsia"/>
        </w:rPr>
        <w:t>，</w:t>
      </w:r>
      <w:r>
        <w:t>废渣为一般固废外售综合</w:t>
      </w:r>
      <w:r>
        <w:rPr>
          <w:rFonts w:hint="eastAsia"/>
        </w:rPr>
        <w:t>利用</w:t>
      </w:r>
      <w:r>
        <w:t>。</w:t>
      </w:r>
    </w:p>
    <w:p>
      <w:pPr>
        <w:pStyle w:val="4"/>
      </w:pPr>
      <w:r>
        <w:rPr>
          <w:rFonts w:hint="eastAsia"/>
        </w:rPr>
        <w:t>地下水</w:t>
      </w:r>
      <w:r>
        <w:t>及土壤</w:t>
      </w:r>
      <w:r>
        <w:rPr>
          <w:rFonts w:hint="eastAsia"/>
        </w:rPr>
        <w:t>环境</w:t>
      </w:r>
      <w:r>
        <w:t>影响评价结论</w:t>
      </w:r>
    </w:p>
    <w:p>
      <w:pPr>
        <w:pStyle w:val="87"/>
        <w:ind w:firstLine="480"/>
        <w:rPr>
          <w:rFonts w:ascii="宋体" w:hAnsi="宋体" w:cs="Times New Roman"/>
          <w:szCs w:val="24"/>
        </w:rPr>
      </w:pPr>
      <w:r>
        <w:rPr>
          <w:rFonts w:hint="eastAsia"/>
          <w:kern w:val="0"/>
        </w:rPr>
        <w:t>本项目地下水污染防治措施按照“源头控制、分区防治、污染监控、应急响应”相结合的原则，从污染物的产生、入渗、扩散、应急响应进行控制。地下</w:t>
      </w:r>
      <w:r>
        <w:rPr>
          <w:kern w:val="0"/>
        </w:rPr>
        <w:t>水主要污染统计为</w:t>
      </w:r>
      <w:r>
        <w:rPr>
          <w:rFonts w:hint="eastAsia"/>
          <w:kern w:val="0"/>
        </w:rPr>
        <w:t>项目厂区内生产装置、化粪池、污水管道跑、冒、滴、漏对地下水水质的影响。项目固体废弃物等临时贮存场地如处理不当，将会发生由雨水而使污染物入渗到地下水中的情况，对地下水水质造成影响。做好池体防渗处理，在生产运行过程中，必须强化监控手段，定期检查，保护评价区地下水水质，</w:t>
      </w:r>
      <w:r>
        <w:rPr>
          <w:rFonts w:hint="eastAsia" w:cs="Times New Roman"/>
          <w:szCs w:val="24"/>
        </w:rPr>
        <w:t>危险废物根据其危险特性进行分类贮存，危险</w:t>
      </w:r>
      <w:r>
        <w:rPr>
          <w:rFonts w:cs="Times New Roman"/>
          <w:szCs w:val="24"/>
        </w:rPr>
        <w:t>废物暂存间</w:t>
      </w:r>
      <w:r>
        <w:rPr>
          <w:rFonts w:hint="eastAsia" w:cs="Times New Roman"/>
          <w:szCs w:val="24"/>
        </w:rPr>
        <w:t>铺设水泥地面，并铺环氧树脂防渗，同时，配置堵截泄漏的裙脚，防止渗滤液流出</w:t>
      </w:r>
      <w:r>
        <w:rPr>
          <w:rFonts w:hint="eastAsia" w:ascii="宋体" w:hAnsi="宋体" w:cs="Times New Roman"/>
          <w:szCs w:val="24"/>
        </w:rPr>
        <w:t>。对收集的生活垃圾设置垃圾收集点，垃圾收集点地面进行了水泥硬化，并定期按环卫部门规定外运处置，从而避免因其堆放不当对浅层地下水造成的不利影响。总体来看，正常状况下，项目产生的废水经收集后均进行了妥善处理，不直接排入外环境，同时，厂区将进行有效的分区防渗，各污染物存贮建筑物基本不会有污水的泄漏情况发生，从而在源头上减少了污染物进入含水层的渗漏量。</w:t>
      </w:r>
    </w:p>
    <w:p>
      <w:pPr>
        <w:ind w:firstLine="480"/>
        <w:rPr>
          <w:kern w:val="0"/>
        </w:rPr>
      </w:pPr>
      <w:r>
        <w:rPr>
          <w:rFonts w:hint="eastAsia"/>
          <w:kern w:val="0"/>
        </w:rPr>
        <w:t>通过以上措施，项目的运行对地下水及土壤的影响较小。</w:t>
      </w:r>
    </w:p>
    <w:p>
      <w:pPr>
        <w:pStyle w:val="3"/>
        <w:rPr>
          <w:kern w:val="0"/>
        </w:rPr>
      </w:pPr>
      <w:bookmarkStart w:id="272" w:name="_Toc82502987"/>
      <w:bookmarkStart w:id="273" w:name="_Toc16081"/>
      <w:bookmarkStart w:id="274" w:name="_Toc488102200"/>
      <w:r>
        <w:rPr>
          <w:rFonts w:hint="eastAsia"/>
          <w:kern w:val="0"/>
        </w:rPr>
        <w:t>公众参与</w:t>
      </w:r>
      <w:bookmarkEnd w:id="272"/>
      <w:bookmarkEnd w:id="273"/>
      <w:bookmarkEnd w:id="274"/>
    </w:p>
    <w:p>
      <w:pPr>
        <w:ind w:firstLine="480"/>
      </w:pPr>
      <w:r>
        <w:rPr>
          <w:rFonts w:hint="eastAsia"/>
        </w:rPr>
        <w:t>建设单位通过一次和二次公示，公众对项目建设无反对意见。建设单位制定在切实有效地环保措施的</w:t>
      </w:r>
      <w:r>
        <w:t>前提下</w:t>
      </w:r>
      <w:r>
        <w:rPr>
          <w:rFonts w:hint="eastAsia"/>
        </w:rPr>
        <w:t>，同时接受社会和环保行政部门的监督，将由本项目建设期和运营期带来的环境影响降低到最低程度，最大限度的体现本项目的社会、环境效益。</w:t>
      </w:r>
    </w:p>
    <w:p>
      <w:pPr>
        <w:pStyle w:val="3"/>
      </w:pPr>
      <w:bookmarkStart w:id="275" w:name="_Toc82502988"/>
      <w:bookmarkStart w:id="276" w:name="_Toc488102204"/>
      <w:bookmarkStart w:id="277" w:name="_Toc486470424"/>
      <w:r>
        <w:rPr>
          <w:rFonts w:hint="eastAsia"/>
        </w:rPr>
        <w:t>总结论</w:t>
      </w:r>
      <w:bookmarkEnd w:id="275"/>
      <w:bookmarkEnd w:id="276"/>
      <w:bookmarkEnd w:id="277"/>
    </w:p>
    <w:p>
      <w:pPr>
        <w:ind w:firstLine="496"/>
        <w:rPr>
          <w:rFonts w:asciiTheme="minorEastAsia" w:hAnsiTheme="minorEastAsia" w:eastAsiaTheme="minorEastAsia"/>
          <w:spacing w:val="4"/>
        </w:rPr>
      </w:pPr>
      <w:r>
        <w:rPr>
          <w:rFonts w:asciiTheme="minorEastAsia" w:hAnsiTheme="minorEastAsia" w:eastAsiaTheme="minorEastAsia"/>
          <w:spacing w:val="4"/>
        </w:rPr>
        <w:t>综上所述，</w:t>
      </w:r>
      <w:r>
        <w:rPr>
          <w:rFonts w:hAnsiTheme="minorEastAsia" w:eastAsiaTheme="minorEastAsia"/>
        </w:rPr>
        <w:t>陕西宏达坤生物科技有限公司黄姜提取物研究基地项目</w:t>
      </w:r>
      <w:r>
        <w:rPr>
          <w:rFonts w:asciiTheme="minorEastAsia" w:hAnsiTheme="minorEastAsia" w:eastAsiaTheme="minorEastAsia"/>
          <w:spacing w:val="4"/>
        </w:rPr>
        <w:t>符合国家产业政策和当地发展规划</w:t>
      </w:r>
      <w:r>
        <w:rPr>
          <w:rFonts w:hint="eastAsia" w:asciiTheme="minorEastAsia" w:hAnsiTheme="minorEastAsia" w:eastAsiaTheme="minorEastAsia"/>
          <w:spacing w:val="4"/>
        </w:rPr>
        <w:t>，项目</w:t>
      </w:r>
      <w:r>
        <w:rPr>
          <w:rFonts w:asciiTheme="minorEastAsia" w:hAnsiTheme="minorEastAsia" w:eastAsiaTheme="minorEastAsia"/>
          <w:spacing w:val="4"/>
        </w:rPr>
        <w:t>选址及平面布置合理</w:t>
      </w:r>
      <w:r>
        <w:rPr>
          <w:rFonts w:hint="eastAsia" w:asciiTheme="minorEastAsia" w:hAnsiTheme="minorEastAsia" w:eastAsiaTheme="minorEastAsia"/>
          <w:spacing w:val="4"/>
        </w:rPr>
        <w:t>，采用的生产</w:t>
      </w:r>
      <w:r>
        <w:rPr>
          <w:rFonts w:asciiTheme="minorEastAsia" w:hAnsiTheme="minorEastAsia" w:eastAsiaTheme="minorEastAsia"/>
          <w:spacing w:val="4"/>
        </w:rPr>
        <w:t>工艺和污染治理措施技术先进</w:t>
      </w:r>
      <w:r>
        <w:rPr>
          <w:rFonts w:hint="eastAsia" w:asciiTheme="minorEastAsia" w:hAnsiTheme="minorEastAsia" w:eastAsiaTheme="minorEastAsia"/>
          <w:spacing w:val="4"/>
        </w:rPr>
        <w:t>、</w:t>
      </w:r>
      <w:r>
        <w:rPr>
          <w:rFonts w:asciiTheme="minorEastAsia" w:hAnsiTheme="minorEastAsia" w:eastAsiaTheme="minorEastAsia"/>
          <w:spacing w:val="4"/>
        </w:rPr>
        <w:t>经济可行</w:t>
      </w:r>
      <w:r>
        <w:rPr>
          <w:rFonts w:hint="eastAsia" w:asciiTheme="minorEastAsia" w:hAnsiTheme="minorEastAsia" w:eastAsiaTheme="minorEastAsia"/>
          <w:spacing w:val="4"/>
        </w:rPr>
        <w:t>，在严格执行“三同时”，并采取本环评提出的各项污染治理措施及环境管理措施后，项目运营期污染物排放能够稳定达标，对周围环境的影响较小，不会改变区域环境，环境风险可控，得到了项目区域公众的支持。从环境保护的角度分析，本项目的建设是可行的。</w:t>
      </w:r>
    </w:p>
    <w:p>
      <w:pPr>
        <w:pStyle w:val="3"/>
      </w:pPr>
      <w:bookmarkStart w:id="278" w:name="_Toc82502989"/>
      <w:r>
        <w:rPr>
          <w:rFonts w:hint="eastAsia"/>
        </w:rPr>
        <w:t>要求</w:t>
      </w:r>
      <w:r>
        <w:t>和建议</w:t>
      </w:r>
      <w:bookmarkEnd w:id="278"/>
    </w:p>
    <w:p>
      <w:pPr>
        <w:pStyle w:val="4"/>
      </w:pPr>
      <w:r>
        <w:rPr>
          <w:rFonts w:hint="eastAsia"/>
        </w:rPr>
        <w:t>要求</w:t>
      </w:r>
    </w:p>
    <w:p>
      <w:pPr>
        <w:ind w:firstLine="480"/>
      </w:pPr>
      <w:r>
        <w:rPr>
          <w:rFonts w:hint="eastAsia"/>
        </w:rPr>
        <w:t>（1）确保</w:t>
      </w:r>
      <w:r>
        <w:t>项目生产废气处理设备</w:t>
      </w:r>
      <w:r>
        <w:rPr>
          <w:rFonts w:hint="eastAsia"/>
        </w:rPr>
        <w:t>正常</w:t>
      </w:r>
      <w:r>
        <w:t>运行，废气污染物和厂界噪声达标排放</w:t>
      </w:r>
      <w:r>
        <w:rPr>
          <w:rFonts w:hint="eastAsia"/>
        </w:rPr>
        <w:t>；</w:t>
      </w:r>
    </w:p>
    <w:p>
      <w:pPr>
        <w:ind w:firstLine="480"/>
      </w:pPr>
      <w:r>
        <w:rPr>
          <w:rFonts w:hint="eastAsia"/>
        </w:rPr>
        <w:t>（2）废气</w:t>
      </w:r>
      <w:r>
        <w:t>处理设备配备专职管理人员</w:t>
      </w:r>
      <w:r>
        <w:rPr>
          <w:rFonts w:hint="eastAsia"/>
        </w:rPr>
        <w:t>，</w:t>
      </w:r>
      <w:r>
        <w:t>加强对危险废物的监管</w:t>
      </w:r>
      <w:r>
        <w:rPr>
          <w:rFonts w:hint="eastAsia"/>
        </w:rPr>
        <w:t>。</w:t>
      </w:r>
    </w:p>
    <w:p>
      <w:pPr>
        <w:pStyle w:val="4"/>
      </w:pPr>
      <w:r>
        <w:rPr>
          <w:rFonts w:hint="eastAsia"/>
        </w:rPr>
        <w:t>建议</w:t>
      </w:r>
    </w:p>
    <w:p>
      <w:pPr>
        <w:ind w:firstLine="480"/>
      </w:pPr>
      <w:r>
        <w:rPr>
          <w:rFonts w:hint="eastAsia"/>
        </w:rPr>
        <w:t>（1）加强监督管理，消除事故隐患，防止出现事故性和非正常污染排放。</w:t>
      </w:r>
    </w:p>
    <w:p>
      <w:pPr>
        <w:ind w:firstLine="480"/>
      </w:pPr>
      <w:r>
        <w:rPr>
          <w:rFonts w:hint="eastAsia"/>
        </w:rPr>
        <w:t>（2）建议</w:t>
      </w:r>
      <w:r>
        <w:t>进出厂车辆减速慢行，禁止鸣笛</w:t>
      </w:r>
      <w:r>
        <w:rPr>
          <w:rFonts w:hint="eastAsia"/>
        </w:rPr>
        <w:t>。</w:t>
      </w:r>
    </w:p>
    <w:p>
      <w:pPr>
        <w:ind w:firstLine="480"/>
      </w:pPr>
    </w:p>
    <w:sectPr>
      <w:headerReference r:id="rId68" w:type="default"/>
      <w:headerReference r:id="rId69" w:type="even"/>
      <w:type w:val="oddPage"/>
      <w:pgSz w:w="11906" w:h="16838"/>
      <w:pgMar w:top="1701" w:right="1418" w:bottom="1701" w:left="1418" w:header="992" w:footer="992" w:gutter="0"/>
      <w:pgNumType w:fmt="numberInDash"/>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10" w:usb3="00000000" w:csb0="00060001" w:csb1="00000000"/>
  </w:font>
  <w:font w:name="Cambria Math">
    <w:panose1 w:val="02040503050406030204"/>
    <w:charset w:val="00"/>
    <w:family w:val="roman"/>
    <w:pitch w:val="default"/>
    <w:sig w:usb0="E00002FF" w:usb1="420024FF" w:usb2="00000000" w:usb3="00000000" w:csb0="2000019F" w:csb1="00000000"/>
  </w:font>
  <w:font w:name="Segoe UI Symbol">
    <w:panose1 w:val="020B0502040204020203"/>
    <w:charset w:val="00"/>
    <w:family w:val="swiss"/>
    <w:pitch w:val="default"/>
    <w:sig w:usb0="8000006F" w:usb1="1200FBEF" w:usb2="0064C000" w:usb3="00000002" w:csb0="00000001" w:csb1="4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Chars="111"/>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43535" cy="196850"/>
              <wp:effectExtent l="0" t="635" r="1905" b="2540"/>
              <wp:wrapNone/>
              <wp:docPr id="2"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pPr>
                            <w:ind w:firstLine="360"/>
                            <w:rPr>
                              <w:sz w:val="18"/>
                            </w:rPr>
                          </w:pP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5.5pt;width:27.05pt;mso-position-horizontal:center;mso-position-horizontal-relative:margin;mso-wrap-style:none;z-index:251658240;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ajrpdEAAAADAQAADwAAAAAAAAABACAAAAAiAAAAZHJzL2Rvd25yZXYueG1sUEsBAhQAFAAAAAgA&#10;h07iQO2Kv8HzAQAAtwMAAA4AAAAAAAAAAQAgAAAAIAEAAGRycy9lMm9Eb2MueG1sUEsFBgAAAAAG&#10;AAYAWQEAAIUFAAAAAA==&#10;">
              <v:fill on="f" focussize="0,0"/>
              <v:stroke on="f"/>
              <v:imagedata o:title=""/>
              <o:lock v:ext="edit" aspectratio="f"/>
              <v:textbox inset="0mm,0mm,0mm,0mm" style="mso-fit-shape-to-text:t;">
                <w:txbxContent>
                  <w:p>
                    <w:pPr>
                      <w:ind w:firstLine="360"/>
                      <w:rPr>
                        <w:sz w:val="18"/>
                      </w:rPr>
                    </w:pP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343535" cy="196850"/>
              <wp:effectExtent l="0" t="635" r="1905" b="2540"/>
              <wp:wrapNone/>
              <wp:docPr id="1"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343535" cy="196850"/>
                      </a:xfrm>
                      <a:prstGeom prst="rect">
                        <a:avLst/>
                      </a:prstGeom>
                      <a:noFill/>
                      <a:ln>
                        <a:noFill/>
                      </a:ln>
                    </wps:spPr>
                    <wps:txbx>
                      <w:txbxContent>
                        <w:p>
                          <w:pPr>
                            <w:ind w:firstLine="360"/>
                            <w:rPr>
                              <w:sz w:val="18"/>
                            </w:rPr>
                          </w:pPr>
                        </w:p>
                      </w:txbxContent>
                    </wps:txbx>
                    <wps:bodyPr rot="0" vert="horz" wrap="none" lIns="0" tIns="0" rIns="0" bIns="0" anchor="t" anchorCtr="0" upright="1">
                      <a:spAutoFit/>
                    </wps:bodyPr>
                  </wps:wsp>
                </a:graphicData>
              </a:graphic>
            </wp:anchor>
          </w:drawing>
        </mc:Choice>
        <mc:Fallback>
          <w:pict>
            <v:shape id="文本框 1028" o:spid="_x0000_s1026" o:spt="202" type="#_x0000_t202" style="position:absolute;left:0pt;margin-top:0pt;height:15.5pt;width:27.05pt;mso-position-horizontal:center;mso-position-horizontal-relative:margin;mso-wrap-style:none;z-index:251657216;mso-width-relative:page;mso-height-relative:page;" filled="f" stroked="f" coordsize="21600,21600" o:gfxdata="UEsDBAoAAAAAAIdO4kAAAAAAAAAAAAAAAAAEAAAAZHJzL1BLAwQUAAAACACHTuJAnajrpd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qOul0QAAAAMBAAAPAAAAAAAAAAEAIAAAACIAAABkcnMvZG93bnJldi54bWxQSwECFAAUAAAACACH&#10;TuJAKZYgF/IBAAC3AwAADgAAAAAAAAABACAAAAAgAQAAZHJzL2Uyb0RvYy54bWxQSwUGAAAAAAYA&#10;BgBZAQAAhAUAAAAA&#10;">
              <v:fill on="f" focussize="0,0"/>
              <v:stroke on="f"/>
              <v:imagedata o:title=""/>
              <o:lock v:ext="edit" aspectratio="f"/>
              <v:textbox inset="0mm,0mm,0mm,0mm" style="mso-fit-shape-to-text:t;">
                <w:txbxContent>
                  <w:p>
                    <w:pPr>
                      <w:ind w:firstLine="360"/>
                      <w:rPr>
                        <w:sz w:val="18"/>
                      </w:rPr>
                    </w:pP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4313320"/>
      <w:docPartObj>
        <w:docPartGallery w:val="AutoText"/>
      </w:docPartObj>
    </w:sdtPr>
    <w:sdtContent>
      <w:p>
        <w:pPr>
          <w:pStyle w:val="22"/>
          <w:pBdr>
            <w:top w:val="single" w:color="auto" w:sz="4" w:space="0"/>
          </w:pBdr>
          <w:ind w:firstLine="360"/>
          <w:jc w:val="center"/>
        </w:pPr>
        <w:r>
          <w:fldChar w:fldCharType="begin"/>
        </w:r>
        <w:r>
          <w:instrText xml:space="preserve">PAGE   \* MERGEFORMAT</w:instrText>
        </w:r>
        <w:r>
          <w:fldChar w:fldCharType="separate"/>
        </w:r>
        <w:r>
          <w:rPr>
            <w:lang w:val="zh-CN"/>
          </w:rPr>
          <w:t>IV</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single" w:color="auto" w:sz="6" w:space="1"/>
      </w:pBdr>
      <w:spacing w:line="240" w:lineRule="auto"/>
      <w:ind w:firstLine="0" w:firstLineChars="0"/>
      <w:jc w:val="both"/>
    </w:pPr>
    <w:r>
      <w:ptab w:relativeTo="margin" w:alignment="center" w:leader="none"/>
    </w:r>
    <w:r>
      <w:rPr>
        <w:sz w:val="21"/>
        <w:szCs w:val="21"/>
      </w:rPr>
      <w:fldChar w:fldCharType="begin"/>
    </w:r>
    <w:r>
      <w:rPr>
        <w:sz w:val="21"/>
        <w:szCs w:val="21"/>
      </w:rPr>
      <w:instrText xml:space="preserve"> PAGE  \* ROMAN  \* MERGEFORMAT </w:instrText>
    </w:r>
    <w:r>
      <w:rPr>
        <w:sz w:val="21"/>
        <w:szCs w:val="21"/>
      </w:rPr>
      <w:fldChar w:fldCharType="separate"/>
    </w:r>
    <w:r>
      <w:rPr>
        <w:sz w:val="21"/>
        <w:szCs w:val="21"/>
        <w:lang w:val="zh-CN"/>
      </w:rPr>
      <w:t>III</w:t>
    </w:r>
    <w:r>
      <w:rPr>
        <w:sz w:val="21"/>
        <w:szCs w:val="21"/>
      </w:rPr>
      <w:fldChar w:fldCharType="end"/>
    </w:r>
    <w: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4023529"/>
      <w:docPartObj>
        <w:docPartGallery w:val="AutoText"/>
      </w:docPartObj>
    </w:sdtPr>
    <w:sdtContent>
      <w:p>
        <w:pPr>
          <w:pStyle w:val="22"/>
          <w:pBdr>
            <w:top w:val="single" w:color="auto" w:sz="4" w:space="1"/>
          </w:pBdr>
          <w:ind w:firstLine="360"/>
          <w:jc w:val="center"/>
        </w:pPr>
        <w:r>
          <w:fldChar w:fldCharType="begin"/>
        </w:r>
        <w:r>
          <w:instrText xml:space="preserve">PAGE   \* MERGEFORMAT</w:instrText>
        </w:r>
        <w:r>
          <w:fldChar w:fldCharType="separate"/>
        </w:r>
        <w:r>
          <w:rPr>
            <w:lang w:val="zh-CN"/>
          </w:rPr>
          <w:t>-</w:t>
        </w:r>
        <w:r>
          <w:t xml:space="preserve"> 37 -</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5166195"/>
      <w:docPartObj>
        <w:docPartGallery w:val="AutoText"/>
      </w:docPartObj>
    </w:sdtPr>
    <w:sdtContent>
      <w:p>
        <w:pPr>
          <w:pStyle w:val="22"/>
          <w:pBdr>
            <w:top w:val="single" w:color="auto" w:sz="4" w:space="0"/>
          </w:pBdr>
          <w:ind w:firstLine="360"/>
          <w:jc w:val="center"/>
        </w:pPr>
        <w:r>
          <w:fldChar w:fldCharType="begin"/>
        </w:r>
        <w:r>
          <w:instrText xml:space="preserve">PAGE   \* MERGEFORMAT</w:instrText>
        </w:r>
        <w:r>
          <w:fldChar w:fldCharType="separate"/>
        </w:r>
        <w:r>
          <w:rPr>
            <w:lang w:val="zh-CN"/>
          </w:rPr>
          <w:t>-</w:t>
        </w:r>
        <w:r>
          <w:t xml:space="preserve"> 38 -</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总则</w:t>
    </w:r>
    <w:r>
      <w:t xml:space="preserve">                                           </w:t>
    </w:r>
    <w:r>
      <w:rPr>
        <w:rFonts w:hint="eastAsia"/>
      </w:rPr>
      <w:t>陕西宏达坤</w:t>
    </w:r>
    <w:r>
      <w:t>生物科技有限公司黄姜提取物研究基地项目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工程分析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工程分析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工程分析</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 xml:space="preserve">陕西宏达坤生物科技有限公司黄姜提取物研究基地项目  </w:t>
    </w:r>
    <w:r>
      <w:t xml:space="preserve">                                                                                                 </w:t>
    </w:r>
    <w:r>
      <w:rPr>
        <w:rFonts w:hint="eastAsia"/>
      </w:rPr>
      <w:t>工程分析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工程分析</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 xml:space="preserve">陕西宏达坤生物科技有限公司黄姜提取物研究基地项目  </w:t>
    </w:r>
    <w:r>
      <w:t xml:space="preserve">                                                                                                </w:t>
    </w:r>
    <w:r>
      <w:rPr>
        <w:rFonts w:hint="eastAsia"/>
      </w:rPr>
      <w:t>工程分析</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工程分析</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 xml:space="preserve">陕西宏达坤生物科技有限公司黄姜提取物研究基地项目  </w:t>
    </w:r>
    <w:r>
      <w:t xml:space="preserve">                                                                                                </w:t>
    </w:r>
    <w:r>
      <w:rPr>
        <w:rFonts w:hint="eastAsia"/>
      </w:rPr>
      <w:t>工程分析</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工程分析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工程分析</w:t>
    </w:r>
    <w:r>
      <w:t xml:space="preserve">                                            </w:t>
    </w:r>
    <w:r>
      <w:rPr>
        <w:rFonts w:hint="eastAsia"/>
      </w:rPr>
      <w:t>陕西宏达坤</w:t>
    </w:r>
    <w:r>
      <w:t>生物科技有限公司黄姜提取物研究基地项目</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环境现状</w:t>
    </w:r>
    <w:r>
      <w:t>调查与评价</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2"/>
      </w:pBdr>
      <w:spacing w:line="240" w:lineRule="auto"/>
      <w:ind w:firstLine="0" w:firstLineChars="0"/>
      <w:jc w:val="left"/>
    </w:pPr>
    <w:r>
      <w:rPr>
        <w:rFonts w:hint="eastAsia"/>
      </w:rPr>
      <w:t>环境现状调查</w:t>
    </w:r>
    <w:r>
      <w:t>与评价</w:t>
    </w:r>
    <w:r>
      <w:rPr>
        <w:rFonts w:hint="eastAsia"/>
      </w:rPr>
      <w:t xml:space="preserve">   </w:t>
    </w:r>
    <w:r>
      <w:t xml:space="preserve">                               </w:t>
    </w:r>
    <w:r>
      <w:rPr>
        <w:rFonts w:hint="eastAsia"/>
      </w:rPr>
      <w:t>陕西宏达坤</w:t>
    </w:r>
    <w:r>
      <w:t>生物科技有限公司黄姜提取物研究基地项目</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环境现状</w:t>
    </w:r>
    <w:r>
      <w:t>调查与评价</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2"/>
      </w:pBdr>
      <w:spacing w:line="240" w:lineRule="auto"/>
      <w:ind w:firstLine="0" w:firstLineChars="0"/>
      <w:jc w:val="left"/>
    </w:pPr>
    <w:r>
      <w:rPr>
        <w:rFonts w:hint="eastAsia"/>
      </w:rPr>
      <w:t>环境现状调查</w:t>
    </w:r>
    <w:r>
      <w:t>与评价</w:t>
    </w:r>
    <w:r>
      <w:rPr>
        <w:rFonts w:hint="eastAsia"/>
      </w:rPr>
      <w:t xml:space="preserve">   </w:t>
    </w:r>
    <w:r>
      <w:t xml:space="preserve">                               </w:t>
    </w:r>
    <w:r>
      <w:rPr>
        <w:rFonts w:hint="eastAsia"/>
      </w:rPr>
      <w:t>陕西宏达坤</w:t>
    </w:r>
    <w:r>
      <w:t>生物科技有限公司黄姜提取物研究基地项目</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w:t>
    </w:r>
    <w:r>
      <w:t>影响预测与评价</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2"/>
      </w:pBdr>
      <w:spacing w:line="240" w:lineRule="auto"/>
      <w:ind w:firstLine="0" w:firstLineChars="0"/>
      <w:jc w:val="left"/>
    </w:pPr>
    <w:r>
      <w:rPr>
        <w:rFonts w:hint="eastAsia"/>
      </w:rPr>
      <w:t>环境现状调查</w:t>
    </w:r>
    <w:r>
      <w:t>与评价</w:t>
    </w:r>
    <w:r>
      <w:rPr>
        <w:rFonts w:hint="eastAsia"/>
      </w:rPr>
      <w:t xml:space="preserve">  </w:t>
    </w:r>
    <w:r>
      <w:t xml:space="preserve">                                </w:t>
    </w:r>
    <w:r>
      <w:rPr>
        <w:rFonts w:hint="eastAsia"/>
      </w:rPr>
      <w:t>陕西宏达坤</w:t>
    </w:r>
    <w:r>
      <w:t>生物科技有限公司黄姜提取物研究基地项目</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w:t>
    </w:r>
    <w:r>
      <w:t>影响预测与评价</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环境影响</w:t>
    </w:r>
    <w:r>
      <w:t>预测与评价</w:t>
    </w:r>
    <w:r>
      <w:rPr>
        <w:rFonts w:hint="eastAsia"/>
      </w:rPr>
      <w:t xml:space="preserve">  </w:t>
    </w:r>
    <w:r>
      <w:t xml:space="preserve">                                                                                       </w:t>
    </w:r>
    <w:r>
      <w:rPr>
        <w:rFonts w:hint="eastAsia"/>
      </w:rPr>
      <w:t>陕西宏达坤</w:t>
    </w:r>
    <w:r>
      <w:t>生物科技有限公司黄姜提取物研究基地项目</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w:t>
    </w:r>
    <w:r>
      <w:t>影响预测与评价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 xml:space="preserve"> </w:t>
    </w:r>
    <w:r>
      <w:t xml:space="preserve">   </w:t>
    </w:r>
    <w:r>
      <w:rPr>
        <w:rFonts w:hint="eastAsia"/>
      </w:rPr>
      <w:t xml:space="preserve">  目录</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环境影响</w:t>
    </w:r>
    <w:r>
      <w:t xml:space="preserve">预测与评价                                  </w:t>
    </w:r>
    <w:r>
      <w:rPr>
        <w:rFonts w:hint="eastAsia"/>
      </w:rPr>
      <w:t>陕西宏达坤</w:t>
    </w:r>
    <w:r>
      <w:t>生物科技有限公司黄姜提取物研究基地项目</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w:t>
    </w:r>
    <w:r>
      <w:t>影响预测与评价</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环境影响</w:t>
    </w:r>
    <w:r>
      <w:t xml:space="preserve">预测与评价                                                                                         </w:t>
    </w:r>
    <w:r>
      <w:rPr>
        <w:rFonts w:hint="eastAsia"/>
      </w:rPr>
      <w:t>陕西宏达坤</w:t>
    </w:r>
    <w:r>
      <w:t>生物科技有限公司黄姜提取物研究基地项目</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w:t>
    </w:r>
    <w:r>
      <w:t>影响预测与评价</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环境影响</w:t>
    </w:r>
    <w:r>
      <w:t xml:space="preserve">预测与评价                                  </w:t>
    </w:r>
    <w:r>
      <w:rPr>
        <w:rFonts w:hint="eastAsia"/>
      </w:rPr>
      <w:t>陕西宏达坤</w:t>
    </w:r>
    <w:r>
      <w:t>生物科技有限公司黄姜提取物研究基地项目</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环境风险</w:t>
    </w:r>
    <w:r>
      <w:t>评价</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环境风险评价</w:t>
    </w:r>
    <w:r>
      <w:t xml:space="preserve">                                        </w:t>
    </w:r>
    <w:r>
      <w:rPr>
        <w:rFonts w:hint="eastAsia"/>
      </w:rPr>
      <w:t>陕西宏达坤</w:t>
    </w:r>
    <w:r>
      <w:t>生物科技有限公司黄姜提取物研究基地项目</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w:t>
    </w:r>
    <w:r>
      <w:t>保护措施及其可行性论证</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环境保护措施</w:t>
    </w:r>
    <w:r>
      <w:t xml:space="preserve">及其可行性论证                          </w:t>
    </w:r>
    <w:r>
      <w:rPr>
        <w:rFonts w:hint="eastAsia"/>
      </w:rPr>
      <w:t>陕西宏达坤</w:t>
    </w:r>
    <w:r>
      <w:t>生物科技有限公司黄姜提取物研究基地项目</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环境影响经济</w:t>
    </w:r>
    <w:r>
      <w:t>损益分析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 xml:space="preserve">目录  </w:t>
    </w:r>
    <w:r>
      <w:t xml:space="preserve">                                              </w:t>
    </w:r>
    <w:r>
      <w:rPr>
        <w:rFonts w:hint="eastAsia"/>
      </w:rPr>
      <w:t>陕西宏达坤</w:t>
    </w:r>
    <w:r>
      <w:t>生物科技有限公司黄姜提取物研究基地项目</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环境影响</w:t>
    </w:r>
    <w:r>
      <w:t>经济损益分析</w:t>
    </w:r>
    <w:r>
      <w:rPr>
        <w:rFonts w:hint="eastAsia"/>
      </w:rPr>
      <w:t xml:space="preserve">     </w:t>
    </w:r>
    <w:r>
      <w:t xml:space="preserve">                           </w:t>
    </w:r>
    <w:r>
      <w:rPr>
        <w:rFonts w:hint="eastAsia"/>
      </w:rPr>
      <w:t>陕西宏达坤</w:t>
    </w:r>
    <w:r>
      <w:t>生物科技有限公司黄姜提取物研究基地项目</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环境管理</w:t>
    </w:r>
    <w:r>
      <w:t>与监测计划</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环境管理与监测</w:t>
    </w:r>
    <w:r>
      <w:t>计划</w:t>
    </w:r>
    <w:r>
      <w:rPr>
        <w:rFonts w:hint="eastAsia"/>
      </w:rPr>
      <w:t xml:space="preserve">     </w:t>
    </w:r>
    <w:r>
      <w:t xml:space="preserve">                             </w:t>
    </w:r>
    <w:r>
      <w:rPr>
        <w:rFonts w:hint="eastAsia"/>
      </w:rPr>
      <w:t>陕西宏达坤</w:t>
    </w:r>
    <w:r>
      <w:t>生物科技有限公司黄姜提取物研究基地项目</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环境管理</w:t>
    </w:r>
    <w:r>
      <w:t>与监测计划</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环境管理与监测</w:t>
    </w:r>
    <w:r>
      <w:t>计划</w:t>
    </w:r>
    <w:r>
      <w:rPr>
        <w:rFonts w:hint="eastAsia"/>
      </w:rPr>
      <w:t xml:space="preserve">     </w:t>
    </w:r>
    <w:r>
      <w:t xml:space="preserve">                                                                                    </w:t>
    </w:r>
    <w:r>
      <w:rPr>
        <w:rFonts w:hint="eastAsia"/>
      </w:rPr>
      <w:t>陕西宏达坤</w:t>
    </w:r>
    <w:r>
      <w:t>生物科技有限公司黄姜提取物研究基地项目</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环境管理</w:t>
    </w:r>
    <w:r>
      <w:t>与监测计划</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环境管理与监测</w:t>
    </w:r>
    <w:r>
      <w:t>计划</w:t>
    </w:r>
    <w:r>
      <w:rPr>
        <w:rFonts w:hint="eastAsia"/>
      </w:rPr>
      <w:t xml:space="preserve">     </w:t>
    </w:r>
    <w:r>
      <w:t xml:space="preserve">                             </w:t>
    </w:r>
    <w:r>
      <w:rPr>
        <w:rFonts w:hint="eastAsia"/>
      </w:rPr>
      <w:t>陕西宏达坤</w:t>
    </w:r>
    <w:r>
      <w:t>生物科技有限公司黄姜提取物研究基地项目</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环境管理</w:t>
    </w:r>
    <w:r>
      <w:t>与监测计划</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环境管理与监测</w:t>
    </w:r>
    <w:r>
      <w:t>计划</w:t>
    </w:r>
    <w:r>
      <w:rPr>
        <w:rFonts w:hint="eastAsia"/>
      </w:rPr>
      <w:t xml:space="preserve">     </w:t>
    </w:r>
    <w:r>
      <w:t xml:space="preserve">                                                                                    </w:t>
    </w:r>
    <w:r>
      <w:rPr>
        <w:rFonts w:hint="eastAsia"/>
      </w:rPr>
      <w:t>陕西宏达坤</w:t>
    </w:r>
    <w:r>
      <w:t>生物科技有限公司黄姜提取物研究基地项目</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0"/>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结论和</w:t>
    </w:r>
    <w:r>
      <w:t>建议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 xml:space="preserve">结论和建议    </w:t>
    </w:r>
    <w:r>
      <w:t xml:space="preserve">                                      </w:t>
    </w:r>
    <w:r>
      <w:rPr>
        <w:rFonts w:hint="eastAsia"/>
      </w:rPr>
      <w:t>陕西宏达坤</w:t>
    </w:r>
    <w:r>
      <w:t>生物科技有限公司黄姜提取物研究基地项目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概述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概述</w:t>
    </w:r>
    <w:r>
      <w:t xml:space="preserve">                                                </w:t>
    </w:r>
    <w:r>
      <w:rPr>
        <w:rFonts w:hint="eastAsia"/>
      </w:rPr>
      <w:t>陕西宏达坤</w:t>
    </w:r>
    <w:r>
      <w:t>生物科技有限公司黄姜提取物研究基地项目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spacing w:line="240" w:lineRule="auto"/>
      <w:ind w:firstLine="0" w:firstLineChars="0"/>
      <w:jc w:val="left"/>
    </w:pPr>
    <w:r>
      <w:rPr>
        <w:rFonts w:hint="eastAsia"/>
      </w:rPr>
      <w:t>陕西宏达坤</w:t>
    </w:r>
    <w:r>
      <w:t>生物科技有限公司黄姜提取物研究基地项目</w:t>
    </w:r>
    <w:r>
      <w:rPr>
        <w:rFonts w:hint="eastAsia"/>
      </w:rPr>
      <w:t xml:space="preserve"> </w:t>
    </w:r>
    <w:r>
      <w:t xml:space="preserve">                                               </w:t>
    </w:r>
    <w:r>
      <w:rPr>
        <w:rFonts w:hint="eastAsia"/>
      </w:rPr>
      <w:t>总则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3F38"/>
    <w:multiLevelType w:val="multilevel"/>
    <w:tmpl w:val="063F3F38"/>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F62F6B"/>
    <w:multiLevelType w:val="multilevel"/>
    <w:tmpl w:val="0EF62F6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C104D45"/>
    <w:multiLevelType w:val="multilevel"/>
    <w:tmpl w:val="1C104D45"/>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9FF631B"/>
    <w:multiLevelType w:val="multilevel"/>
    <w:tmpl w:val="29FF631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7D6432"/>
    <w:multiLevelType w:val="multilevel"/>
    <w:tmpl w:val="2C7D6432"/>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D376389"/>
    <w:multiLevelType w:val="multilevel"/>
    <w:tmpl w:val="2D376389"/>
    <w:lvl w:ilvl="0" w:tentative="0">
      <w:start w:val="1"/>
      <w:numFmt w:val="decimal"/>
      <w:suff w:val="nothing"/>
      <w:lvlText w:val="%1"/>
      <w:lvlJc w:val="center"/>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FFC0FC0"/>
    <w:multiLevelType w:val="multilevel"/>
    <w:tmpl w:val="2FFC0FC0"/>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3AFE61EE"/>
    <w:multiLevelType w:val="multilevel"/>
    <w:tmpl w:val="3AFE61E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15C2AEA"/>
    <w:multiLevelType w:val="multilevel"/>
    <w:tmpl w:val="415C2AEA"/>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04E169B"/>
    <w:multiLevelType w:val="multilevel"/>
    <w:tmpl w:val="504E169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3807757"/>
    <w:multiLevelType w:val="multilevel"/>
    <w:tmpl w:val="63807757"/>
    <w:lvl w:ilvl="0" w:tentative="0">
      <w:start w:val="1"/>
      <w:numFmt w:val="decimal"/>
      <w:pStyle w:val="2"/>
      <w:suff w:val="space"/>
      <w:lvlText w:val="%1"/>
      <w:lvlJc w:val="center"/>
      <w:pPr>
        <w:ind w:left="3114" w:firstLine="288"/>
      </w:pPr>
      <w:rPr>
        <w:rFonts w:hint="eastAsia"/>
      </w:rPr>
    </w:lvl>
    <w:lvl w:ilvl="1" w:tentative="0">
      <w:start w:val="1"/>
      <w:numFmt w:val="decimal"/>
      <w:pStyle w:val="3"/>
      <w:suff w:val="space"/>
      <w:lvlText w:val="%1.%2"/>
      <w:lvlJc w:val="left"/>
      <w:pPr>
        <w:ind w:left="1701" w:firstLine="0"/>
      </w:pPr>
      <w:rPr>
        <w:rFonts w:hint="default" w:ascii="Times New Roman" w:hAnsi="Times New Roman" w:eastAsia="宋体"/>
      </w:rPr>
    </w:lvl>
    <w:lvl w:ilvl="2" w:tentative="0">
      <w:start w:val="1"/>
      <w:numFmt w:val="decimal"/>
      <w:pStyle w:val="4"/>
      <w:suff w:val="space"/>
      <w:lvlText w:val="%1.%2.%3"/>
      <w:lvlJc w:val="left"/>
      <w:pPr>
        <w:ind w:left="1276" w:firstLine="0"/>
      </w:pPr>
      <w:rPr>
        <w:rFonts w:hint="eastAsia"/>
      </w:rPr>
    </w:lvl>
    <w:lvl w:ilvl="3" w:tentative="0">
      <w:start w:val="1"/>
      <w:numFmt w:val="decimal"/>
      <w:pStyle w:val="5"/>
      <w:suff w:val="space"/>
      <w:lvlText w:val="%1.%2.%3.%4"/>
      <w:lvlJc w:val="left"/>
      <w:pPr>
        <w:ind w:left="3543" w:firstLine="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none"/>
      <w:lvlRestart w:val="0"/>
      <w:pStyle w:val="6"/>
      <w:suff w:val="nothing"/>
      <w:lvlText w:val=""/>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710355B5"/>
    <w:multiLevelType w:val="multilevel"/>
    <w:tmpl w:val="710355B5"/>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32A6406"/>
    <w:multiLevelType w:val="multilevel"/>
    <w:tmpl w:val="732A6406"/>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A1B212E"/>
    <w:multiLevelType w:val="multilevel"/>
    <w:tmpl w:val="7A1B212E"/>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D697C0A"/>
    <w:multiLevelType w:val="multilevel"/>
    <w:tmpl w:val="7D697C0A"/>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9"/>
  </w:num>
  <w:num w:numId="3">
    <w:abstractNumId w:val="2"/>
  </w:num>
  <w:num w:numId="4">
    <w:abstractNumId w:val="11"/>
  </w:num>
  <w:num w:numId="5">
    <w:abstractNumId w:val="12"/>
  </w:num>
  <w:num w:numId="6">
    <w:abstractNumId w:val="6"/>
  </w:num>
  <w:num w:numId="7">
    <w:abstractNumId w:val="8"/>
  </w:num>
  <w:num w:numId="8">
    <w:abstractNumId w:val="14"/>
  </w:num>
  <w:num w:numId="9">
    <w:abstractNumId w:val="4"/>
  </w:num>
  <w:num w:numId="10">
    <w:abstractNumId w:val="3"/>
  </w:num>
  <w:num w:numId="11">
    <w:abstractNumId w:val="1"/>
  </w:num>
  <w:num w:numId="12">
    <w:abstractNumId w:val="13"/>
  </w:num>
  <w:num w:numId="13">
    <w:abstractNumId w:val="0"/>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hideGrammaticalErrors/>
  <w:documentProtection w:enforcement="0"/>
  <w:defaultTabStop w:val="420"/>
  <w:evenAndOddHeaders w:val="1"/>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78A"/>
    <w:rsid w:val="00000BE9"/>
    <w:rsid w:val="00001458"/>
    <w:rsid w:val="000015D6"/>
    <w:rsid w:val="00001852"/>
    <w:rsid w:val="00001B26"/>
    <w:rsid w:val="0000231E"/>
    <w:rsid w:val="00003417"/>
    <w:rsid w:val="00003B76"/>
    <w:rsid w:val="00004701"/>
    <w:rsid w:val="000054D8"/>
    <w:rsid w:val="00005521"/>
    <w:rsid w:val="00005B27"/>
    <w:rsid w:val="000061ED"/>
    <w:rsid w:val="000062AF"/>
    <w:rsid w:val="00006A61"/>
    <w:rsid w:val="00010535"/>
    <w:rsid w:val="00010680"/>
    <w:rsid w:val="00011DF9"/>
    <w:rsid w:val="0001247A"/>
    <w:rsid w:val="00013128"/>
    <w:rsid w:val="00014FF9"/>
    <w:rsid w:val="0001649C"/>
    <w:rsid w:val="000164AE"/>
    <w:rsid w:val="00016A09"/>
    <w:rsid w:val="00017531"/>
    <w:rsid w:val="00021D09"/>
    <w:rsid w:val="00022B03"/>
    <w:rsid w:val="000234B0"/>
    <w:rsid w:val="000243CF"/>
    <w:rsid w:val="000245CB"/>
    <w:rsid w:val="00024930"/>
    <w:rsid w:val="00025719"/>
    <w:rsid w:val="000262EA"/>
    <w:rsid w:val="000301E2"/>
    <w:rsid w:val="0003068B"/>
    <w:rsid w:val="00030D33"/>
    <w:rsid w:val="00030EA6"/>
    <w:rsid w:val="0003126A"/>
    <w:rsid w:val="00031C40"/>
    <w:rsid w:val="00031FCC"/>
    <w:rsid w:val="0003234E"/>
    <w:rsid w:val="000329AF"/>
    <w:rsid w:val="00032BDB"/>
    <w:rsid w:val="000334E1"/>
    <w:rsid w:val="000339DC"/>
    <w:rsid w:val="00033CDB"/>
    <w:rsid w:val="00033E83"/>
    <w:rsid w:val="00033EE9"/>
    <w:rsid w:val="00034376"/>
    <w:rsid w:val="000346CA"/>
    <w:rsid w:val="00034826"/>
    <w:rsid w:val="00034C95"/>
    <w:rsid w:val="00036FC6"/>
    <w:rsid w:val="00037232"/>
    <w:rsid w:val="0003725B"/>
    <w:rsid w:val="00037466"/>
    <w:rsid w:val="000374F1"/>
    <w:rsid w:val="00037548"/>
    <w:rsid w:val="00037E3B"/>
    <w:rsid w:val="000417FD"/>
    <w:rsid w:val="0004218E"/>
    <w:rsid w:val="0004293B"/>
    <w:rsid w:val="00042997"/>
    <w:rsid w:val="00042FE7"/>
    <w:rsid w:val="0004329C"/>
    <w:rsid w:val="0004378B"/>
    <w:rsid w:val="00044B0A"/>
    <w:rsid w:val="00045320"/>
    <w:rsid w:val="00045ACC"/>
    <w:rsid w:val="00045F45"/>
    <w:rsid w:val="00047562"/>
    <w:rsid w:val="00047A4F"/>
    <w:rsid w:val="00047D3D"/>
    <w:rsid w:val="000507E3"/>
    <w:rsid w:val="000517AF"/>
    <w:rsid w:val="00051D13"/>
    <w:rsid w:val="00052650"/>
    <w:rsid w:val="00052D1A"/>
    <w:rsid w:val="0005326B"/>
    <w:rsid w:val="00054089"/>
    <w:rsid w:val="00055113"/>
    <w:rsid w:val="00055C7B"/>
    <w:rsid w:val="0005694D"/>
    <w:rsid w:val="0005751B"/>
    <w:rsid w:val="0005760E"/>
    <w:rsid w:val="00057A2D"/>
    <w:rsid w:val="00060138"/>
    <w:rsid w:val="00061127"/>
    <w:rsid w:val="00061D6A"/>
    <w:rsid w:val="00061E63"/>
    <w:rsid w:val="000641BD"/>
    <w:rsid w:val="00064493"/>
    <w:rsid w:val="00064A95"/>
    <w:rsid w:val="00064E7C"/>
    <w:rsid w:val="00065298"/>
    <w:rsid w:val="0006547B"/>
    <w:rsid w:val="0006571F"/>
    <w:rsid w:val="00066C9B"/>
    <w:rsid w:val="00067055"/>
    <w:rsid w:val="00067A42"/>
    <w:rsid w:val="00067F96"/>
    <w:rsid w:val="000702AD"/>
    <w:rsid w:val="0007151C"/>
    <w:rsid w:val="00071B26"/>
    <w:rsid w:val="00072D69"/>
    <w:rsid w:val="00073207"/>
    <w:rsid w:val="00073408"/>
    <w:rsid w:val="00073B49"/>
    <w:rsid w:val="000743D3"/>
    <w:rsid w:val="000746EF"/>
    <w:rsid w:val="00076B0D"/>
    <w:rsid w:val="00076CC1"/>
    <w:rsid w:val="0007702E"/>
    <w:rsid w:val="0007755B"/>
    <w:rsid w:val="000777D0"/>
    <w:rsid w:val="00081559"/>
    <w:rsid w:val="0008157C"/>
    <w:rsid w:val="00082ABB"/>
    <w:rsid w:val="00082B6C"/>
    <w:rsid w:val="00082F03"/>
    <w:rsid w:val="00082FDC"/>
    <w:rsid w:val="0008352A"/>
    <w:rsid w:val="0008490D"/>
    <w:rsid w:val="000852F6"/>
    <w:rsid w:val="0008531F"/>
    <w:rsid w:val="00085BAB"/>
    <w:rsid w:val="0009036C"/>
    <w:rsid w:val="00091DFE"/>
    <w:rsid w:val="00091FA6"/>
    <w:rsid w:val="000921F0"/>
    <w:rsid w:val="000941EC"/>
    <w:rsid w:val="000946F1"/>
    <w:rsid w:val="00094D41"/>
    <w:rsid w:val="00094EF5"/>
    <w:rsid w:val="00094FEA"/>
    <w:rsid w:val="000950F2"/>
    <w:rsid w:val="00096077"/>
    <w:rsid w:val="000967AD"/>
    <w:rsid w:val="00096C02"/>
    <w:rsid w:val="00096FC1"/>
    <w:rsid w:val="00097CEA"/>
    <w:rsid w:val="000A2C8D"/>
    <w:rsid w:val="000A42D9"/>
    <w:rsid w:val="000A459E"/>
    <w:rsid w:val="000A5A0D"/>
    <w:rsid w:val="000A5F94"/>
    <w:rsid w:val="000A77C7"/>
    <w:rsid w:val="000A7984"/>
    <w:rsid w:val="000A7CFB"/>
    <w:rsid w:val="000B0FF0"/>
    <w:rsid w:val="000B1201"/>
    <w:rsid w:val="000B1493"/>
    <w:rsid w:val="000B1856"/>
    <w:rsid w:val="000B1F78"/>
    <w:rsid w:val="000B31C1"/>
    <w:rsid w:val="000B4240"/>
    <w:rsid w:val="000B4261"/>
    <w:rsid w:val="000B489F"/>
    <w:rsid w:val="000B59D5"/>
    <w:rsid w:val="000B5BC8"/>
    <w:rsid w:val="000B5E37"/>
    <w:rsid w:val="000B5EDB"/>
    <w:rsid w:val="000B6CC6"/>
    <w:rsid w:val="000B7289"/>
    <w:rsid w:val="000B731A"/>
    <w:rsid w:val="000B7628"/>
    <w:rsid w:val="000B7646"/>
    <w:rsid w:val="000C0B76"/>
    <w:rsid w:val="000C0F51"/>
    <w:rsid w:val="000C1887"/>
    <w:rsid w:val="000C29E5"/>
    <w:rsid w:val="000C2BE0"/>
    <w:rsid w:val="000C3CA6"/>
    <w:rsid w:val="000C3E6B"/>
    <w:rsid w:val="000C4165"/>
    <w:rsid w:val="000C4F45"/>
    <w:rsid w:val="000C52C4"/>
    <w:rsid w:val="000C56F8"/>
    <w:rsid w:val="000C5F56"/>
    <w:rsid w:val="000C6227"/>
    <w:rsid w:val="000C6271"/>
    <w:rsid w:val="000C69A6"/>
    <w:rsid w:val="000C7167"/>
    <w:rsid w:val="000C7CAF"/>
    <w:rsid w:val="000D1151"/>
    <w:rsid w:val="000D1CAB"/>
    <w:rsid w:val="000D2C0C"/>
    <w:rsid w:val="000D4054"/>
    <w:rsid w:val="000D434B"/>
    <w:rsid w:val="000D464C"/>
    <w:rsid w:val="000D5107"/>
    <w:rsid w:val="000D5A2C"/>
    <w:rsid w:val="000D5BCC"/>
    <w:rsid w:val="000D5F3E"/>
    <w:rsid w:val="000D6AA4"/>
    <w:rsid w:val="000D6B73"/>
    <w:rsid w:val="000D6C23"/>
    <w:rsid w:val="000D6C8E"/>
    <w:rsid w:val="000D7F73"/>
    <w:rsid w:val="000E009A"/>
    <w:rsid w:val="000E03B4"/>
    <w:rsid w:val="000E051D"/>
    <w:rsid w:val="000E15E3"/>
    <w:rsid w:val="000E1AF2"/>
    <w:rsid w:val="000E1DC4"/>
    <w:rsid w:val="000E22A5"/>
    <w:rsid w:val="000E24B7"/>
    <w:rsid w:val="000E2C0F"/>
    <w:rsid w:val="000E3833"/>
    <w:rsid w:val="000E3BCB"/>
    <w:rsid w:val="000E446F"/>
    <w:rsid w:val="000E4FE5"/>
    <w:rsid w:val="000E59F2"/>
    <w:rsid w:val="000E5B59"/>
    <w:rsid w:val="000E61F4"/>
    <w:rsid w:val="000E63DF"/>
    <w:rsid w:val="000E6DD0"/>
    <w:rsid w:val="000E6E1C"/>
    <w:rsid w:val="000E7D5D"/>
    <w:rsid w:val="000F12D9"/>
    <w:rsid w:val="000F26AE"/>
    <w:rsid w:val="000F335D"/>
    <w:rsid w:val="000F3491"/>
    <w:rsid w:val="000F401D"/>
    <w:rsid w:val="000F4D87"/>
    <w:rsid w:val="000F5682"/>
    <w:rsid w:val="000F61B4"/>
    <w:rsid w:val="000F62C1"/>
    <w:rsid w:val="000F720B"/>
    <w:rsid w:val="00100463"/>
    <w:rsid w:val="001009C4"/>
    <w:rsid w:val="0010247A"/>
    <w:rsid w:val="00102CF1"/>
    <w:rsid w:val="00103862"/>
    <w:rsid w:val="001051CF"/>
    <w:rsid w:val="00105497"/>
    <w:rsid w:val="00105890"/>
    <w:rsid w:val="00106C4E"/>
    <w:rsid w:val="00106EBA"/>
    <w:rsid w:val="0010772A"/>
    <w:rsid w:val="0010799E"/>
    <w:rsid w:val="00107DB1"/>
    <w:rsid w:val="00110289"/>
    <w:rsid w:val="00111043"/>
    <w:rsid w:val="00111D12"/>
    <w:rsid w:val="00112B59"/>
    <w:rsid w:val="00114713"/>
    <w:rsid w:val="00114ABD"/>
    <w:rsid w:val="001162CA"/>
    <w:rsid w:val="00117D8F"/>
    <w:rsid w:val="00117DC8"/>
    <w:rsid w:val="00121880"/>
    <w:rsid w:val="0012262B"/>
    <w:rsid w:val="0012263E"/>
    <w:rsid w:val="00122EA9"/>
    <w:rsid w:val="00123858"/>
    <w:rsid w:val="00123C2A"/>
    <w:rsid w:val="00125717"/>
    <w:rsid w:val="00126840"/>
    <w:rsid w:val="00126948"/>
    <w:rsid w:val="001269B7"/>
    <w:rsid w:val="00126A5D"/>
    <w:rsid w:val="001279F6"/>
    <w:rsid w:val="00127BD3"/>
    <w:rsid w:val="00131EC4"/>
    <w:rsid w:val="00132C58"/>
    <w:rsid w:val="001335A1"/>
    <w:rsid w:val="00134C1B"/>
    <w:rsid w:val="00134E8C"/>
    <w:rsid w:val="001352DE"/>
    <w:rsid w:val="001356CA"/>
    <w:rsid w:val="00135C40"/>
    <w:rsid w:val="0013617A"/>
    <w:rsid w:val="001362B2"/>
    <w:rsid w:val="00140052"/>
    <w:rsid w:val="00140F1E"/>
    <w:rsid w:val="00141AF7"/>
    <w:rsid w:val="001433E6"/>
    <w:rsid w:val="00143431"/>
    <w:rsid w:val="001457AF"/>
    <w:rsid w:val="00145D50"/>
    <w:rsid w:val="00146532"/>
    <w:rsid w:val="00147C5F"/>
    <w:rsid w:val="00147FCD"/>
    <w:rsid w:val="001501BC"/>
    <w:rsid w:val="001501CF"/>
    <w:rsid w:val="00150DED"/>
    <w:rsid w:val="001511AF"/>
    <w:rsid w:val="00151270"/>
    <w:rsid w:val="00151731"/>
    <w:rsid w:val="0015191A"/>
    <w:rsid w:val="001543E5"/>
    <w:rsid w:val="001544DC"/>
    <w:rsid w:val="00154CC7"/>
    <w:rsid w:val="001551B2"/>
    <w:rsid w:val="00155B75"/>
    <w:rsid w:val="00155BBF"/>
    <w:rsid w:val="001564F4"/>
    <w:rsid w:val="00156538"/>
    <w:rsid w:val="00156585"/>
    <w:rsid w:val="00156721"/>
    <w:rsid w:val="00156E5D"/>
    <w:rsid w:val="00157112"/>
    <w:rsid w:val="001576AD"/>
    <w:rsid w:val="00157B0B"/>
    <w:rsid w:val="00157D0C"/>
    <w:rsid w:val="001604C0"/>
    <w:rsid w:val="00160741"/>
    <w:rsid w:val="0016248F"/>
    <w:rsid w:val="0016294A"/>
    <w:rsid w:val="00162C83"/>
    <w:rsid w:val="00162CFB"/>
    <w:rsid w:val="001631A2"/>
    <w:rsid w:val="0016459E"/>
    <w:rsid w:val="001659DE"/>
    <w:rsid w:val="00165AE2"/>
    <w:rsid w:val="00166A9A"/>
    <w:rsid w:val="00170162"/>
    <w:rsid w:val="00170CD1"/>
    <w:rsid w:val="001717AA"/>
    <w:rsid w:val="00172165"/>
    <w:rsid w:val="00173794"/>
    <w:rsid w:val="001740D3"/>
    <w:rsid w:val="00174A6A"/>
    <w:rsid w:val="00175512"/>
    <w:rsid w:val="00175849"/>
    <w:rsid w:val="001767DE"/>
    <w:rsid w:val="0017719B"/>
    <w:rsid w:val="001801B2"/>
    <w:rsid w:val="00180275"/>
    <w:rsid w:val="001808C1"/>
    <w:rsid w:val="00180AF2"/>
    <w:rsid w:val="00182881"/>
    <w:rsid w:val="001836E8"/>
    <w:rsid w:val="00187678"/>
    <w:rsid w:val="00187771"/>
    <w:rsid w:val="001901BF"/>
    <w:rsid w:val="00190532"/>
    <w:rsid w:val="00190802"/>
    <w:rsid w:val="00191890"/>
    <w:rsid w:val="0019434E"/>
    <w:rsid w:val="00195745"/>
    <w:rsid w:val="00195901"/>
    <w:rsid w:val="0019630C"/>
    <w:rsid w:val="001A030F"/>
    <w:rsid w:val="001A0465"/>
    <w:rsid w:val="001A0D0A"/>
    <w:rsid w:val="001A2259"/>
    <w:rsid w:val="001A31CC"/>
    <w:rsid w:val="001A453B"/>
    <w:rsid w:val="001A4670"/>
    <w:rsid w:val="001A4BE4"/>
    <w:rsid w:val="001A4FFC"/>
    <w:rsid w:val="001A5CC4"/>
    <w:rsid w:val="001A7554"/>
    <w:rsid w:val="001A7DE6"/>
    <w:rsid w:val="001B0D66"/>
    <w:rsid w:val="001B0E3E"/>
    <w:rsid w:val="001B0EC5"/>
    <w:rsid w:val="001B10DD"/>
    <w:rsid w:val="001B12E9"/>
    <w:rsid w:val="001B18B2"/>
    <w:rsid w:val="001B23EB"/>
    <w:rsid w:val="001B24C8"/>
    <w:rsid w:val="001B4282"/>
    <w:rsid w:val="001B47D4"/>
    <w:rsid w:val="001B4D6D"/>
    <w:rsid w:val="001B615B"/>
    <w:rsid w:val="001B659C"/>
    <w:rsid w:val="001B741A"/>
    <w:rsid w:val="001B77BA"/>
    <w:rsid w:val="001B781C"/>
    <w:rsid w:val="001B785A"/>
    <w:rsid w:val="001C06A5"/>
    <w:rsid w:val="001C0DBA"/>
    <w:rsid w:val="001C11DF"/>
    <w:rsid w:val="001C1338"/>
    <w:rsid w:val="001C2196"/>
    <w:rsid w:val="001C2ADD"/>
    <w:rsid w:val="001C3C2F"/>
    <w:rsid w:val="001C42EC"/>
    <w:rsid w:val="001C6D25"/>
    <w:rsid w:val="001C6EA4"/>
    <w:rsid w:val="001C719A"/>
    <w:rsid w:val="001C722E"/>
    <w:rsid w:val="001C72E9"/>
    <w:rsid w:val="001D0203"/>
    <w:rsid w:val="001D0DBC"/>
    <w:rsid w:val="001D2822"/>
    <w:rsid w:val="001D2918"/>
    <w:rsid w:val="001D2C46"/>
    <w:rsid w:val="001D2F41"/>
    <w:rsid w:val="001D33AA"/>
    <w:rsid w:val="001D3AAB"/>
    <w:rsid w:val="001D4169"/>
    <w:rsid w:val="001D46AC"/>
    <w:rsid w:val="001D4931"/>
    <w:rsid w:val="001D5FE1"/>
    <w:rsid w:val="001D71F4"/>
    <w:rsid w:val="001D7F2B"/>
    <w:rsid w:val="001E0315"/>
    <w:rsid w:val="001E0789"/>
    <w:rsid w:val="001E07C9"/>
    <w:rsid w:val="001E0F53"/>
    <w:rsid w:val="001E0F8F"/>
    <w:rsid w:val="001E0FC1"/>
    <w:rsid w:val="001E149D"/>
    <w:rsid w:val="001E1683"/>
    <w:rsid w:val="001E1B32"/>
    <w:rsid w:val="001E23BC"/>
    <w:rsid w:val="001E24A7"/>
    <w:rsid w:val="001E2AFA"/>
    <w:rsid w:val="001E334A"/>
    <w:rsid w:val="001E373C"/>
    <w:rsid w:val="001E3B4F"/>
    <w:rsid w:val="001E4C08"/>
    <w:rsid w:val="001E58D4"/>
    <w:rsid w:val="001E6177"/>
    <w:rsid w:val="001E6C47"/>
    <w:rsid w:val="001E77DC"/>
    <w:rsid w:val="001F01A2"/>
    <w:rsid w:val="001F0D1C"/>
    <w:rsid w:val="001F0E85"/>
    <w:rsid w:val="001F1C2E"/>
    <w:rsid w:val="001F3194"/>
    <w:rsid w:val="001F3CFD"/>
    <w:rsid w:val="001F3F63"/>
    <w:rsid w:val="001F432D"/>
    <w:rsid w:val="001F5933"/>
    <w:rsid w:val="001F6BC7"/>
    <w:rsid w:val="001F7685"/>
    <w:rsid w:val="00200898"/>
    <w:rsid w:val="00201566"/>
    <w:rsid w:val="002017D2"/>
    <w:rsid w:val="00201A71"/>
    <w:rsid w:val="00201E90"/>
    <w:rsid w:val="0020270B"/>
    <w:rsid w:val="00203100"/>
    <w:rsid w:val="0020325F"/>
    <w:rsid w:val="00203760"/>
    <w:rsid w:val="00203836"/>
    <w:rsid w:val="00203BAF"/>
    <w:rsid w:val="002041DA"/>
    <w:rsid w:val="00206CFC"/>
    <w:rsid w:val="002071F7"/>
    <w:rsid w:val="00207B4C"/>
    <w:rsid w:val="00207BFD"/>
    <w:rsid w:val="00210120"/>
    <w:rsid w:val="00211A80"/>
    <w:rsid w:val="00211D0F"/>
    <w:rsid w:val="00212DD9"/>
    <w:rsid w:val="00212F40"/>
    <w:rsid w:val="002130AA"/>
    <w:rsid w:val="00213614"/>
    <w:rsid w:val="00213823"/>
    <w:rsid w:val="002138A5"/>
    <w:rsid w:val="00213D75"/>
    <w:rsid w:val="00214F12"/>
    <w:rsid w:val="00216E09"/>
    <w:rsid w:val="00216EF4"/>
    <w:rsid w:val="0021714D"/>
    <w:rsid w:val="0022128C"/>
    <w:rsid w:val="00222BE1"/>
    <w:rsid w:val="002233AA"/>
    <w:rsid w:val="00223406"/>
    <w:rsid w:val="00223D89"/>
    <w:rsid w:val="00223D92"/>
    <w:rsid w:val="002248D9"/>
    <w:rsid w:val="00224ABA"/>
    <w:rsid w:val="00225400"/>
    <w:rsid w:val="00226412"/>
    <w:rsid w:val="00226449"/>
    <w:rsid w:val="00226527"/>
    <w:rsid w:val="002270E7"/>
    <w:rsid w:val="00227617"/>
    <w:rsid w:val="002279B5"/>
    <w:rsid w:val="00232624"/>
    <w:rsid w:val="00232C96"/>
    <w:rsid w:val="00232F0E"/>
    <w:rsid w:val="002332C0"/>
    <w:rsid w:val="00233B19"/>
    <w:rsid w:val="00234AD6"/>
    <w:rsid w:val="0023527D"/>
    <w:rsid w:val="002359D7"/>
    <w:rsid w:val="0023668E"/>
    <w:rsid w:val="00237B34"/>
    <w:rsid w:val="00237B65"/>
    <w:rsid w:val="002406FD"/>
    <w:rsid w:val="002407FE"/>
    <w:rsid w:val="00240BC3"/>
    <w:rsid w:val="002413F8"/>
    <w:rsid w:val="00242FA5"/>
    <w:rsid w:val="00243AD9"/>
    <w:rsid w:val="0024632C"/>
    <w:rsid w:val="00246386"/>
    <w:rsid w:val="002470DA"/>
    <w:rsid w:val="002475C3"/>
    <w:rsid w:val="002503E6"/>
    <w:rsid w:val="002505FA"/>
    <w:rsid w:val="00250736"/>
    <w:rsid w:val="00250DF2"/>
    <w:rsid w:val="002512CA"/>
    <w:rsid w:val="00251E9E"/>
    <w:rsid w:val="00252040"/>
    <w:rsid w:val="00253BB3"/>
    <w:rsid w:val="00254357"/>
    <w:rsid w:val="0025490D"/>
    <w:rsid w:val="002556A2"/>
    <w:rsid w:val="0025662D"/>
    <w:rsid w:val="00256CCD"/>
    <w:rsid w:val="0025701B"/>
    <w:rsid w:val="00257281"/>
    <w:rsid w:val="00261420"/>
    <w:rsid w:val="00261BD0"/>
    <w:rsid w:val="00261CA0"/>
    <w:rsid w:val="00262D0D"/>
    <w:rsid w:val="00263572"/>
    <w:rsid w:val="002635B9"/>
    <w:rsid w:val="00263D50"/>
    <w:rsid w:val="00265419"/>
    <w:rsid w:val="0026598E"/>
    <w:rsid w:val="002659D3"/>
    <w:rsid w:val="00266CB5"/>
    <w:rsid w:val="00266F0D"/>
    <w:rsid w:val="00267980"/>
    <w:rsid w:val="00271462"/>
    <w:rsid w:val="002731DC"/>
    <w:rsid w:val="00274673"/>
    <w:rsid w:val="00274DD7"/>
    <w:rsid w:val="00275A75"/>
    <w:rsid w:val="00275F94"/>
    <w:rsid w:val="002765B0"/>
    <w:rsid w:val="00276FCA"/>
    <w:rsid w:val="00277DB4"/>
    <w:rsid w:val="0028112D"/>
    <w:rsid w:val="00282618"/>
    <w:rsid w:val="00283871"/>
    <w:rsid w:val="0028442E"/>
    <w:rsid w:val="0028550F"/>
    <w:rsid w:val="00285F92"/>
    <w:rsid w:val="002863C9"/>
    <w:rsid w:val="00286775"/>
    <w:rsid w:val="00287E06"/>
    <w:rsid w:val="00290AD8"/>
    <w:rsid w:val="00290E99"/>
    <w:rsid w:val="00291302"/>
    <w:rsid w:val="00291F05"/>
    <w:rsid w:val="002941DA"/>
    <w:rsid w:val="00294380"/>
    <w:rsid w:val="002948C4"/>
    <w:rsid w:val="0029499C"/>
    <w:rsid w:val="002949C5"/>
    <w:rsid w:val="00294AB5"/>
    <w:rsid w:val="00294F8F"/>
    <w:rsid w:val="002952A7"/>
    <w:rsid w:val="00295372"/>
    <w:rsid w:val="00295527"/>
    <w:rsid w:val="0029604E"/>
    <w:rsid w:val="00297324"/>
    <w:rsid w:val="002A0B57"/>
    <w:rsid w:val="002A13A3"/>
    <w:rsid w:val="002A2950"/>
    <w:rsid w:val="002A2D94"/>
    <w:rsid w:val="002A3413"/>
    <w:rsid w:val="002A377D"/>
    <w:rsid w:val="002A5DFE"/>
    <w:rsid w:val="002A5FE0"/>
    <w:rsid w:val="002A6B0D"/>
    <w:rsid w:val="002A6E64"/>
    <w:rsid w:val="002A7F67"/>
    <w:rsid w:val="002B08E4"/>
    <w:rsid w:val="002B1661"/>
    <w:rsid w:val="002B1A32"/>
    <w:rsid w:val="002B2C4E"/>
    <w:rsid w:val="002B4327"/>
    <w:rsid w:val="002B490F"/>
    <w:rsid w:val="002B4D8D"/>
    <w:rsid w:val="002B59D2"/>
    <w:rsid w:val="002B6660"/>
    <w:rsid w:val="002B66EA"/>
    <w:rsid w:val="002B6965"/>
    <w:rsid w:val="002B78E7"/>
    <w:rsid w:val="002B7C48"/>
    <w:rsid w:val="002C00F8"/>
    <w:rsid w:val="002C1785"/>
    <w:rsid w:val="002C25E9"/>
    <w:rsid w:val="002C346D"/>
    <w:rsid w:val="002C34F6"/>
    <w:rsid w:val="002C4356"/>
    <w:rsid w:val="002C44F9"/>
    <w:rsid w:val="002C4707"/>
    <w:rsid w:val="002C4A57"/>
    <w:rsid w:val="002C4CF1"/>
    <w:rsid w:val="002C5832"/>
    <w:rsid w:val="002C5FC9"/>
    <w:rsid w:val="002C6853"/>
    <w:rsid w:val="002C6E55"/>
    <w:rsid w:val="002C7190"/>
    <w:rsid w:val="002D0D6D"/>
    <w:rsid w:val="002D1A30"/>
    <w:rsid w:val="002D2BE8"/>
    <w:rsid w:val="002D2FFB"/>
    <w:rsid w:val="002D3608"/>
    <w:rsid w:val="002D478A"/>
    <w:rsid w:val="002D57B6"/>
    <w:rsid w:val="002D5BD4"/>
    <w:rsid w:val="002D5E89"/>
    <w:rsid w:val="002D7576"/>
    <w:rsid w:val="002D7774"/>
    <w:rsid w:val="002D7CEE"/>
    <w:rsid w:val="002E06E7"/>
    <w:rsid w:val="002E0FB0"/>
    <w:rsid w:val="002E158D"/>
    <w:rsid w:val="002E3142"/>
    <w:rsid w:val="002E3544"/>
    <w:rsid w:val="002E3794"/>
    <w:rsid w:val="002E3A9F"/>
    <w:rsid w:val="002E3D91"/>
    <w:rsid w:val="002E3F22"/>
    <w:rsid w:val="002E454D"/>
    <w:rsid w:val="002E4D2A"/>
    <w:rsid w:val="002E536B"/>
    <w:rsid w:val="002E5613"/>
    <w:rsid w:val="002E5EE8"/>
    <w:rsid w:val="002E6930"/>
    <w:rsid w:val="002E69AB"/>
    <w:rsid w:val="002E7F27"/>
    <w:rsid w:val="002F157A"/>
    <w:rsid w:val="002F2148"/>
    <w:rsid w:val="002F23B7"/>
    <w:rsid w:val="002F3E5F"/>
    <w:rsid w:val="002F4309"/>
    <w:rsid w:val="002F5220"/>
    <w:rsid w:val="002F5402"/>
    <w:rsid w:val="002F707A"/>
    <w:rsid w:val="002F7422"/>
    <w:rsid w:val="002F7542"/>
    <w:rsid w:val="003002EF"/>
    <w:rsid w:val="0030151B"/>
    <w:rsid w:val="003018CB"/>
    <w:rsid w:val="003042EB"/>
    <w:rsid w:val="00304986"/>
    <w:rsid w:val="00304ABB"/>
    <w:rsid w:val="00304C65"/>
    <w:rsid w:val="00304E5C"/>
    <w:rsid w:val="00306734"/>
    <w:rsid w:val="00306F4C"/>
    <w:rsid w:val="00311145"/>
    <w:rsid w:val="00312195"/>
    <w:rsid w:val="00314872"/>
    <w:rsid w:val="00314E73"/>
    <w:rsid w:val="0031564B"/>
    <w:rsid w:val="003161EF"/>
    <w:rsid w:val="003200C7"/>
    <w:rsid w:val="0032010F"/>
    <w:rsid w:val="00320305"/>
    <w:rsid w:val="00320325"/>
    <w:rsid w:val="00320937"/>
    <w:rsid w:val="00320B94"/>
    <w:rsid w:val="00322114"/>
    <w:rsid w:val="00322A2E"/>
    <w:rsid w:val="00322B87"/>
    <w:rsid w:val="00322F02"/>
    <w:rsid w:val="003250EF"/>
    <w:rsid w:val="003257DE"/>
    <w:rsid w:val="00327676"/>
    <w:rsid w:val="00327A33"/>
    <w:rsid w:val="00327DBF"/>
    <w:rsid w:val="00330A3D"/>
    <w:rsid w:val="003312F3"/>
    <w:rsid w:val="00331394"/>
    <w:rsid w:val="00331EDE"/>
    <w:rsid w:val="00333CEA"/>
    <w:rsid w:val="0033431D"/>
    <w:rsid w:val="00334708"/>
    <w:rsid w:val="00334A0A"/>
    <w:rsid w:val="00334AE4"/>
    <w:rsid w:val="003354D2"/>
    <w:rsid w:val="003361E7"/>
    <w:rsid w:val="00336772"/>
    <w:rsid w:val="00337560"/>
    <w:rsid w:val="003377EE"/>
    <w:rsid w:val="00340558"/>
    <w:rsid w:val="003405B9"/>
    <w:rsid w:val="00340849"/>
    <w:rsid w:val="00341A2E"/>
    <w:rsid w:val="00342747"/>
    <w:rsid w:val="00342F8C"/>
    <w:rsid w:val="00343DFF"/>
    <w:rsid w:val="0034405B"/>
    <w:rsid w:val="00345AC9"/>
    <w:rsid w:val="00345B74"/>
    <w:rsid w:val="00346756"/>
    <w:rsid w:val="00346C43"/>
    <w:rsid w:val="00346CBB"/>
    <w:rsid w:val="00347089"/>
    <w:rsid w:val="00347FFA"/>
    <w:rsid w:val="00350362"/>
    <w:rsid w:val="003504C1"/>
    <w:rsid w:val="003512B8"/>
    <w:rsid w:val="00351EDB"/>
    <w:rsid w:val="00353123"/>
    <w:rsid w:val="00353160"/>
    <w:rsid w:val="003546F9"/>
    <w:rsid w:val="00354B74"/>
    <w:rsid w:val="00355260"/>
    <w:rsid w:val="00355A91"/>
    <w:rsid w:val="00355BC8"/>
    <w:rsid w:val="0035619C"/>
    <w:rsid w:val="003562E3"/>
    <w:rsid w:val="00356B43"/>
    <w:rsid w:val="0035716F"/>
    <w:rsid w:val="00357FC1"/>
    <w:rsid w:val="00361133"/>
    <w:rsid w:val="00361B7F"/>
    <w:rsid w:val="00362037"/>
    <w:rsid w:val="00362F3F"/>
    <w:rsid w:val="003637B9"/>
    <w:rsid w:val="00363A01"/>
    <w:rsid w:val="00363E01"/>
    <w:rsid w:val="00364097"/>
    <w:rsid w:val="0036541D"/>
    <w:rsid w:val="00366342"/>
    <w:rsid w:val="00366737"/>
    <w:rsid w:val="00366DA7"/>
    <w:rsid w:val="00367BF2"/>
    <w:rsid w:val="00367F10"/>
    <w:rsid w:val="00371003"/>
    <w:rsid w:val="003719F2"/>
    <w:rsid w:val="00371DBE"/>
    <w:rsid w:val="00372C2D"/>
    <w:rsid w:val="00372E98"/>
    <w:rsid w:val="00372F2D"/>
    <w:rsid w:val="0037379A"/>
    <w:rsid w:val="003745BF"/>
    <w:rsid w:val="0037545B"/>
    <w:rsid w:val="00375F89"/>
    <w:rsid w:val="00376C30"/>
    <w:rsid w:val="00376F64"/>
    <w:rsid w:val="00377072"/>
    <w:rsid w:val="00377340"/>
    <w:rsid w:val="003800A7"/>
    <w:rsid w:val="0038076F"/>
    <w:rsid w:val="003809B9"/>
    <w:rsid w:val="003809BB"/>
    <w:rsid w:val="00382048"/>
    <w:rsid w:val="00384717"/>
    <w:rsid w:val="003848FD"/>
    <w:rsid w:val="00384A7E"/>
    <w:rsid w:val="00387EDC"/>
    <w:rsid w:val="00390CE0"/>
    <w:rsid w:val="0039185F"/>
    <w:rsid w:val="003919C2"/>
    <w:rsid w:val="00391B4E"/>
    <w:rsid w:val="00391F5B"/>
    <w:rsid w:val="00392090"/>
    <w:rsid w:val="003939FF"/>
    <w:rsid w:val="00393BF8"/>
    <w:rsid w:val="0039426C"/>
    <w:rsid w:val="003948A6"/>
    <w:rsid w:val="0039500B"/>
    <w:rsid w:val="00395386"/>
    <w:rsid w:val="00395389"/>
    <w:rsid w:val="0039576F"/>
    <w:rsid w:val="00395BD8"/>
    <w:rsid w:val="00395EDA"/>
    <w:rsid w:val="00396219"/>
    <w:rsid w:val="00396239"/>
    <w:rsid w:val="003962AD"/>
    <w:rsid w:val="0039641B"/>
    <w:rsid w:val="0039660D"/>
    <w:rsid w:val="00396B46"/>
    <w:rsid w:val="00396FA3"/>
    <w:rsid w:val="003A0293"/>
    <w:rsid w:val="003A13C7"/>
    <w:rsid w:val="003A3D29"/>
    <w:rsid w:val="003A41AF"/>
    <w:rsid w:val="003A420D"/>
    <w:rsid w:val="003A47EB"/>
    <w:rsid w:val="003A52A7"/>
    <w:rsid w:val="003A58A7"/>
    <w:rsid w:val="003A603E"/>
    <w:rsid w:val="003A607F"/>
    <w:rsid w:val="003A628E"/>
    <w:rsid w:val="003B0338"/>
    <w:rsid w:val="003B1635"/>
    <w:rsid w:val="003B1881"/>
    <w:rsid w:val="003B18F2"/>
    <w:rsid w:val="003B25FA"/>
    <w:rsid w:val="003B2764"/>
    <w:rsid w:val="003B37A0"/>
    <w:rsid w:val="003B4337"/>
    <w:rsid w:val="003B4E98"/>
    <w:rsid w:val="003B59BA"/>
    <w:rsid w:val="003B6ADB"/>
    <w:rsid w:val="003B7C06"/>
    <w:rsid w:val="003B7F1A"/>
    <w:rsid w:val="003C0A8B"/>
    <w:rsid w:val="003C0BAC"/>
    <w:rsid w:val="003C1029"/>
    <w:rsid w:val="003C1373"/>
    <w:rsid w:val="003C1AF1"/>
    <w:rsid w:val="003C352A"/>
    <w:rsid w:val="003C3E8F"/>
    <w:rsid w:val="003C480B"/>
    <w:rsid w:val="003C5141"/>
    <w:rsid w:val="003C5A8F"/>
    <w:rsid w:val="003C5C8E"/>
    <w:rsid w:val="003C65EC"/>
    <w:rsid w:val="003C6A7C"/>
    <w:rsid w:val="003D051D"/>
    <w:rsid w:val="003D053C"/>
    <w:rsid w:val="003D0962"/>
    <w:rsid w:val="003D0DAE"/>
    <w:rsid w:val="003D1C49"/>
    <w:rsid w:val="003D3F0C"/>
    <w:rsid w:val="003D44FB"/>
    <w:rsid w:val="003D5009"/>
    <w:rsid w:val="003D6D8C"/>
    <w:rsid w:val="003D74C5"/>
    <w:rsid w:val="003D782D"/>
    <w:rsid w:val="003D7A8C"/>
    <w:rsid w:val="003E0224"/>
    <w:rsid w:val="003E11C7"/>
    <w:rsid w:val="003E2AB2"/>
    <w:rsid w:val="003E3D71"/>
    <w:rsid w:val="003E4730"/>
    <w:rsid w:val="003E4AA1"/>
    <w:rsid w:val="003E542A"/>
    <w:rsid w:val="003E5554"/>
    <w:rsid w:val="003E5655"/>
    <w:rsid w:val="003E6038"/>
    <w:rsid w:val="003E74D3"/>
    <w:rsid w:val="003E78D2"/>
    <w:rsid w:val="003F0C99"/>
    <w:rsid w:val="003F1473"/>
    <w:rsid w:val="003F2611"/>
    <w:rsid w:val="003F2A83"/>
    <w:rsid w:val="003F38CC"/>
    <w:rsid w:val="003F4EBB"/>
    <w:rsid w:val="003F649F"/>
    <w:rsid w:val="003F668D"/>
    <w:rsid w:val="003F71F3"/>
    <w:rsid w:val="003F7DC1"/>
    <w:rsid w:val="00400400"/>
    <w:rsid w:val="00400455"/>
    <w:rsid w:val="00400E60"/>
    <w:rsid w:val="0040191C"/>
    <w:rsid w:val="00401ABA"/>
    <w:rsid w:val="00401D16"/>
    <w:rsid w:val="004024AC"/>
    <w:rsid w:val="00402A6A"/>
    <w:rsid w:val="00402D38"/>
    <w:rsid w:val="00403B99"/>
    <w:rsid w:val="004040D0"/>
    <w:rsid w:val="00404BC4"/>
    <w:rsid w:val="00405FE6"/>
    <w:rsid w:val="00406213"/>
    <w:rsid w:val="004074A1"/>
    <w:rsid w:val="00407855"/>
    <w:rsid w:val="00410037"/>
    <w:rsid w:val="00411665"/>
    <w:rsid w:val="00412611"/>
    <w:rsid w:val="0041265F"/>
    <w:rsid w:val="00414E60"/>
    <w:rsid w:val="00415378"/>
    <w:rsid w:val="00415AE0"/>
    <w:rsid w:val="00416892"/>
    <w:rsid w:val="0041695C"/>
    <w:rsid w:val="0041713A"/>
    <w:rsid w:val="004174FB"/>
    <w:rsid w:val="00420710"/>
    <w:rsid w:val="004219BE"/>
    <w:rsid w:val="00421BF0"/>
    <w:rsid w:val="004228E8"/>
    <w:rsid w:val="00423729"/>
    <w:rsid w:val="0042382C"/>
    <w:rsid w:val="0042554B"/>
    <w:rsid w:val="00425594"/>
    <w:rsid w:val="004260CE"/>
    <w:rsid w:val="00426876"/>
    <w:rsid w:val="00426E50"/>
    <w:rsid w:val="004274B2"/>
    <w:rsid w:val="004370AA"/>
    <w:rsid w:val="004403F6"/>
    <w:rsid w:val="00441391"/>
    <w:rsid w:val="00441AAC"/>
    <w:rsid w:val="00442E15"/>
    <w:rsid w:val="00444618"/>
    <w:rsid w:val="004448F7"/>
    <w:rsid w:val="00444DCA"/>
    <w:rsid w:val="004454E5"/>
    <w:rsid w:val="00445B86"/>
    <w:rsid w:val="00445FA6"/>
    <w:rsid w:val="00447586"/>
    <w:rsid w:val="00447961"/>
    <w:rsid w:val="00447E11"/>
    <w:rsid w:val="00447EB8"/>
    <w:rsid w:val="004523CB"/>
    <w:rsid w:val="00453B6D"/>
    <w:rsid w:val="00453C7D"/>
    <w:rsid w:val="004543C8"/>
    <w:rsid w:val="00455348"/>
    <w:rsid w:val="00455378"/>
    <w:rsid w:val="0045589C"/>
    <w:rsid w:val="00455A92"/>
    <w:rsid w:val="00456605"/>
    <w:rsid w:val="00457985"/>
    <w:rsid w:val="004604CE"/>
    <w:rsid w:val="00460D9C"/>
    <w:rsid w:val="004616EA"/>
    <w:rsid w:val="00462014"/>
    <w:rsid w:val="00462269"/>
    <w:rsid w:val="00463096"/>
    <w:rsid w:val="00464A73"/>
    <w:rsid w:val="00465361"/>
    <w:rsid w:val="004653C1"/>
    <w:rsid w:val="00467BEA"/>
    <w:rsid w:val="00471B52"/>
    <w:rsid w:val="00472418"/>
    <w:rsid w:val="00472A20"/>
    <w:rsid w:val="00472DB5"/>
    <w:rsid w:val="00472E64"/>
    <w:rsid w:val="00474C96"/>
    <w:rsid w:val="00474DC2"/>
    <w:rsid w:val="00474E06"/>
    <w:rsid w:val="00475B64"/>
    <w:rsid w:val="00475F12"/>
    <w:rsid w:val="00477BEB"/>
    <w:rsid w:val="00477FE9"/>
    <w:rsid w:val="0048022F"/>
    <w:rsid w:val="00480353"/>
    <w:rsid w:val="004803F7"/>
    <w:rsid w:val="004814D8"/>
    <w:rsid w:val="00481600"/>
    <w:rsid w:val="0048260E"/>
    <w:rsid w:val="00482EA5"/>
    <w:rsid w:val="00482FAE"/>
    <w:rsid w:val="0048351C"/>
    <w:rsid w:val="004837A5"/>
    <w:rsid w:val="0048392F"/>
    <w:rsid w:val="00484990"/>
    <w:rsid w:val="00484D01"/>
    <w:rsid w:val="00486161"/>
    <w:rsid w:val="00486547"/>
    <w:rsid w:val="0049055D"/>
    <w:rsid w:val="0049065D"/>
    <w:rsid w:val="00491AF0"/>
    <w:rsid w:val="00491D13"/>
    <w:rsid w:val="00492A87"/>
    <w:rsid w:val="00493124"/>
    <w:rsid w:val="004935F2"/>
    <w:rsid w:val="00494788"/>
    <w:rsid w:val="00495E63"/>
    <w:rsid w:val="00496737"/>
    <w:rsid w:val="004973D3"/>
    <w:rsid w:val="004A15A4"/>
    <w:rsid w:val="004A20F8"/>
    <w:rsid w:val="004A21D0"/>
    <w:rsid w:val="004A2368"/>
    <w:rsid w:val="004A2D97"/>
    <w:rsid w:val="004A3643"/>
    <w:rsid w:val="004A3FB8"/>
    <w:rsid w:val="004A3FEC"/>
    <w:rsid w:val="004A46F2"/>
    <w:rsid w:val="004A7230"/>
    <w:rsid w:val="004A7CF7"/>
    <w:rsid w:val="004B034E"/>
    <w:rsid w:val="004B06BD"/>
    <w:rsid w:val="004B1628"/>
    <w:rsid w:val="004B17E4"/>
    <w:rsid w:val="004B19C6"/>
    <w:rsid w:val="004B1EC2"/>
    <w:rsid w:val="004B21E7"/>
    <w:rsid w:val="004B2B87"/>
    <w:rsid w:val="004B355B"/>
    <w:rsid w:val="004B36AA"/>
    <w:rsid w:val="004B36BD"/>
    <w:rsid w:val="004B3C9A"/>
    <w:rsid w:val="004B5043"/>
    <w:rsid w:val="004B5FD1"/>
    <w:rsid w:val="004B6750"/>
    <w:rsid w:val="004B6930"/>
    <w:rsid w:val="004B700D"/>
    <w:rsid w:val="004B798E"/>
    <w:rsid w:val="004B7B69"/>
    <w:rsid w:val="004B7F1A"/>
    <w:rsid w:val="004C0346"/>
    <w:rsid w:val="004C0551"/>
    <w:rsid w:val="004C077F"/>
    <w:rsid w:val="004C08DA"/>
    <w:rsid w:val="004C1122"/>
    <w:rsid w:val="004C1792"/>
    <w:rsid w:val="004C1976"/>
    <w:rsid w:val="004C261A"/>
    <w:rsid w:val="004C2693"/>
    <w:rsid w:val="004C3186"/>
    <w:rsid w:val="004C3770"/>
    <w:rsid w:val="004C38D8"/>
    <w:rsid w:val="004C3A6F"/>
    <w:rsid w:val="004C3B78"/>
    <w:rsid w:val="004C3DC6"/>
    <w:rsid w:val="004C3DE4"/>
    <w:rsid w:val="004C41EE"/>
    <w:rsid w:val="004C5213"/>
    <w:rsid w:val="004C5DF7"/>
    <w:rsid w:val="004C78E1"/>
    <w:rsid w:val="004C7A47"/>
    <w:rsid w:val="004D1489"/>
    <w:rsid w:val="004D1DD6"/>
    <w:rsid w:val="004D3ACA"/>
    <w:rsid w:val="004D3C18"/>
    <w:rsid w:val="004D43F2"/>
    <w:rsid w:val="004D5092"/>
    <w:rsid w:val="004D5767"/>
    <w:rsid w:val="004D5B3E"/>
    <w:rsid w:val="004D669C"/>
    <w:rsid w:val="004E0ED7"/>
    <w:rsid w:val="004E0F13"/>
    <w:rsid w:val="004E174E"/>
    <w:rsid w:val="004E210B"/>
    <w:rsid w:val="004E21DA"/>
    <w:rsid w:val="004E2B47"/>
    <w:rsid w:val="004E45FE"/>
    <w:rsid w:val="004E47E8"/>
    <w:rsid w:val="004E4C57"/>
    <w:rsid w:val="004E5ECD"/>
    <w:rsid w:val="004E682D"/>
    <w:rsid w:val="004E7445"/>
    <w:rsid w:val="004F0C32"/>
    <w:rsid w:val="004F0C3B"/>
    <w:rsid w:val="004F22AD"/>
    <w:rsid w:val="004F28DE"/>
    <w:rsid w:val="004F3150"/>
    <w:rsid w:val="004F352A"/>
    <w:rsid w:val="004F3A70"/>
    <w:rsid w:val="004F3FFB"/>
    <w:rsid w:val="004F59B2"/>
    <w:rsid w:val="004F59FE"/>
    <w:rsid w:val="004F6110"/>
    <w:rsid w:val="004F6CDD"/>
    <w:rsid w:val="004F7D46"/>
    <w:rsid w:val="005003F2"/>
    <w:rsid w:val="0050049D"/>
    <w:rsid w:val="00500648"/>
    <w:rsid w:val="005014BC"/>
    <w:rsid w:val="00502E0C"/>
    <w:rsid w:val="0050401E"/>
    <w:rsid w:val="00504586"/>
    <w:rsid w:val="00504DBD"/>
    <w:rsid w:val="005062AC"/>
    <w:rsid w:val="00506D6F"/>
    <w:rsid w:val="005072A6"/>
    <w:rsid w:val="005134D8"/>
    <w:rsid w:val="00513992"/>
    <w:rsid w:val="00514290"/>
    <w:rsid w:val="00515153"/>
    <w:rsid w:val="00515155"/>
    <w:rsid w:val="00515526"/>
    <w:rsid w:val="00516B12"/>
    <w:rsid w:val="005171CE"/>
    <w:rsid w:val="00520A32"/>
    <w:rsid w:val="00520A91"/>
    <w:rsid w:val="005215D0"/>
    <w:rsid w:val="00521816"/>
    <w:rsid w:val="005219BF"/>
    <w:rsid w:val="00521FA6"/>
    <w:rsid w:val="005220DB"/>
    <w:rsid w:val="00522DCA"/>
    <w:rsid w:val="0052364F"/>
    <w:rsid w:val="005238B6"/>
    <w:rsid w:val="00523D91"/>
    <w:rsid w:val="00524BCA"/>
    <w:rsid w:val="00525153"/>
    <w:rsid w:val="005251BE"/>
    <w:rsid w:val="00525994"/>
    <w:rsid w:val="00526168"/>
    <w:rsid w:val="00526C0E"/>
    <w:rsid w:val="005278CE"/>
    <w:rsid w:val="00527A17"/>
    <w:rsid w:val="00527D68"/>
    <w:rsid w:val="00530456"/>
    <w:rsid w:val="00530BBA"/>
    <w:rsid w:val="00531684"/>
    <w:rsid w:val="00532A8C"/>
    <w:rsid w:val="00532AEB"/>
    <w:rsid w:val="005335A1"/>
    <w:rsid w:val="005338B2"/>
    <w:rsid w:val="00534406"/>
    <w:rsid w:val="0053520A"/>
    <w:rsid w:val="00536A89"/>
    <w:rsid w:val="00537161"/>
    <w:rsid w:val="00537376"/>
    <w:rsid w:val="00540342"/>
    <w:rsid w:val="00540882"/>
    <w:rsid w:val="0054120B"/>
    <w:rsid w:val="00541447"/>
    <w:rsid w:val="00541644"/>
    <w:rsid w:val="00541B83"/>
    <w:rsid w:val="005420C4"/>
    <w:rsid w:val="00542A6A"/>
    <w:rsid w:val="00542A7C"/>
    <w:rsid w:val="005442EE"/>
    <w:rsid w:val="00546547"/>
    <w:rsid w:val="00547FFC"/>
    <w:rsid w:val="0055030E"/>
    <w:rsid w:val="00550942"/>
    <w:rsid w:val="00550CB2"/>
    <w:rsid w:val="0055129D"/>
    <w:rsid w:val="005512B2"/>
    <w:rsid w:val="00551768"/>
    <w:rsid w:val="00551A11"/>
    <w:rsid w:val="00551B74"/>
    <w:rsid w:val="005526E4"/>
    <w:rsid w:val="00552A80"/>
    <w:rsid w:val="00553BFE"/>
    <w:rsid w:val="00554943"/>
    <w:rsid w:val="00554BA4"/>
    <w:rsid w:val="00555AE4"/>
    <w:rsid w:val="005565FD"/>
    <w:rsid w:val="00556A05"/>
    <w:rsid w:val="0055770F"/>
    <w:rsid w:val="00557762"/>
    <w:rsid w:val="005604DA"/>
    <w:rsid w:val="005608FB"/>
    <w:rsid w:val="00560D3F"/>
    <w:rsid w:val="00561445"/>
    <w:rsid w:val="00562AC2"/>
    <w:rsid w:val="00563E7E"/>
    <w:rsid w:val="00565108"/>
    <w:rsid w:val="005655F5"/>
    <w:rsid w:val="0056759C"/>
    <w:rsid w:val="005676DB"/>
    <w:rsid w:val="005678E5"/>
    <w:rsid w:val="00567ED2"/>
    <w:rsid w:val="005712B4"/>
    <w:rsid w:val="0057176F"/>
    <w:rsid w:val="00571818"/>
    <w:rsid w:val="005725EF"/>
    <w:rsid w:val="005736CD"/>
    <w:rsid w:val="005738EE"/>
    <w:rsid w:val="00573C7E"/>
    <w:rsid w:val="0057593B"/>
    <w:rsid w:val="005770BA"/>
    <w:rsid w:val="00577CCA"/>
    <w:rsid w:val="00581918"/>
    <w:rsid w:val="005833FA"/>
    <w:rsid w:val="0058477E"/>
    <w:rsid w:val="00584DFB"/>
    <w:rsid w:val="00584F8C"/>
    <w:rsid w:val="005851AB"/>
    <w:rsid w:val="00585D2C"/>
    <w:rsid w:val="00587321"/>
    <w:rsid w:val="0058747D"/>
    <w:rsid w:val="00590AB8"/>
    <w:rsid w:val="00591140"/>
    <w:rsid w:val="005913A8"/>
    <w:rsid w:val="00591A11"/>
    <w:rsid w:val="00592102"/>
    <w:rsid w:val="00592670"/>
    <w:rsid w:val="00592B5D"/>
    <w:rsid w:val="00593235"/>
    <w:rsid w:val="0059412B"/>
    <w:rsid w:val="00595290"/>
    <w:rsid w:val="005954C4"/>
    <w:rsid w:val="005963EF"/>
    <w:rsid w:val="005A0303"/>
    <w:rsid w:val="005A078F"/>
    <w:rsid w:val="005A090C"/>
    <w:rsid w:val="005A0AFB"/>
    <w:rsid w:val="005A13FA"/>
    <w:rsid w:val="005A1411"/>
    <w:rsid w:val="005A1DF7"/>
    <w:rsid w:val="005A225E"/>
    <w:rsid w:val="005A29E3"/>
    <w:rsid w:val="005A2D88"/>
    <w:rsid w:val="005A30CD"/>
    <w:rsid w:val="005A31CB"/>
    <w:rsid w:val="005A3440"/>
    <w:rsid w:val="005A371D"/>
    <w:rsid w:val="005A39FD"/>
    <w:rsid w:val="005A3F22"/>
    <w:rsid w:val="005A431C"/>
    <w:rsid w:val="005A5F6C"/>
    <w:rsid w:val="005A7155"/>
    <w:rsid w:val="005A7354"/>
    <w:rsid w:val="005B0479"/>
    <w:rsid w:val="005B0A88"/>
    <w:rsid w:val="005B0D7F"/>
    <w:rsid w:val="005B10E0"/>
    <w:rsid w:val="005B14E1"/>
    <w:rsid w:val="005B25F7"/>
    <w:rsid w:val="005B2BA1"/>
    <w:rsid w:val="005B2BF4"/>
    <w:rsid w:val="005B2DDD"/>
    <w:rsid w:val="005B325F"/>
    <w:rsid w:val="005B35DF"/>
    <w:rsid w:val="005B43A6"/>
    <w:rsid w:val="005B4B0B"/>
    <w:rsid w:val="005B4C7E"/>
    <w:rsid w:val="005B4CC1"/>
    <w:rsid w:val="005B56DB"/>
    <w:rsid w:val="005B58CB"/>
    <w:rsid w:val="005B6C7E"/>
    <w:rsid w:val="005B7089"/>
    <w:rsid w:val="005B7918"/>
    <w:rsid w:val="005B7CD7"/>
    <w:rsid w:val="005C093B"/>
    <w:rsid w:val="005C18E9"/>
    <w:rsid w:val="005C2C56"/>
    <w:rsid w:val="005C3BBA"/>
    <w:rsid w:val="005C3CA6"/>
    <w:rsid w:val="005C4A1B"/>
    <w:rsid w:val="005C50B5"/>
    <w:rsid w:val="005C5A43"/>
    <w:rsid w:val="005C5FFB"/>
    <w:rsid w:val="005C6661"/>
    <w:rsid w:val="005C7059"/>
    <w:rsid w:val="005C71FA"/>
    <w:rsid w:val="005C73B7"/>
    <w:rsid w:val="005D272B"/>
    <w:rsid w:val="005D2A0C"/>
    <w:rsid w:val="005D3C9D"/>
    <w:rsid w:val="005D4165"/>
    <w:rsid w:val="005D43B3"/>
    <w:rsid w:val="005D4758"/>
    <w:rsid w:val="005D6AFF"/>
    <w:rsid w:val="005D6F1B"/>
    <w:rsid w:val="005D79F9"/>
    <w:rsid w:val="005E05D9"/>
    <w:rsid w:val="005E0749"/>
    <w:rsid w:val="005E07A9"/>
    <w:rsid w:val="005E1900"/>
    <w:rsid w:val="005E1BB8"/>
    <w:rsid w:val="005E21AD"/>
    <w:rsid w:val="005E24E8"/>
    <w:rsid w:val="005E447E"/>
    <w:rsid w:val="005E498B"/>
    <w:rsid w:val="005E4D16"/>
    <w:rsid w:val="005E551C"/>
    <w:rsid w:val="005E649A"/>
    <w:rsid w:val="005E7116"/>
    <w:rsid w:val="005F017F"/>
    <w:rsid w:val="005F02C1"/>
    <w:rsid w:val="005F055A"/>
    <w:rsid w:val="005F1206"/>
    <w:rsid w:val="005F1AB5"/>
    <w:rsid w:val="005F1C3A"/>
    <w:rsid w:val="005F256C"/>
    <w:rsid w:val="005F3B14"/>
    <w:rsid w:val="005F42F2"/>
    <w:rsid w:val="005F438E"/>
    <w:rsid w:val="005F4B5B"/>
    <w:rsid w:val="005F4F7D"/>
    <w:rsid w:val="005F6A0C"/>
    <w:rsid w:val="005F7985"/>
    <w:rsid w:val="0060151D"/>
    <w:rsid w:val="00601F70"/>
    <w:rsid w:val="00602B0D"/>
    <w:rsid w:val="0060450F"/>
    <w:rsid w:val="006048CF"/>
    <w:rsid w:val="006050C1"/>
    <w:rsid w:val="006053C9"/>
    <w:rsid w:val="00605861"/>
    <w:rsid w:val="006063BF"/>
    <w:rsid w:val="006079F7"/>
    <w:rsid w:val="0061096A"/>
    <w:rsid w:val="00611A23"/>
    <w:rsid w:val="00611F08"/>
    <w:rsid w:val="00612368"/>
    <w:rsid w:val="00612E63"/>
    <w:rsid w:val="00613038"/>
    <w:rsid w:val="006159FB"/>
    <w:rsid w:val="00615A6C"/>
    <w:rsid w:val="00615F61"/>
    <w:rsid w:val="0061699E"/>
    <w:rsid w:val="00616BE3"/>
    <w:rsid w:val="00620044"/>
    <w:rsid w:val="00620066"/>
    <w:rsid w:val="0062070D"/>
    <w:rsid w:val="006229CC"/>
    <w:rsid w:val="0062337D"/>
    <w:rsid w:val="00623F43"/>
    <w:rsid w:val="00624AA0"/>
    <w:rsid w:val="006258C9"/>
    <w:rsid w:val="0062798D"/>
    <w:rsid w:val="0063051B"/>
    <w:rsid w:val="00630E13"/>
    <w:rsid w:val="00631512"/>
    <w:rsid w:val="006316F1"/>
    <w:rsid w:val="006318FF"/>
    <w:rsid w:val="00632872"/>
    <w:rsid w:val="00632EED"/>
    <w:rsid w:val="006335E5"/>
    <w:rsid w:val="006335F0"/>
    <w:rsid w:val="00633604"/>
    <w:rsid w:val="00633605"/>
    <w:rsid w:val="0063379A"/>
    <w:rsid w:val="00636504"/>
    <w:rsid w:val="00637447"/>
    <w:rsid w:val="00637703"/>
    <w:rsid w:val="00637965"/>
    <w:rsid w:val="00637C55"/>
    <w:rsid w:val="00640ED9"/>
    <w:rsid w:val="0064106F"/>
    <w:rsid w:val="00642429"/>
    <w:rsid w:val="0064313E"/>
    <w:rsid w:val="00643BCD"/>
    <w:rsid w:val="00644B9A"/>
    <w:rsid w:val="006455D2"/>
    <w:rsid w:val="00645E99"/>
    <w:rsid w:val="006460E2"/>
    <w:rsid w:val="0064697E"/>
    <w:rsid w:val="0065028D"/>
    <w:rsid w:val="00650A15"/>
    <w:rsid w:val="00650A94"/>
    <w:rsid w:val="00650AD0"/>
    <w:rsid w:val="00651F6F"/>
    <w:rsid w:val="00652271"/>
    <w:rsid w:val="00652D4C"/>
    <w:rsid w:val="00652EBB"/>
    <w:rsid w:val="006536E3"/>
    <w:rsid w:val="00653D2A"/>
    <w:rsid w:val="006548E7"/>
    <w:rsid w:val="006549C2"/>
    <w:rsid w:val="00654F2B"/>
    <w:rsid w:val="00655BF9"/>
    <w:rsid w:val="006562A9"/>
    <w:rsid w:val="00657D41"/>
    <w:rsid w:val="006601A3"/>
    <w:rsid w:val="006602C0"/>
    <w:rsid w:val="006608CF"/>
    <w:rsid w:val="006611D6"/>
    <w:rsid w:val="00662168"/>
    <w:rsid w:val="006622A4"/>
    <w:rsid w:val="006642F6"/>
    <w:rsid w:val="0066462B"/>
    <w:rsid w:val="006646CD"/>
    <w:rsid w:val="0066477D"/>
    <w:rsid w:val="00664A74"/>
    <w:rsid w:val="00664F89"/>
    <w:rsid w:val="00665D5C"/>
    <w:rsid w:val="006665DD"/>
    <w:rsid w:val="00666AD5"/>
    <w:rsid w:val="00666C3D"/>
    <w:rsid w:val="006700BF"/>
    <w:rsid w:val="00671FF0"/>
    <w:rsid w:val="006720CD"/>
    <w:rsid w:val="00672A5E"/>
    <w:rsid w:val="00672C7C"/>
    <w:rsid w:val="00673F87"/>
    <w:rsid w:val="006742F3"/>
    <w:rsid w:val="00674D2F"/>
    <w:rsid w:val="00675453"/>
    <w:rsid w:val="00676478"/>
    <w:rsid w:val="0067648D"/>
    <w:rsid w:val="00677B92"/>
    <w:rsid w:val="00680065"/>
    <w:rsid w:val="00682184"/>
    <w:rsid w:val="0068248B"/>
    <w:rsid w:val="0068292D"/>
    <w:rsid w:val="0068493D"/>
    <w:rsid w:val="00684972"/>
    <w:rsid w:val="00684CB8"/>
    <w:rsid w:val="00685B24"/>
    <w:rsid w:val="00686279"/>
    <w:rsid w:val="00686B3F"/>
    <w:rsid w:val="00687E57"/>
    <w:rsid w:val="006906FB"/>
    <w:rsid w:val="00690ABA"/>
    <w:rsid w:val="00690EAA"/>
    <w:rsid w:val="00691001"/>
    <w:rsid w:val="00691FAA"/>
    <w:rsid w:val="0069259E"/>
    <w:rsid w:val="0069291F"/>
    <w:rsid w:val="00692AC8"/>
    <w:rsid w:val="00693A9C"/>
    <w:rsid w:val="00693C0D"/>
    <w:rsid w:val="006943C1"/>
    <w:rsid w:val="00694958"/>
    <w:rsid w:val="00694CD7"/>
    <w:rsid w:val="00694FED"/>
    <w:rsid w:val="00695CC2"/>
    <w:rsid w:val="0069611E"/>
    <w:rsid w:val="006967D9"/>
    <w:rsid w:val="00696980"/>
    <w:rsid w:val="00696D97"/>
    <w:rsid w:val="00697736"/>
    <w:rsid w:val="006A02BD"/>
    <w:rsid w:val="006A0DD3"/>
    <w:rsid w:val="006A139F"/>
    <w:rsid w:val="006A15BF"/>
    <w:rsid w:val="006A2DDE"/>
    <w:rsid w:val="006A43FC"/>
    <w:rsid w:val="006A47BE"/>
    <w:rsid w:val="006A5C70"/>
    <w:rsid w:val="006A65D3"/>
    <w:rsid w:val="006A68BE"/>
    <w:rsid w:val="006A6D2E"/>
    <w:rsid w:val="006B00CB"/>
    <w:rsid w:val="006B099D"/>
    <w:rsid w:val="006B1001"/>
    <w:rsid w:val="006B10A6"/>
    <w:rsid w:val="006B12F7"/>
    <w:rsid w:val="006B47E8"/>
    <w:rsid w:val="006B5FEF"/>
    <w:rsid w:val="006B631F"/>
    <w:rsid w:val="006B6419"/>
    <w:rsid w:val="006B6798"/>
    <w:rsid w:val="006B7587"/>
    <w:rsid w:val="006B7830"/>
    <w:rsid w:val="006C2C94"/>
    <w:rsid w:val="006C47F8"/>
    <w:rsid w:val="006C4D42"/>
    <w:rsid w:val="006C50C4"/>
    <w:rsid w:val="006C6404"/>
    <w:rsid w:val="006C650A"/>
    <w:rsid w:val="006C6655"/>
    <w:rsid w:val="006C7B01"/>
    <w:rsid w:val="006D0264"/>
    <w:rsid w:val="006D0AA9"/>
    <w:rsid w:val="006D12E0"/>
    <w:rsid w:val="006D18BF"/>
    <w:rsid w:val="006D1EC1"/>
    <w:rsid w:val="006D273E"/>
    <w:rsid w:val="006D290E"/>
    <w:rsid w:val="006D3605"/>
    <w:rsid w:val="006D37C7"/>
    <w:rsid w:val="006D3F4C"/>
    <w:rsid w:val="006D46AB"/>
    <w:rsid w:val="006D5438"/>
    <w:rsid w:val="006D5F99"/>
    <w:rsid w:val="006D697E"/>
    <w:rsid w:val="006D6CC7"/>
    <w:rsid w:val="006D7101"/>
    <w:rsid w:val="006D7121"/>
    <w:rsid w:val="006D74CC"/>
    <w:rsid w:val="006D7AE8"/>
    <w:rsid w:val="006E030B"/>
    <w:rsid w:val="006E16AC"/>
    <w:rsid w:val="006E170F"/>
    <w:rsid w:val="006E245B"/>
    <w:rsid w:val="006E2B46"/>
    <w:rsid w:val="006E2DBA"/>
    <w:rsid w:val="006E3666"/>
    <w:rsid w:val="006E46CC"/>
    <w:rsid w:val="006E57F7"/>
    <w:rsid w:val="006E5CB0"/>
    <w:rsid w:val="006E7482"/>
    <w:rsid w:val="006E759A"/>
    <w:rsid w:val="006E7751"/>
    <w:rsid w:val="006F0445"/>
    <w:rsid w:val="006F0767"/>
    <w:rsid w:val="006F078F"/>
    <w:rsid w:val="006F0870"/>
    <w:rsid w:val="006F0AFE"/>
    <w:rsid w:val="006F18D1"/>
    <w:rsid w:val="006F2070"/>
    <w:rsid w:val="006F3D04"/>
    <w:rsid w:val="006F522D"/>
    <w:rsid w:val="006F60D6"/>
    <w:rsid w:val="006F6F5E"/>
    <w:rsid w:val="006F71BF"/>
    <w:rsid w:val="006F7898"/>
    <w:rsid w:val="006F7E02"/>
    <w:rsid w:val="006F7FD4"/>
    <w:rsid w:val="007013EC"/>
    <w:rsid w:val="007016BA"/>
    <w:rsid w:val="00702269"/>
    <w:rsid w:val="00703CDD"/>
    <w:rsid w:val="00703F68"/>
    <w:rsid w:val="00705717"/>
    <w:rsid w:val="00705945"/>
    <w:rsid w:val="00705D31"/>
    <w:rsid w:val="0070639A"/>
    <w:rsid w:val="007063EF"/>
    <w:rsid w:val="00706D68"/>
    <w:rsid w:val="007100D0"/>
    <w:rsid w:val="00710166"/>
    <w:rsid w:val="00710ADD"/>
    <w:rsid w:val="00711AD7"/>
    <w:rsid w:val="00711E8D"/>
    <w:rsid w:val="007144A0"/>
    <w:rsid w:val="00714A98"/>
    <w:rsid w:val="00714B46"/>
    <w:rsid w:val="0071501A"/>
    <w:rsid w:val="00715185"/>
    <w:rsid w:val="0071580B"/>
    <w:rsid w:val="007164F5"/>
    <w:rsid w:val="00716B8D"/>
    <w:rsid w:val="00716FA6"/>
    <w:rsid w:val="00717652"/>
    <w:rsid w:val="00717C12"/>
    <w:rsid w:val="00717EE6"/>
    <w:rsid w:val="007203AB"/>
    <w:rsid w:val="007208BA"/>
    <w:rsid w:val="00720D81"/>
    <w:rsid w:val="00721063"/>
    <w:rsid w:val="00721F6F"/>
    <w:rsid w:val="00722C1C"/>
    <w:rsid w:val="00722EE9"/>
    <w:rsid w:val="007259F2"/>
    <w:rsid w:val="00726A94"/>
    <w:rsid w:val="007279DB"/>
    <w:rsid w:val="00727B50"/>
    <w:rsid w:val="00727BDD"/>
    <w:rsid w:val="00727E62"/>
    <w:rsid w:val="0073031A"/>
    <w:rsid w:val="00730D01"/>
    <w:rsid w:val="007314CD"/>
    <w:rsid w:val="00731845"/>
    <w:rsid w:val="0073204A"/>
    <w:rsid w:val="00732188"/>
    <w:rsid w:val="007323EF"/>
    <w:rsid w:val="0073251C"/>
    <w:rsid w:val="007327BB"/>
    <w:rsid w:val="00732A41"/>
    <w:rsid w:val="00732D58"/>
    <w:rsid w:val="0073503A"/>
    <w:rsid w:val="00735241"/>
    <w:rsid w:val="0073543B"/>
    <w:rsid w:val="007363E5"/>
    <w:rsid w:val="00737EBC"/>
    <w:rsid w:val="00741C86"/>
    <w:rsid w:val="00744ABA"/>
    <w:rsid w:val="00745909"/>
    <w:rsid w:val="00745DB9"/>
    <w:rsid w:val="0074614A"/>
    <w:rsid w:val="00747236"/>
    <w:rsid w:val="00747A41"/>
    <w:rsid w:val="00750249"/>
    <w:rsid w:val="007503CA"/>
    <w:rsid w:val="00751041"/>
    <w:rsid w:val="007510AC"/>
    <w:rsid w:val="007510B8"/>
    <w:rsid w:val="00752836"/>
    <w:rsid w:val="0075351D"/>
    <w:rsid w:val="007537BE"/>
    <w:rsid w:val="007540C7"/>
    <w:rsid w:val="00755D9B"/>
    <w:rsid w:val="00755F96"/>
    <w:rsid w:val="0075649B"/>
    <w:rsid w:val="00756AA1"/>
    <w:rsid w:val="0075762F"/>
    <w:rsid w:val="007601EA"/>
    <w:rsid w:val="007607D7"/>
    <w:rsid w:val="00761FAF"/>
    <w:rsid w:val="00762973"/>
    <w:rsid w:val="007635D5"/>
    <w:rsid w:val="007637C0"/>
    <w:rsid w:val="00764272"/>
    <w:rsid w:val="00764280"/>
    <w:rsid w:val="007646E0"/>
    <w:rsid w:val="00764DF0"/>
    <w:rsid w:val="00765E94"/>
    <w:rsid w:val="00767376"/>
    <w:rsid w:val="00767506"/>
    <w:rsid w:val="007675F5"/>
    <w:rsid w:val="00770113"/>
    <w:rsid w:val="00770A6F"/>
    <w:rsid w:val="00770BE1"/>
    <w:rsid w:val="00770D47"/>
    <w:rsid w:val="007712B1"/>
    <w:rsid w:val="0077152C"/>
    <w:rsid w:val="00773181"/>
    <w:rsid w:val="0077334E"/>
    <w:rsid w:val="00774030"/>
    <w:rsid w:val="00774601"/>
    <w:rsid w:val="007756EB"/>
    <w:rsid w:val="0077641D"/>
    <w:rsid w:val="00776692"/>
    <w:rsid w:val="00776F6D"/>
    <w:rsid w:val="007771F0"/>
    <w:rsid w:val="0077727F"/>
    <w:rsid w:val="00777280"/>
    <w:rsid w:val="00777DB3"/>
    <w:rsid w:val="00777DC2"/>
    <w:rsid w:val="00780AEB"/>
    <w:rsid w:val="00780BC4"/>
    <w:rsid w:val="00781557"/>
    <w:rsid w:val="007816B3"/>
    <w:rsid w:val="00781708"/>
    <w:rsid w:val="00782C1D"/>
    <w:rsid w:val="00783524"/>
    <w:rsid w:val="00784B08"/>
    <w:rsid w:val="00785AB0"/>
    <w:rsid w:val="00786A24"/>
    <w:rsid w:val="0078743C"/>
    <w:rsid w:val="00787604"/>
    <w:rsid w:val="00787BF5"/>
    <w:rsid w:val="00787C3B"/>
    <w:rsid w:val="0079041E"/>
    <w:rsid w:val="00790ECB"/>
    <w:rsid w:val="00791023"/>
    <w:rsid w:val="00791656"/>
    <w:rsid w:val="007928B6"/>
    <w:rsid w:val="00793086"/>
    <w:rsid w:val="007935FA"/>
    <w:rsid w:val="00793B9F"/>
    <w:rsid w:val="00793C5D"/>
    <w:rsid w:val="00795427"/>
    <w:rsid w:val="00795FE0"/>
    <w:rsid w:val="007979DF"/>
    <w:rsid w:val="007A0584"/>
    <w:rsid w:val="007A0A5E"/>
    <w:rsid w:val="007A0BD6"/>
    <w:rsid w:val="007A1223"/>
    <w:rsid w:val="007A2154"/>
    <w:rsid w:val="007A2CBC"/>
    <w:rsid w:val="007A2CE2"/>
    <w:rsid w:val="007A35BD"/>
    <w:rsid w:val="007A3929"/>
    <w:rsid w:val="007A3B5F"/>
    <w:rsid w:val="007A44BE"/>
    <w:rsid w:val="007A469E"/>
    <w:rsid w:val="007A4D1A"/>
    <w:rsid w:val="007A568C"/>
    <w:rsid w:val="007A5F28"/>
    <w:rsid w:val="007A6172"/>
    <w:rsid w:val="007A63F4"/>
    <w:rsid w:val="007A74FC"/>
    <w:rsid w:val="007A77B0"/>
    <w:rsid w:val="007A7F9C"/>
    <w:rsid w:val="007B09A7"/>
    <w:rsid w:val="007B0B80"/>
    <w:rsid w:val="007B1B75"/>
    <w:rsid w:val="007B20B0"/>
    <w:rsid w:val="007B25CD"/>
    <w:rsid w:val="007B29AB"/>
    <w:rsid w:val="007B3734"/>
    <w:rsid w:val="007B39B2"/>
    <w:rsid w:val="007B49DB"/>
    <w:rsid w:val="007B4FB0"/>
    <w:rsid w:val="007B50F1"/>
    <w:rsid w:val="007B52F8"/>
    <w:rsid w:val="007B54B2"/>
    <w:rsid w:val="007B56E2"/>
    <w:rsid w:val="007B6A64"/>
    <w:rsid w:val="007B7F57"/>
    <w:rsid w:val="007C0D2E"/>
    <w:rsid w:val="007C13D9"/>
    <w:rsid w:val="007C25EC"/>
    <w:rsid w:val="007C3832"/>
    <w:rsid w:val="007C3934"/>
    <w:rsid w:val="007C416C"/>
    <w:rsid w:val="007C4373"/>
    <w:rsid w:val="007C4955"/>
    <w:rsid w:val="007C4AD0"/>
    <w:rsid w:val="007C5140"/>
    <w:rsid w:val="007C5BC8"/>
    <w:rsid w:val="007C5E29"/>
    <w:rsid w:val="007C63CF"/>
    <w:rsid w:val="007D0D34"/>
    <w:rsid w:val="007D100B"/>
    <w:rsid w:val="007D15D1"/>
    <w:rsid w:val="007D165E"/>
    <w:rsid w:val="007D2E2B"/>
    <w:rsid w:val="007D3E3A"/>
    <w:rsid w:val="007D4CA8"/>
    <w:rsid w:val="007D5B3C"/>
    <w:rsid w:val="007D61A9"/>
    <w:rsid w:val="007D6FA7"/>
    <w:rsid w:val="007E0455"/>
    <w:rsid w:val="007E0FE3"/>
    <w:rsid w:val="007E1024"/>
    <w:rsid w:val="007E1863"/>
    <w:rsid w:val="007E18C6"/>
    <w:rsid w:val="007E2281"/>
    <w:rsid w:val="007E22F1"/>
    <w:rsid w:val="007E2E67"/>
    <w:rsid w:val="007E2E93"/>
    <w:rsid w:val="007E379A"/>
    <w:rsid w:val="007E40FD"/>
    <w:rsid w:val="007E4202"/>
    <w:rsid w:val="007E433C"/>
    <w:rsid w:val="007E448B"/>
    <w:rsid w:val="007E475A"/>
    <w:rsid w:val="007E4AF8"/>
    <w:rsid w:val="007E53F7"/>
    <w:rsid w:val="007E547B"/>
    <w:rsid w:val="007E75FB"/>
    <w:rsid w:val="007E7E06"/>
    <w:rsid w:val="007F0406"/>
    <w:rsid w:val="007F05A0"/>
    <w:rsid w:val="007F0693"/>
    <w:rsid w:val="007F1181"/>
    <w:rsid w:val="007F1242"/>
    <w:rsid w:val="007F16F7"/>
    <w:rsid w:val="007F17F6"/>
    <w:rsid w:val="007F5365"/>
    <w:rsid w:val="007F59EC"/>
    <w:rsid w:val="007F63C5"/>
    <w:rsid w:val="007F6515"/>
    <w:rsid w:val="007F672E"/>
    <w:rsid w:val="007F711D"/>
    <w:rsid w:val="007F7B2C"/>
    <w:rsid w:val="008030A0"/>
    <w:rsid w:val="00803E9F"/>
    <w:rsid w:val="008040BD"/>
    <w:rsid w:val="00804626"/>
    <w:rsid w:val="008051B4"/>
    <w:rsid w:val="0080528E"/>
    <w:rsid w:val="0080543D"/>
    <w:rsid w:val="008058AA"/>
    <w:rsid w:val="00805E7F"/>
    <w:rsid w:val="00805F59"/>
    <w:rsid w:val="00806055"/>
    <w:rsid w:val="008064B1"/>
    <w:rsid w:val="008065E6"/>
    <w:rsid w:val="008070A1"/>
    <w:rsid w:val="00810292"/>
    <w:rsid w:val="00810308"/>
    <w:rsid w:val="00810794"/>
    <w:rsid w:val="00810E8F"/>
    <w:rsid w:val="00811114"/>
    <w:rsid w:val="00811640"/>
    <w:rsid w:val="00812093"/>
    <w:rsid w:val="008127D5"/>
    <w:rsid w:val="008129DD"/>
    <w:rsid w:val="00812C53"/>
    <w:rsid w:val="00813033"/>
    <w:rsid w:val="00814417"/>
    <w:rsid w:val="00814CCB"/>
    <w:rsid w:val="00815100"/>
    <w:rsid w:val="0081530E"/>
    <w:rsid w:val="00815466"/>
    <w:rsid w:val="008154FA"/>
    <w:rsid w:val="008158C5"/>
    <w:rsid w:val="00815B6D"/>
    <w:rsid w:val="00820569"/>
    <w:rsid w:val="00820A2A"/>
    <w:rsid w:val="00820C01"/>
    <w:rsid w:val="00820CB7"/>
    <w:rsid w:val="00822156"/>
    <w:rsid w:val="00822538"/>
    <w:rsid w:val="0082296A"/>
    <w:rsid w:val="00822AD9"/>
    <w:rsid w:val="008231FC"/>
    <w:rsid w:val="00824E54"/>
    <w:rsid w:val="00824E7B"/>
    <w:rsid w:val="008306B7"/>
    <w:rsid w:val="0083091F"/>
    <w:rsid w:val="00830F1B"/>
    <w:rsid w:val="00832033"/>
    <w:rsid w:val="008320E3"/>
    <w:rsid w:val="00833073"/>
    <w:rsid w:val="008336D7"/>
    <w:rsid w:val="00833F45"/>
    <w:rsid w:val="00833FAD"/>
    <w:rsid w:val="008357C9"/>
    <w:rsid w:val="00836D55"/>
    <w:rsid w:val="00840595"/>
    <w:rsid w:val="00841C64"/>
    <w:rsid w:val="00842511"/>
    <w:rsid w:val="00844154"/>
    <w:rsid w:val="008441F2"/>
    <w:rsid w:val="00845EBE"/>
    <w:rsid w:val="00846D7B"/>
    <w:rsid w:val="00847076"/>
    <w:rsid w:val="00847708"/>
    <w:rsid w:val="00850223"/>
    <w:rsid w:val="00850A4E"/>
    <w:rsid w:val="008519BE"/>
    <w:rsid w:val="00851ABB"/>
    <w:rsid w:val="00853145"/>
    <w:rsid w:val="00853BF5"/>
    <w:rsid w:val="00854BD0"/>
    <w:rsid w:val="00855975"/>
    <w:rsid w:val="008579CC"/>
    <w:rsid w:val="0086049F"/>
    <w:rsid w:val="0086088A"/>
    <w:rsid w:val="00860D4D"/>
    <w:rsid w:val="00861141"/>
    <w:rsid w:val="00861819"/>
    <w:rsid w:val="00861831"/>
    <w:rsid w:val="0086189D"/>
    <w:rsid w:val="00861D13"/>
    <w:rsid w:val="0086211B"/>
    <w:rsid w:val="008625A3"/>
    <w:rsid w:val="00862957"/>
    <w:rsid w:val="00862E33"/>
    <w:rsid w:val="0086344B"/>
    <w:rsid w:val="008638C7"/>
    <w:rsid w:val="008644B2"/>
    <w:rsid w:val="00864C88"/>
    <w:rsid w:val="00864D79"/>
    <w:rsid w:val="00867F34"/>
    <w:rsid w:val="008703B4"/>
    <w:rsid w:val="00870BC5"/>
    <w:rsid w:val="00871C00"/>
    <w:rsid w:val="00871E55"/>
    <w:rsid w:val="00872178"/>
    <w:rsid w:val="00872288"/>
    <w:rsid w:val="008736A6"/>
    <w:rsid w:val="0087469E"/>
    <w:rsid w:val="0087485C"/>
    <w:rsid w:val="0087528C"/>
    <w:rsid w:val="0087563F"/>
    <w:rsid w:val="0087564B"/>
    <w:rsid w:val="00877D40"/>
    <w:rsid w:val="00877F74"/>
    <w:rsid w:val="00880EB3"/>
    <w:rsid w:val="00881CA9"/>
    <w:rsid w:val="008820C6"/>
    <w:rsid w:val="0088420F"/>
    <w:rsid w:val="0088468E"/>
    <w:rsid w:val="00884D99"/>
    <w:rsid w:val="00885441"/>
    <w:rsid w:val="00885548"/>
    <w:rsid w:val="00886774"/>
    <w:rsid w:val="00887CCE"/>
    <w:rsid w:val="00887E26"/>
    <w:rsid w:val="0089017B"/>
    <w:rsid w:val="00890BFA"/>
    <w:rsid w:val="00891B49"/>
    <w:rsid w:val="0089206A"/>
    <w:rsid w:val="00892224"/>
    <w:rsid w:val="008922EC"/>
    <w:rsid w:val="008923E7"/>
    <w:rsid w:val="00892F7B"/>
    <w:rsid w:val="00893299"/>
    <w:rsid w:val="00893671"/>
    <w:rsid w:val="0089457A"/>
    <w:rsid w:val="00896149"/>
    <w:rsid w:val="00897130"/>
    <w:rsid w:val="0089724C"/>
    <w:rsid w:val="00897529"/>
    <w:rsid w:val="008A00ED"/>
    <w:rsid w:val="008A0817"/>
    <w:rsid w:val="008A0A9E"/>
    <w:rsid w:val="008A1DE7"/>
    <w:rsid w:val="008A4169"/>
    <w:rsid w:val="008A4590"/>
    <w:rsid w:val="008A50A9"/>
    <w:rsid w:val="008A6288"/>
    <w:rsid w:val="008A6325"/>
    <w:rsid w:val="008A6AAF"/>
    <w:rsid w:val="008A7221"/>
    <w:rsid w:val="008A75FC"/>
    <w:rsid w:val="008B1030"/>
    <w:rsid w:val="008B1D3F"/>
    <w:rsid w:val="008B2547"/>
    <w:rsid w:val="008B2CCE"/>
    <w:rsid w:val="008B3555"/>
    <w:rsid w:val="008B3CF9"/>
    <w:rsid w:val="008B4378"/>
    <w:rsid w:val="008B46E0"/>
    <w:rsid w:val="008B4DE6"/>
    <w:rsid w:val="008B56EF"/>
    <w:rsid w:val="008B622F"/>
    <w:rsid w:val="008B669A"/>
    <w:rsid w:val="008B69CF"/>
    <w:rsid w:val="008B7071"/>
    <w:rsid w:val="008C1627"/>
    <w:rsid w:val="008C170A"/>
    <w:rsid w:val="008C1D43"/>
    <w:rsid w:val="008C219B"/>
    <w:rsid w:val="008C2E2D"/>
    <w:rsid w:val="008C3608"/>
    <w:rsid w:val="008C3A43"/>
    <w:rsid w:val="008C3ECB"/>
    <w:rsid w:val="008C5485"/>
    <w:rsid w:val="008C5928"/>
    <w:rsid w:val="008C6847"/>
    <w:rsid w:val="008C7571"/>
    <w:rsid w:val="008C7AA5"/>
    <w:rsid w:val="008D04CB"/>
    <w:rsid w:val="008D059E"/>
    <w:rsid w:val="008D12D0"/>
    <w:rsid w:val="008D197B"/>
    <w:rsid w:val="008D1BE7"/>
    <w:rsid w:val="008D1EE3"/>
    <w:rsid w:val="008D2BD9"/>
    <w:rsid w:val="008D32E5"/>
    <w:rsid w:val="008D3B06"/>
    <w:rsid w:val="008D3BC4"/>
    <w:rsid w:val="008D400A"/>
    <w:rsid w:val="008D4E29"/>
    <w:rsid w:val="008D5386"/>
    <w:rsid w:val="008D66A4"/>
    <w:rsid w:val="008D6DA5"/>
    <w:rsid w:val="008D731F"/>
    <w:rsid w:val="008D7CB1"/>
    <w:rsid w:val="008D7D82"/>
    <w:rsid w:val="008E0089"/>
    <w:rsid w:val="008E0422"/>
    <w:rsid w:val="008E230D"/>
    <w:rsid w:val="008E27C2"/>
    <w:rsid w:val="008E339B"/>
    <w:rsid w:val="008E47B7"/>
    <w:rsid w:val="008E6010"/>
    <w:rsid w:val="008E739E"/>
    <w:rsid w:val="008E7DD4"/>
    <w:rsid w:val="008F046E"/>
    <w:rsid w:val="008F1CCF"/>
    <w:rsid w:val="008F1DF6"/>
    <w:rsid w:val="008F1F74"/>
    <w:rsid w:val="008F213B"/>
    <w:rsid w:val="008F2463"/>
    <w:rsid w:val="008F3FE7"/>
    <w:rsid w:val="008F4C06"/>
    <w:rsid w:val="008F5E7E"/>
    <w:rsid w:val="008F6002"/>
    <w:rsid w:val="008F6E8E"/>
    <w:rsid w:val="008F7EB0"/>
    <w:rsid w:val="00901391"/>
    <w:rsid w:val="009014DE"/>
    <w:rsid w:val="009015B7"/>
    <w:rsid w:val="00901AE0"/>
    <w:rsid w:val="0090201B"/>
    <w:rsid w:val="00902030"/>
    <w:rsid w:val="00902C1A"/>
    <w:rsid w:val="00903678"/>
    <w:rsid w:val="00903B36"/>
    <w:rsid w:val="00904F50"/>
    <w:rsid w:val="009052CE"/>
    <w:rsid w:val="00905665"/>
    <w:rsid w:val="009062A2"/>
    <w:rsid w:val="009108A7"/>
    <w:rsid w:val="00912B0A"/>
    <w:rsid w:val="009154A6"/>
    <w:rsid w:val="00915AE5"/>
    <w:rsid w:val="009163A7"/>
    <w:rsid w:val="00916AC3"/>
    <w:rsid w:val="00916F5A"/>
    <w:rsid w:val="00917186"/>
    <w:rsid w:val="009177EC"/>
    <w:rsid w:val="00917C2D"/>
    <w:rsid w:val="00920BB9"/>
    <w:rsid w:val="00921EAB"/>
    <w:rsid w:val="0092239E"/>
    <w:rsid w:val="00922872"/>
    <w:rsid w:val="00922D10"/>
    <w:rsid w:val="00923980"/>
    <w:rsid w:val="00923E41"/>
    <w:rsid w:val="0092409C"/>
    <w:rsid w:val="009247F2"/>
    <w:rsid w:val="009249BB"/>
    <w:rsid w:val="00924DCF"/>
    <w:rsid w:val="0092539D"/>
    <w:rsid w:val="00925C3B"/>
    <w:rsid w:val="0092739B"/>
    <w:rsid w:val="0092763E"/>
    <w:rsid w:val="00927CA0"/>
    <w:rsid w:val="009309C5"/>
    <w:rsid w:val="00930AEF"/>
    <w:rsid w:val="00930DB3"/>
    <w:rsid w:val="009310F2"/>
    <w:rsid w:val="009329E4"/>
    <w:rsid w:val="00933377"/>
    <w:rsid w:val="009338B3"/>
    <w:rsid w:val="00933B90"/>
    <w:rsid w:val="00933D4B"/>
    <w:rsid w:val="00934141"/>
    <w:rsid w:val="009341DA"/>
    <w:rsid w:val="00936B33"/>
    <w:rsid w:val="00936C47"/>
    <w:rsid w:val="00940EE5"/>
    <w:rsid w:val="009411C8"/>
    <w:rsid w:val="00941904"/>
    <w:rsid w:val="009425E3"/>
    <w:rsid w:val="0094347F"/>
    <w:rsid w:val="009438AF"/>
    <w:rsid w:val="00943D8F"/>
    <w:rsid w:val="00944206"/>
    <w:rsid w:val="009442A6"/>
    <w:rsid w:val="009444AB"/>
    <w:rsid w:val="0094518D"/>
    <w:rsid w:val="009457A6"/>
    <w:rsid w:val="00946516"/>
    <w:rsid w:val="0094679B"/>
    <w:rsid w:val="009467BD"/>
    <w:rsid w:val="00946804"/>
    <w:rsid w:val="0094698E"/>
    <w:rsid w:val="00950B34"/>
    <w:rsid w:val="00951698"/>
    <w:rsid w:val="00953BEE"/>
    <w:rsid w:val="00953CAE"/>
    <w:rsid w:val="00954BF3"/>
    <w:rsid w:val="00956474"/>
    <w:rsid w:val="00957865"/>
    <w:rsid w:val="00960017"/>
    <w:rsid w:val="009609A2"/>
    <w:rsid w:val="009611C9"/>
    <w:rsid w:val="009611EF"/>
    <w:rsid w:val="00963451"/>
    <w:rsid w:val="00963AE0"/>
    <w:rsid w:val="00964B27"/>
    <w:rsid w:val="00964B2B"/>
    <w:rsid w:val="00965357"/>
    <w:rsid w:val="00965756"/>
    <w:rsid w:val="00966EAC"/>
    <w:rsid w:val="00967224"/>
    <w:rsid w:val="00970AE0"/>
    <w:rsid w:val="00970CF8"/>
    <w:rsid w:val="00970ECC"/>
    <w:rsid w:val="00970FBA"/>
    <w:rsid w:val="00971440"/>
    <w:rsid w:val="009717D5"/>
    <w:rsid w:val="00972455"/>
    <w:rsid w:val="0097285D"/>
    <w:rsid w:val="00973AF8"/>
    <w:rsid w:val="009740BA"/>
    <w:rsid w:val="00974DAD"/>
    <w:rsid w:val="00975646"/>
    <w:rsid w:val="00976775"/>
    <w:rsid w:val="00976AE3"/>
    <w:rsid w:val="00976FC2"/>
    <w:rsid w:val="00976FCA"/>
    <w:rsid w:val="00977C0B"/>
    <w:rsid w:val="0098121E"/>
    <w:rsid w:val="00981821"/>
    <w:rsid w:val="009818CC"/>
    <w:rsid w:val="00981D3F"/>
    <w:rsid w:val="00982B80"/>
    <w:rsid w:val="009835A6"/>
    <w:rsid w:val="00983E2B"/>
    <w:rsid w:val="00983EC1"/>
    <w:rsid w:val="00984D31"/>
    <w:rsid w:val="00984FCD"/>
    <w:rsid w:val="0098635E"/>
    <w:rsid w:val="00986EBF"/>
    <w:rsid w:val="00987515"/>
    <w:rsid w:val="0098796A"/>
    <w:rsid w:val="00987ACB"/>
    <w:rsid w:val="009917AE"/>
    <w:rsid w:val="00991B86"/>
    <w:rsid w:val="0099379E"/>
    <w:rsid w:val="00993895"/>
    <w:rsid w:val="00993CCF"/>
    <w:rsid w:val="00994FEE"/>
    <w:rsid w:val="009955AD"/>
    <w:rsid w:val="00995670"/>
    <w:rsid w:val="009957EF"/>
    <w:rsid w:val="00996616"/>
    <w:rsid w:val="00997169"/>
    <w:rsid w:val="00997C34"/>
    <w:rsid w:val="009A0186"/>
    <w:rsid w:val="009A266F"/>
    <w:rsid w:val="009A2BCE"/>
    <w:rsid w:val="009A389A"/>
    <w:rsid w:val="009A3AF1"/>
    <w:rsid w:val="009A41DC"/>
    <w:rsid w:val="009A4D82"/>
    <w:rsid w:val="009A51C0"/>
    <w:rsid w:val="009A5290"/>
    <w:rsid w:val="009A672F"/>
    <w:rsid w:val="009A6B85"/>
    <w:rsid w:val="009A6FC8"/>
    <w:rsid w:val="009A7D49"/>
    <w:rsid w:val="009B0848"/>
    <w:rsid w:val="009B15FD"/>
    <w:rsid w:val="009B2126"/>
    <w:rsid w:val="009B27CA"/>
    <w:rsid w:val="009B3608"/>
    <w:rsid w:val="009B363B"/>
    <w:rsid w:val="009B399E"/>
    <w:rsid w:val="009B3B66"/>
    <w:rsid w:val="009B4B84"/>
    <w:rsid w:val="009B4C47"/>
    <w:rsid w:val="009B50B8"/>
    <w:rsid w:val="009B6351"/>
    <w:rsid w:val="009B6E0B"/>
    <w:rsid w:val="009C1AFF"/>
    <w:rsid w:val="009C2C88"/>
    <w:rsid w:val="009C51E3"/>
    <w:rsid w:val="009C71FA"/>
    <w:rsid w:val="009D06BA"/>
    <w:rsid w:val="009D0E37"/>
    <w:rsid w:val="009D1909"/>
    <w:rsid w:val="009D2396"/>
    <w:rsid w:val="009D2B4B"/>
    <w:rsid w:val="009D2C33"/>
    <w:rsid w:val="009D3A8C"/>
    <w:rsid w:val="009D3B1E"/>
    <w:rsid w:val="009D452C"/>
    <w:rsid w:val="009D45CF"/>
    <w:rsid w:val="009D45EF"/>
    <w:rsid w:val="009D5C63"/>
    <w:rsid w:val="009D5DC1"/>
    <w:rsid w:val="009D60F1"/>
    <w:rsid w:val="009E00CB"/>
    <w:rsid w:val="009E1495"/>
    <w:rsid w:val="009E1768"/>
    <w:rsid w:val="009E342C"/>
    <w:rsid w:val="009E35DE"/>
    <w:rsid w:val="009E3933"/>
    <w:rsid w:val="009E3A6B"/>
    <w:rsid w:val="009E3F1E"/>
    <w:rsid w:val="009E46A6"/>
    <w:rsid w:val="009E5A06"/>
    <w:rsid w:val="009E5D6F"/>
    <w:rsid w:val="009E6B95"/>
    <w:rsid w:val="009E78DA"/>
    <w:rsid w:val="009F0EA6"/>
    <w:rsid w:val="009F289A"/>
    <w:rsid w:val="009F2901"/>
    <w:rsid w:val="009F31C6"/>
    <w:rsid w:val="009F3498"/>
    <w:rsid w:val="009F3998"/>
    <w:rsid w:val="009F47B3"/>
    <w:rsid w:val="009F4863"/>
    <w:rsid w:val="009F4C65"/>
    <w:rsid w:val="009F55F6"/>
    <w:rsid w:val="009F5A1A"/>
    <w:rsid w:val="00A00DD1"/>
    <w:rsid w:val="00A0134D"/>
    <w:rsid w:val="00A01D60"/>
    <w:rsid w:val="00A030B5"/>
    <w:rsid w:val="00A03F17"/>
    <w:rsid w:val="00A04C67"/>
    <w:rsid w:val="00A051A5"/>
    <w:rsid w:val="00A06AC4"/>
    <w:rsid w:val="00A06C8D"/>
    <w:rsid w:val="00A0784F"/>
    <w:rsid w:val="00A07A6F"/>
    <w:rsid w:val="00A07B1C"/>
    <w:rsid w:val="00A113CD"/>
    <w:rsid w:val="00A12128"/>
    <w:rsid w:val="00A12500"/>
    <w:rsid w:val="00A14CD5"/>
    <w:rsid w:val="00A15703"/>
    <w:rsid w:val="00A1616A"/>
    <w:rsid w:val="00A17799"/>
    <w:rsid w:val="00A17E18"/>
    <w:rsid w:val="00A205A3"/>
    <w:rsid w:val="00A2195F"/>
    <w:rsid w:val="00A21B30"/>
    <w:rsid w:val="00A21D54"/>
    <w:rsid w:val="00A22471"/>
    <w:rsid w:val="00A226BD"/>
    <w:rsid w:val="00A22E93"/>
    <w:rsid w:val="00A236CB"/>
    <w:rsid w:val="00A23E8E"/>
    <w:rsid w:val="00A24396"/>
    <w:rsid w:val="00A244C0"/>
    <w:rsid w:val="00A2484F"/>
    <w:rsid w:val="00A250CF"/>
    <w:rsid w:val="00A25140"/>
    <w:rsid w:val="00A2568B"/>
    <w:rsid w:val="00A26BD8"/>
    <w:rsid w:val="00A27FF3"/>
    <w:rsid w:val="00A30A73"/>
    <w:rsid w:val="00A31027"/>
    <w:rsid w:val="00A31268"/>
    <w:rsid w:val="00A31781"/>
    <w:rsid w:val="00A318E4"/>
    <w:rsid w:val="00A32C0C"/>
    <w:rsid w:val="00A3378C"/>
    <w:rsid w:val="00A3381E"/>
    <w:rsid w:val="00A339C8"/>
    <w:rsid w:val="00A33FD1"/>
    <w:rsid w:val="00A342F8"/>
    <w:rsid w:val="00A34DFE"/>
    <w:rsid w:val="00A35A0E"/>
    <w:rsid w:val="00A35D62"/>
    <w:rsid w:val="00A35F71"/>
    <w:rsid w:val="00A3618A"/>
    <w:rsid w:val="00A36DA6"/>
    <w:rsid w:val="00A3780B"/>
    <w:rsid w:val="00A37B4E"/>
    <w:rsid w:val="00A41250"/>
    <w:rsid w:val="00A41271"/>
    <w:rsid w:val="00A4170A"/>
    <w:rsid w:val="00A41822"/>
    <w:rsid w:val="00A423A4"/>
    <w:rsid w:val="00A42923"/>
    <w:rsid w:val="00A44024"/>
    <w:rsid w:val="00A4432A"/>
    <w:rsid w:val="00A449D8"/>
    <w:rsid w:val="00A45484"/>
    <w:rsid w:val="00A467A2"/>
    <w:rsid w:val="00A46AF2"/>
    <w:rsid w:val="00A46FFE"/>
    <w:rsid w:val="00A473ED"/>
    <w:rsid w:val="00A47951"/>
    <w:rsid w:val="00A50B23"/>
    <w:rsid w:val="00A50C89"/>
    <w:rsid w:val="00A51CE7"/>
    <w:rsid w:val="00A52C1F"/>
    <w:rsid w:val="00A5401B"/>
    <w:rsid w:val="00A54F46"/>
    <w:rsid w:val="00A560E3"/>
    <w:rsid w:val="00A56745"/>
    <w:rsid w:val="00A56852"/>
    <w:rsid w:val="00A6008A"/>
    <w:rsid w:val="00A60C43"/>
    <w:rsid w:val="00A61017"/>
    <w:rsid w:val="00A61F42"/>
    <w:rsid w:val="00A620B5"/>
    <w:rsid w:val="00A627C3"/>
    <w:rsid w:val="00A62D6B"/>
    <w:rsid w:val="00A62F7D"/>
    <w:rsid w:val="00A6402D"/>
    <w:rsid w:val="00A6431E"/>
    <w:rsid w:val="00A6440C"/>
    <w:rsid w:val="00A65052"/>
    <w:rsid w:val="00A659C2"/>
    <w:rsid w:val="00A65C35"/>
    <w:rsid w:val="00A65C5B"/>
    <w:rsid w:val="00A663F4"/>
    <w:rsid w:val="00A664C7"/>
    <w:rsid w:val="00A67CCD"/>
    <w:rsid w:val="00A70D6C"/>
    <w:rsid w:val="00A70F1D"/>
    <w:rsid w:val="00A71587"/>
    <w:rsid w:val="00A71C77"/>
    <w:rsid w:val="00A71E3E"/>
    <w:rsid w:val="00A72D7C"/>
    <w:rsid w:val="00A731D5"/>
    <w:rsid w:val="00A75B5C"/>
    <w:rsid w:val="00A75E38"/>
    <w:rsid w:val="00A765C2"/>
    <w:rsid w:val="00A772B3"/>
    <w:rsid w:val="00A77CE3"/>
    <w:rsid w:val="00A80C16"/>
    <w:rsid w:val="00A8105A"/>
    <w:rsid w:val="00A8164E"/>
    <w:rsid w:val="00A8192B"/>
    <w:rsid w:val="00A8350C"/>
    <w:rsid w:val="00A83972"/>
    <w:rsid w:val="00A83E1E"/>
    <w:rsid w:val="00A84136"/>
    <w:rsid w:val="00A84715"/>
    <w:rsid w:val="00A84933"/>
    <w:rsid w:val="00A84DF7"/>
    <w:rsid w:val="00A877F4"/>
    <w:rsid w:val="00A9074D"/>
    <w:rsid w:val="00A90760"/>
    <w:rsid w:val="00A910DD"/>
    <w:rsid w:val="00A9161F"/>
    <w:rsid w:val="00A91CC8"/>
    <w:rsid w:val="00A91D02"/>
    <w:rsid w:val="00A92869"/>
    <w:rsid w:val="00A93415"/>
    <w:rsid w:val="00A945F0"/>
    <w:rsid w:val="00A94D4D"/>
    <w:rsid w:val="00A957AD"/>
    <w:rsid w:val="00A95E60"/>
    <w:rsid w:val="00A963BE"/>
    <w:rsid w:val="00A96A2A"/>
    <w:rsid w:val="00A96FA4"/>
    <w:rsid w:val="00A9795B"/>
    <w:rsid w:val="00A97D33"/>
    <w:rsid w:val="00AA17B3"/>
    <w:rsid w:val="00AA233F"/>
    <w:rsid w:val="00AA23D9"/>
    <w:rsid w:val="00AA41C2"/>
    <w:rsid w:val="00AA41D4"/>
    <w:rsid w:val="00AA4929"/>
    <w:rsid w:val="00AA4B23"/>
    <w:rsid w:val="00AA5222"/>
    <w:rsid w:val="00AA6D83"/>
    <w:rsid w:val="00AA714E"/>
    <w:rsid w:val="00AA7863"/>
    <w:rsid w:val="00AA795E"/>
    <w:rsid w:val="00AB0077"/>
    <w:rsid w:val="00AB051A"/>
    <w:rsid w:val="00AB15DC"/>
    <w:rsid w:val="00AB23D1"/>
    <w:rsid w:val="00AB2702"/>
    <w:rsid w:val="00AB3C0E"/>
    <w:rsid w:val="00AB594E"/>
    <w:rsid w:val="00AB5D48"/>
    <w:rsid w:val="00AB61AD"/>
    <w:rsid w:val="00AB7A1F"/>
    <w:rsid w:val="00AB7FF3"/>
    <w:rsid w:val="00AC022A"/>
    <w:rsid w:val="00AC18BB"/>
    <w:rsid w:val="00AC2B9C"/>
    <w:rsid w:val="00AC2D2A"/>
    <w:rsid w:val="00AC317F"/>
    <w:rsid w:val="00AC3A93"/>
    <w:rsid w:val="00AC3C7E"/>
    <w:rsid w:val="00AC4DA7"/>
    <w:rsid w:val="00AC63C9"/>
    <w:rsid w:val="00AC66C7"/>
    <w:rsid w:val="00AD0ECF"/>
    <w:rsid w:val="00AD10F9"/>
    <w:rsid w:val="00AD1AFE"/>
    <w:rsid w:val="00AD3244"/>
    <w:rsid w:val="00AD4247"/>
    <w:rsid w:val="00AD497D"/>
    <w:rsid w:val="00AD5AFB"/>
    <w:rsid w:val="00AD5CD6"/>
    <w:rsid w:val="00AD5CEB"/>
    <w:rsid w:val="00AD6F59"/>
    <w:rsid w:val="00AD7FDC"/>
    <w:rsid w:val="00AE2491"/>
    <w:rsid w:val="00AE25DD"/>
    <w:rsid w:val="00AE2AE9"/>
    <w:rsid w:val="00AE3A9A"/>
    <w:rsid w:val="00AE3C31"/>
    <w:rsid w:val="00AE4075"/>
    <w:rsid w:val="00AE48CA"/>
    <w:rsid w:val="00AE60F0"/>
    <w:rsid w:val="00AE681F"/>
    <w:rsid w:val="00AE6D15"/>
    <w:rsid w:val="00AE7427"/>
    <w:rsid w:val="00AF0BF7"/>
    <w:rsid w:val="00AF1D16"/>
    <w:rsid w:val="00AF26B5"/>
    <w:rsid w:val="00AF4799"/>
    <w:rsid w:val="00AF4ECF"/>
    <w:rsid w:val="00AF5A24"/>
    <w:rsid w:val="00AF5A69"/>
    <w:rsid w:val="00AF5AB1"/>
    <w:rsid w:val="00AF5AF6"/>
    <w:rsid w:val="00AF6010"/>
    <w:rsid w:val="00AF61F5"/>
    <w:rsid w:val="00AF64DE"/>
    <w:rsid w:val="00AF6694"/>
    <w:rsid w:val="00AF6B45"/>
    <w:rsid w:val="00AF71D8"/>
    <w:rsid w:val="00AF75F9"/>
    <w:rsid w:val="00B03616"/>
    <w:rsid w:val="00B03DA6"/>
    <w:rsid w:val="00B03F87"/>
    <w:rsid w:val="00B03FAA"/>
    <w:rsid w:val="00B04B78"/>
    <w:rsid w:val="00B0511B"/>
    <w:rsid w:val="00B06E94"/>
    <w:rsid w:val="00B0750A"/>
    <w:rsid w:val="00B07CDA"/>
    <w:rsid w:val="00B1069D"/>
    <w:rsid w:val="00B10E9B"/>
    <w:rsid w:val="00B1113A"/>
    <w:rsid w:val="00B11150"/>
    <w:rsid w:val="00B1128F"/>
    <w:rsid w:val="00B112E4"/>
    <w:rsid w:val="00B11B16"/>
    <w:rsid w:val="00B129EB"/>
    <w:rsid w:val="00B12F96"/>
    <w:rsid w:val="00B131CD"/>
    <w:rsid w:val="00B13F0D"/>
    <w:rsid w:val="00B14EE0"/>
    <w:rsid w:val="00B1717C"/>
    <w:rsid w:val="00B171E4"/>
    <w:rsid w:val="00B17961"/>
    <w:rsid w:val="00B20496"/>
    <w:rsid w:val="00B224BC"/>
    <w:rsid w:val="00B22747"/>
    <w:rsid w:val="00B230EC"/>
    <w:rsid w:val="00B23B61"/>
    <w:rsid w:val="00B247A3"/>
    <w:rsid w:val="00B24987"/>
    <w:rsid w:val="00B253DE"/>
    <w:rsid w:val="00B2570A"/>
    <w:rsid w:val="00B259B8"/>
    <w:rsid w:val="00B26224"/>
    <w:rsid w:val="00B263BB"/>
    <w:rsid w:val="00B27317"/>
    <w:rsid w:val="00B27E18"/>
    <w:rsid w:val="00B30E86"/>
    <w:rsid w:val="00B31221"/>
    <w:rsid w:val="00B32226"/>
    <w:rsid w:val="00B3254A"/>
    <w:rsid w:val="00B32968"/>
    <w:rsid w:val="00B32A9A"/>
    <w:rsid w:val="00B33D5D"/>
    <w:rsid w:val="00B349B5"/>
    <w:rsid w:val="00B374CC"/>
    <w:rsid w:val="00B37598"/>
    <w:rsid w:val="00B37BC3"/>
    <w:rsid w:val="00B37C40"/>
    <w:rsid w:val="00B407D6"/>
    <w:rsid w:val="00B414C8"/>
    <w:rsid w:val="00B41DFE"/>
    <w:rsid w:val="00B42073"/>
    <w:rsid w:val="00B4261D"/>
    <w:rsid w:val="00B4701F"/>
    <w:rsid w:val="00B473B7"/>
    <w:rsid w:val="00B47638"/>
    <w:rsid w:val="00B4795D"/>
    <w:rsid w:val="00B47A8A"/>
    <w:rsid w:val="00B5010A"/>
    <w:rsid w:val="00B5077A"/>
    <w:rsid w:val="00B514CF"/>
    <w:rsid w:val="00B51BF3"/>
    <w:rsid w:val="00B51F00"/>
    <w:rsid w:val="00B524EC"/>
    <w:rsid w:val="00B52BB4"/>
    <w:rsid w:val="00B53572"/>
    <w:rsid w:val="00B539C3"/>
    <w:rsid w:val="00B53F52"/>
    <w:rsid w:val="00B548CA"/>
    <w:rsid w:val="00B55146"/>
    <w:rsid w:val="00B55555"/>
    <w:rsid w:val="00B560E0"/>
    <w:rsid w:val="00B5763D"/>
    <w:rsid w:val="00B60365"/>
    <w:rsid w:val="00B61017"/>
    <w:rsid w:val="00B613E1"/>
    <w:rsid w:val="00B62583"/>
    <w:rsid w:val="00B62D61"/>
    <w:rsid w:val="00B646CA"/>
    <w:rsid w:val="00B64E88"/>
    <w:rsid w:val="00B66654"/>
    <w:rsid w:val="00B67D6D"/>
    <w:rsid w:val="00B701FE"/>
    <w:rsid w:val="00B724CC"/>
    <w:rsid w:val="00B72A5A"/>
    <w:rsid w:val="00B72FB6"/>
    <w:rsid w:val="00B73C46"/>
    <w:rsid w:val="00B7563D"/>
    <w:rsid w:val="00B76525"/>
    <w:rsid w:val="00B800A5"/>
    <w:rsid w:val="00B801BD"/>
    <w:rsid w:val="00B8070B"/>
    <w:rsid w:val="00B809FE"/>
    <w:rsid w:val="00B829D3"/>
    <w:rsid w:val="00B83060"/>
    <w:rsid w:val="00B832D2"/>
    <w:rsid w:val="00B838BC"/>
    <w:rsid w:val="00B8397F"/>
    <w:rsid w:val="00B84F3A"/>
    <w:rsid w:val="00B85B78"/>
    <w:rsid w:val="00B8655C"/>
    <w:rsid w:val="00B87134"/>
    <w:rsid w:val="00B90115"/>
    <w:rsid w:val="00B9056E"/>
    <w:rsid w:val="00B90BB8"/>
    <w:rsid w:val="00B911BB"/>
    <w:rsid w:val="00B92216"/>
    <w:rsid w:val="00B924C7"/>
    <w:rsid w:val="00B92883"/>
    <w:rsid w:val="00B92ADC"/>
    <w:rsid w:val="00B92CAA"/>
    <w:rsid w:val="00B96418"/>
    <w:rsid w:val="00B96BFC"/>
    <w:rsid w:val="00B97205"/>
    <w:rsid w:val="00B9745C"/>
    <w:rsid w:val="00BA0C01"/>
    <w:rsid w:val="00BA0D87"/>
    <w:rsid w:val="00BA0E4A"/>
    <w:rsid w:val="00BA1452"/>
    <w:rsid w:val="00BA20DE"/>
    <w:rsid w:val="00BA5983"/>
    <w:rsid w:val="00BA5DD1"/>
    <w:rsid w:val="00BA6613"/>
    <w:rsid w:val="00BA6678"/>
    <w:rsid w:val="00BA6FE6"/>
    <w:rsid w:val="00BA7343"/>
    <w:rsid w:val="00BA788F"/>
    <w:rsid w:val="00BA7F3D"/>
    <w:rsid w:val="00BB032F"/>
    <w:rsid w:val="00BB043F"/>
    <w:rsid w:val="00BB04D2"/>
    <w:rsid w:val="00BB0623"/>
    <w:rsid w:val="00BB0E95"/>
    <w:rsid w:val="00BB0F3D"/>
    <w:rsid w:val="00BB1AF2"/>
    <w:rsid w:val="00BB23AC"/>
    <w:rsid w:val="00BB33D9"/>
    <w:rsid w:val="00BB3628"/>
    <w:rsid w:val="00BB47CC"/>
    <w:rsid w:val="00BB4B8D"/>
    <w:rsid w:val="00BB4C77"/>
    <w:rsid w:val="00BB5B32"/>
    <w:rsid w:val="00BB69E4"/>
    <w:rsid w:val="00BB6DA6"/>
    <w:rsid w:val="00BB6F07"/>
    <w:rsid w:val="00BB73D9"/>
    <w:rsid w:val="00BB7714"/>
    <w:rsid w:val="00BB7928"/>
    <w:rsid w:val="00BC2034"/>
    <w:rsid w:val="00BC2640"/>
    <w:rsid w:val="00BC3BCA"/>
    <w:rsid w:val="00BC45D1"/>
    <w:rsid w:val="00BC4E51"/>
    <w:rsid w:val="00BC5522"/>
    <w:rsid w:val="00BC735C"/>
    <w:rsid w:val="00BD0FEE"/>
    <w:rsid w:val="00BD1871"/>
    <w:rsid w:val="00BD1B90"/>
    <w:rsid w:val="00BD31E2"/>
    <w:rsid w:val="00BD343A"/>
    <w:rsid w:val="00BD39FC"/>
    <w:rsid w:val="00BD3A4B"/>
    <w:rsid w:val="00BD41D8"/>
    <w:rsid w:val="00BD41E0"/>
    <w:rsid w:val="00BD4926"/>
    <w:rsid w:val="00BD49D5"/>
    <w:rsid w:val="00BD5FB3"/>
    <w:rsid w:val="00BD6AA6"/>
    <w:rsid w:val="00BD729B"/>
    <w:rsid w:val="00BE02A9"/>
    <w:rsid w:val="00BE1322"/>
    <w:rsid w:val="00BE1785"/>
    <w:rsid w:val="00BE1F0F"/>
    <w:rsid w:val="00BE22D8"/>
    <w:rsid w:val="00BE305F"/>
    <w:rsid w:val="00BE3126"/>
    <w:rsid w:val="00BE5F43"/>
    <w:rsid w:val="00BE6297"/>
    <w:rsid w:val="00BE664B"/>
    <w:rsid w:val="00BE6652"/>
    <w:rsid w:val="00BE7D03"/>
    <w:rsid w:val="00BF17D6"/>
    <w:rsid w:val="00BF1907"/>
    <w:rsid w:val="00BF1CBD"/>
    <w:rsid w:val="00BF221E"/>
    <w:rsid w:val="00BF2745"/>
    <w:rsid w:val="00BF4170"/>
    <w:rsid w:val="00BF5845"/>
    <w:rsid w:val="00BF61B8"/>
    <w:rsid w:val="00BF64E7"/>
    <w:rsid w:val="00C00024"/>
    <w:rsid w:val="00C000AE"/>
    <w:rsid w:val="00C00EB0"/>
    <w:rsid w:val="00C01232"/>
    <w:rsid w:val="00C0174B"/>
    <w:rsid w:val="00C01DA2"/>
    <w:rsid w:val="00C02DB1"/>
    <w:rsid w:val="00C03B1A"/>
    <w:rsid w:val="00C05095"/>
    <w:rsid w:val="00C0578A"/>
    <w:rsid w:val="00C06731"/>
    <w:rsid w:val="00C06A80"/>
    <w:rsid w:val="00C06B9C"/>
    <w:rsid w:val="00C07793"/>
    <w:rsid w:val="00C077B2"/>
    <w:rsid w:val="00C11DDE"/>
    <w:rsid w:val="00C1212D"/>
    <w:rsid w:val="00C122F9"/>
    <w:rsid w:val="00C126DB"/>
    <w:rsid w:val="00C130E6"/>
    <w:rsid w:val="00C134B1"/>
    <w:rsid w:val="00C13D73"/>
    <w:rsid w:val="00C14536"/>
    <w:rsid w:val="00C1460B"/>
    <w:rsid w:val="00C14FED"/>
    <w:rsid w:val="00C16E65"/>
    <w:rsid w:val="00C17E7F"/>
    <w:rsid w:val="00C17F73"/>
    <w:rsid w:val="00C21092"/>
    <w:rsid w:val="00C21511"/>
    <w:rsid w:val="00C22526"/>
    <w:rsid w:val="00C22683"/>
    <w:rsid w:val="00C22F38"/>
    <w:rsid w:val="00C22FA8"/>
    <w:rsid w:val="00C23123"/>
    <w:rsid w:val="00C233FD"/>
    <w:rsid w:val="00C24294"/>
    <w:rsid w:val="00C25C70"/>
    <w:rsid w:val="00C26839"/>
    <w:rsid w:val="00C26C47"/>
    <w:rsid w:val="00C26E50"/>
    <w:rsid w:val="00C26F81"/>
    <w:rsid w:val="00C27096"/>
    <w:rsid w:val="00C277AC"/>
    <w:rsid w:val="00C277CA"/>
    <w:rsid w:val="00C27B25"/>
    <w:rsid w:val="00C300CF"/>
    <w:rsid w:val="00C30D7C"/>
    <w:rsid w:val="00C31582"/>
    <w:rsid w:val="00C31585"/>
    <w:rsid w:val="00C325CB"/>
    <w:rsid w:val="00C32A24"/>
    <w:rsid w:val="00C32C8D"/>
    <w:rsid w:val="00C3346B"/>
    <w:rsid w:val="00C34154"/>
    <w:rsid w:val="00C343BF"/>
    <w:rsid w:val="00C34A8A"/>
    <w:rsid w:val="00C34D54"/>
    <w:rsid w:val="00C34DF5"/>
    <w:rsid w:val="00C3568B"/>
    <w:rsid w:val="00C358D1"/>
    <w:rsid w:val="00C36662"/>
    <w:rsid w:val="00C37CA8"/>
    <w:rsid w:val="00C40356"/>
    <w:rsid w:val="00C4084F"/>
    <w:rsid w:val="00C40BDC"/>
    <w:rsid w:val="00C417C9"/>
    <w:rsid w:val="00C420D3"/>
    <w:rsid w:val="00C429EF"/>
    <w:rsid w:val="00C431DF"/>
    <w:rsid w:val="00C4381D"/>
    <w:rsid w:val="00C43CF2"/>
    <w:rsid w:val="00C43E97"/>
    <w:rsid w:val="00C44E95"/>
    <w:rsid w:val="00C453B4"/>
    <w:rsid w:val="00C46769"/>
    <w:rsid w:val="00C46F9E"/>
    <w:rsid w:val="00C50E96"/>
    <w:rsid w:val="00C513AF"/>
    <w:rsid w:val="00C51D12"/>
    <w:rsid w:val="00C51E5A"/>
    <w:rsid w:val="00C523A8"/>
    <w:rsid w:val="00C528F7"/>
    <w:rsid w:val="00C53318"/>
    <w:rsid w:val="00C53373"/>
    <w:rsid w:val="00C533DD"/>
    <w:rsid w:val="00C53A88"/>
    <w:rsid w:val="00C5466B"/>
    <w:rsid w:val="00C54845"/>
    <w:rsid w:val="00C54B6A"/>
    <w:rsid w:val="00C54E51"/>
    <w:rsid w:val="00C555E4"/>
    <w:rsid w:val="00C5566C"/>
    <w:rsid w:val="00C57610"/>
    <w:rsid w:val="00C578BB"/>
    <w:rsid w:val="00C60000"/>
    <w:rsid w:val="00C62370"/>
    <w:rsid w:val="00C62D31"/>
    <w:rsid w:val="00C62FE7"/>
    <w:rsid w:val="00C6329C"/>
    <w:rsid w:val="00C6488A"/>
    <w:rsid w:val="00C64D8E"/>
    <w:rsid w:val="00C656F9"/>
    <w:rsid w:val="00C66462"/>
    <w:rsid w:val="00C66D0B"/>
    <w:rsid w:val="00C678A6"/>
    <w:rsid w:val="00C6790B"/>
    <w:rsid w:val="00C67E16"/>
    <w:rsid w:val="00C70402"/>
    <w:rsid w:val="00C70556"/>
    <w:rsid w:val="00C71290"/>
    <w:rsid w:val="00C713D4"/>
    <w:rsid w:val="00C720AC"/>
    <w:rsid w:val="00C73798"/>
    <w:rsid w:val="00C73B23"/>
    <w:rsid w:val="00C74594"/>
    <w:rsid w:val="00C75922"/>
    <w:rsid w:val="00C771F8"/>
    <w:rsid w:val="00C807DF"/>
    <w:rsid w:val="00C80888"/>
    <w:rsid w:val="00C82204"/>
    <w:rsid w:val="00C83C56"/>
    <w:rsid w:val="00C85A54"/>
    <w:rsid w:val="00C85A95"/>
    <w:rsid w:val="00C86096"/>
    <w:rsid w:val="00C863C1"/>
    <w:rsid w:val="00C87328"/>
    <w:rsid w:val="00C874B4"/>
    <w:rsid w:val="00C87937"/>
    <w:rsid w:val="00C87F35"/>
    <w:rsid w:val="00C90C62"/>
    <w:rsid w:val="00C9182C"/>
    <w:rsid w:val="00C924E4"/>
    <w:rsid w:val="00C92909"/>
    <w:rsid w:val="00C92D4B"/>
    <w:rsid w:val="00C9352A"/>
    <w:rsid w:val="00C948B4"/>
    <w:rsid w:val="00C9574C"/>
    <w:rsid w:val="00C95E14"/>
    <w:rsid w:val="00CA0039"/>
    <w:rsid w:val="00CA052C"/>
    <w:rsid w:val="00CA089E"/>
    <w:rsid w:val="00CA0E94"/>
    <w:rsid w:val="00CA2619"/>
    <w:rsid w:val="00CA2E15"/>
    <w:rsid w:val="00CA2E9E"/>
    <w:rsid w:val="00CA3C98"/>
    <w:rsid w:val="00CA695E"/>
    <w:rsid w:val="00CA6D99"/>
    <w:rsid w:val="00CA74BE"/>
    <w:rsid w:val="00CB0253"/>
    <w:rsid w:val="00CB1547"/>
    <w:rsid w:val="00CB2567"/>
    <w:rsid w:val="00CB3D6C"/>
    <w:rsid w:val="00CB457A"/>
    <w:rsid w:val="00CB4659"/>
    <w:rsid w:val="00CB4B18"/>
    <w:rsid w:val="00CB5161"/>
    <w:rsid w:val="00CB5A68"/>
    <w:rsid w:val="00CB5E3D"/>
    <w:rsid w:val="00CB5F25"/>
    <w:rsid w:val="00CB61B6"/>
    <w:rsid w:val="00CB6ED6"/>
    <w:rsid w:val="00CB703F"/>
    <w:rsid w:val="00CB7958"/>
    <w:rsid w:val="00CC06DB"/>
    <w:rsid w:val="00CC156B"/>
    <w:rsid w:val="00CC1A3C"/>
    <w:rsid w:val="00CC1C48"/>
    <w:rsid w:val="00CC1DBB"/>
    <w:rsid w:val="00CC28B7"/>
    <w:rsid w:val="00CC3922"/>
    <w:rsid w:val="00CC3D4E"/>
    <w:rsid w:val="00CC3EAA"/>
    <w:rsid w:val="00CC767C"/>
    <w:rsid w:val="00CC7A47"/>
    <w:rsid w:val="00CC7ACE"/>
    <w:rsid w:val="00CD0E5C"/>
    <w:rsid w:val="00CD22A3"/>
    <w:rsid w:val="00CD2764"/>
    <w:rsid w:val="00CD2973"/>
    <w:rsid w:val="00CD2CFE"/>
    <w:rsid w:val="00CD2EA6"/>
    <w:rsid w:val="00CD37D8"/>
    <w:rsid w:val="00CD447C"/>
    <w:rsid w:val="00CD5594"/>
    <w:rsid w:val="00CD5A5E"/>
    <w:rsid w:val="00CD7082"/>
    <w:rsid w:val="00CE00BD"/>
    <w:rsid w:val="00CE2811"/>
    <w:rsid w:val="00CE2B4F"/>
    <w:rsid w:val="00CE63C8"/>
    <w:rsid w:val="00CE7653"/>
    <w:rsid w:val="00CF11B0"/>
    <w:rsid w:val="00CF1588"/>
    <w:rsid w:val="00CF207A"/>
    <w:rsid w:val="00CF2448"/>
    <w:rsid w:val="00CF312C"/>
    <w:rsid w:val="00CF4186"/>
    <w:rsid w:val="00CF47B3"/>
    <w:rsid w:val="00CF4828"/>
    <w:rsid w:val="00CF4CDB"/>
    <w:rsid w:val="00CF4ECD"/>
    <w:rsid w:val="00CF5868"/>
    <w:rsid w:val="00CF6112"/>
    <w:rsid w:val="00CF673D"/>
    <w:rsid w:val="00CF73B0"/>
    <w:rsid w:val="00CF75A3"/>
    <w:rsid w:val="00D0063A"/>
    <w:rsid w:val="00D008CA"/>
    <w:rsid w:val="00D01C73"/>
    <w:rsid w:val="00D01F70"/>
    <w:rsid w:val="00D0202E"/>
    <w:rsid w:val="00D02C17"/>
    <w:rsid w:val="00D02CD7"/>
    <w:rsid w:val="00D0359B"/>
    <w:rsid w:val="00D03B48"/>
    <w:rsid w:val="00D04220"/>
    <w:rsid w:val="00D057BC"/>
    <w:rsid w:val="00D05935"/>
    <w:rsid w:val="00D05DCE"/>
    <w:rsid w:val="00D06EC0"/>
    <w:rsid w:val="00D0743B"/>
    <w:rsid w:val="00D10116"/>
    <w:rsid w:val="00D104DD"/>
    <w:rsid w:val="00D108EB"/>
    <w:rsid w:val="00D10917"/>
    <w:rsid w:val="00D10940"/>
    <w:rsid w:val="00D10D48"/>
    <w:rsid w:val="00D11776"/>
    <w:rsid w:val="00D125F6"/>
    <w:rsid w:val="00D1265F"/>
    <w:rsid w:val="00D127CD"/>
    <w:rsid w:val="00D132D0"/>
    <w:rsid w:val="00D145AC"/>
    <w:rsid w:val="00D14C6C"/>
    <w:rsid w:val="00D15F97"/>
    <w:rsid w:val="00D16EC7"/>
    <w:rsid w:val="00D176B6"/>
    <w:rsid w:val="00D20873"/>
    <w:rsid w:val="00D217FF"/>
    <w:rsid w:val="00D218AA"/>
    <w:rsid w:val="00D2199E"/>
    <w:rsid w:val="00D21D89"/>
    <w:rsid w:val="00D22853"/>
    <w:rsid w:val="00D234AB"/>
    <w:rsid w:val="00D23F93"/>
    <w:rsid w:val="00D24729"/>
    <w:rsid w:val="00D248C2"/>
    <w:rsid w:val="00D25F2D"/>
    <w:rsid w:val="00D266CE"/>
    <w:rsid w:val="00D26866"/>
    <w:rsid w:val="00D26F66"/>
    <w:rsid w:val="00D3022C"/>
    <w:rsid w:val="00D30C6D"/>
    <w:rsid w:val="00D3146B"/>
    <w:rsid w:val="00D31E9C"/>
    <w:rsid w:val="00D320ED"/>
    <w:rsid w:val="00D326A5"/>
    <w:rsid w:val="00D326A7"/>
    <w:rsid w:val="00D3438D"/>
    <w:rsid w:val="00D3451B"/>
    <w:rsid w:val="00D34765"/>
    <w:rsid w:val="00D34C84"/>
    <w:rsid w:val="00D35EEC"/>
    <w:rsid w:val="00D377CC"/>
    <w:rsid w:val="00D4149F"/>
    <w:rsid w:val="00D41E17"/>
    <w:rsid w:val="00D430A0"/>
    <w:rsid w:val="00D43523"/>
    <w:rsid w:val="00D4358B"/>
    <w:rsid w:val="00D44006"/>
    <w:rsid w:val="00D4400A"/>
    <w:rsid w:val="00D44931"/>
    <w:rsid w:val="00D4644F"/>
    <w:rsid w:val="00D50291"/>
    <w:rsid w:val="00D50E2F"/>
    <w:rsid w:val="00D510BB"/>
    <w:rsid w:val="00D523F8"/>
    <w:rsid w:val="00D52CF4"/>
    <w:rsid w:val="00D5402E"/>
    <w:rsid w:val="00D543EF"/>
    <w:rsid w:val="00D54D6D"/>
    <w:rsid w:val="00D55313"/>
    <w:rsid w:val="00D5552B"/>
    <w:rsid w:val="00D55ABE"/>
    <w:rsid w:val="00D569E7"/>
    <w:rsid w:val="00D569F9"/>
    <w:rsid w:val="00D57A9F"/>
    <w:rsid w:val="00D603E6"/>
    <w:rsid w:val="00D60B82"/>
    <w:rsid w:val="00D6138B"/>
    <w:rsid w:val="00D63135"/>
    <w:rsid w:val="00D64AA5"/>
    <w:rsid w:val="00D6531F"/>
    <w:rsid w:val="00D653B8"/>
    <w:rsid w:val="00D666E5"/>
    <w:rsid w:val="00D66C8B"/>
    <w:rsid w:val="00D66DBA"/>
    <w:rsid w:val="00D6722B"/>
    <w:rsid w:val="00D67330"/>
    <w:rsid w:val="00D7127F"/>
    <w:rsid w:val="00D7278A"/>
    <w:rsid w:val="00D72794"/>
    <w:rsid w:val="00D72DFD"/>
    <w:rsid w:val="00D73D86"/>
    <w:rsid w:val="00D74015"/>
    <w:rsid w:val="00D7422A"/>
    <w:rsid w:val="00D74641"/>
    <w:rsid w:val="00D74B86"/>
    <w:rsid w:val="00D751C3"/>
    <w:rsid w:val="00D7610A"/>
    <w:rsid w:val="00D77258"/>
    <w:rsid w:val="00D7765E"/>
    <w:rsid w:val="00D77A05"/>
    <w:rsid w:val="00D80BA8"/>
    <w:rsid w:val="00D81A93"/>
    <w:rsid w:val="00D83148"/>
    <w:rsid w:val="00D838BC"/>
    <w:rsid w:val="00D83C3D"/>
    <w:rsid w:val="00D849AE"/>
    <w:rsid w:val="00D84C47"/>
    <w:rsid w:val="00D84EDE"/>
    <w:rsid w:val="00D851D1"/>
    <w:rsid w:val="00D858E4"/>
    <w:rsid w:val="00D871A2"/>
    <w:rsid w:val="00D874CC"/>
    <w:rsid w:val="00D876E6"/>
    <w:rsid w:val="00D87A02"/>
    <w:rsid w:val="00D87C33"/>
    <w:rsid w:val="00D87D64"/>
    <w:rsid w:val="00D905B7"/>
    <w:rsid w:val="00D906DD"/>
    <w:rsid w:val="00D91006"/>
    <w:rsid w:val="00D911DE"/>
    <w:rsid w:val="00D91F3B"/>
    <w:rsid w:val="00D921DB"/>
    <w:rsid w:val="00D9304B"/>
    <w:rsid w:val="00D9315F"/>
    <w:rsid w:val="00D9382D"/>
    <w:rsid w:val="00D946FD"/>
    <w:rsid w:val="00D9519E"/>
    <w:rsid w:val="00D9532C"/>
    <w:rsid w:val="00D9545C"/>
    <w:rsid w:val="00D95945"/>
    <w:rsid w:val="00D95F84"/>
    <w:rsid w:val="00D962AE"/>
    <w:rsid w:val="00D96F66"/>
    <w:rsid w:val="00DA00F6"/>
    <w:rsid w:val="00DA09FB"/>
    <w:rsid w:val="00DA0AF9"/>
    <w:rsid w:val="00DA10D6"/>
    <w:rsid w:val="00DA1231"/>
    <w:rsid w:val="00DA13A5"/>
    <w:rsid w:val="00DA296B"/>
    <w:rsid w:val="00DA2CDD"/>
    <w:rsid w:val="00DA305F"/>
    <w:rsid w:val="00DA485D"/>
    <w:rsid w:val="00DA4F06"/>
    <w:rsid w:val="00DA6032"/>
    <w:rsid w:val="00DA612F"/>
    <w:rsid w:val="00DA628D"/>
    <w:rsid w:val="00DA62FF"/>
    <w:rsid w:val="00DA6445"/>
    <w:rsid w:val="00DB0AA7"/>
    <w:rsid w:val="00DB21E3"/>
    <w:rsid w:val="00DB41BA"/>
    <w:rsid w:val="00DB4A7B"/>
    <w:rsid w:val="00DB5B6F"/>
    <w:rsid w:val="00DB6E2C"/>
    <w:rsid w:val="00DB6E7A"/>
    <w:rsid w:val="00DB7167"/>
    <w:rsid w:val="00DC071C"/>
    <w:rsid w:val="00DC0C65"/>
    <w:rsid w:val="00DC0CE0"/>
    <w:rsid w:val="00DC19D7"/>
    <w:rsid w:val="00DC1A31"/>
    <w:rsid w:val="00DC1C89"/>
    <w:rsid w:val="00DC2327"/>
    <w:rsid w:val="00DC257A"/>
    <w:rsid w:val="00DC2BAD"/>
    <w:rsid w:val="00DC372C"/>
    <w:rsid w:val="00DC4822"/>
    <w:rsid w:val="00DC6040"/>
    <w:rsid w:val="00DC6268"/>
    <w:rsid w:val="00DC65CB"/>
    <w:rsid w:val="00DC7411"/>
    <w:rsid w:val="00DD028B"/>
    <w:rsid w:val="00DD0F1B"/>
    <w:rsid w:val="00DD175D"/>
    <w:rsid w:val="00DD1829"/>
    <w:rsid w:val="00DD2B34"/>
    <w:rsid w:val="00DD303E"/>
    <w:rsid w:val="00DD31EA"/>
    <w:rsid w:val="00DD3FEC"/>
    <w:rsid w:val="00DD46E3"/>
    <w:rsid w:val="00DD4C52"/>
    <w:rsid w:val="00DD4D90"/>
    <w:rsid w:val="00DD5316"/>
    <w:rsid w:val="00DD55DC"/>
    <w:rsid w:val="00DD5708"/>
    <w:rsid w:val="00DD66F6"/>
    <w:rsid w:val="00DD6941"/>
    <w:rsid w:val="00DD707E"/>
    <w:rsid w:val="00DD7622"/>
    <w:rsid w:val="00DD79D8"/>
    <w:rsid w:val="00DD7BEE"/>
    <w:rsid w:val="00DE087E"/>
    <w:rsid w:val="00DE20CA"/>
    <w:rsid w:val="00DE2358"/>
    <w:rsid w:val="00DE2710"/>
    <w:rsid w:val="00DE6477"/>
    <w:rsid w:val="00DE6787"/>
    <w:rsid w:val="00DE6C09"/>
    <w:rsid w:val="00DE7E6D"/>
    <w:rsid w:val="00DF0514"/>
    <w:rsid w:val="00DF1008"/>
    <w:rsid w:val="00DF1C80"/>
    <w:rsid w:val="00DF32C6"/>
    <w:rsid w:val="00DF3375"/>
    <w:rsid w:val="00DF3BC4"/>
    <w:rsid w:val="00DF5666"/>
    <w:rsid w:val="00DF605F"/>
    <w:rsid w:val="00DF6E9C"/>
    <w:rsid w:val="00DF70DD"/>
    <w:rsid w:val="00DF76B6"/>
    <w:rsid w:val="00DF7A30"/>
    <w:rsid w:val="00DF7D85"/>
    <w:rsid w:val="00DF7E52"/>
    <w:rsid w:val="00E002B2"/>
    <w:rsid w:val="00E0154E"/>
    <w:rsid w:val="00E01667"/>
    <w:rsid w:val="00E0392D"/>
    <w:rsid w:val="00E05D9C"/>
    <w:rsid w:val="00E06BB8"/>
    <w:rsid w:val="00E07E94"/>
    <w:rsid w:val="00E10DA7"/>
    <w:rsid w:val="00E10FFD"/>
    <w:rsid w:val="00E1147F"/>
    <w:rsid w:val="00E140AC"/>
    <w:rsid w:val="00E14DB8"/>
    <w:rsid w:val="00E150E4"/>
    <w:rsid w:val="00E15C47"/>
    <w:rsid w:val="00E16065"/>
    <w:rsid w:val="00E16071"/>
    <w:rsid w:val="00E17EFC"/>
    <w:rsid w:val="00E2007C"/>
    <w:rsid w:val="00E21BC6"/>
    <w:rsid w:val="00E2278F"/>
    <w:rsid w:val="00E22A4B"/>
    <w:rsid w:val="00E23F5E"/>
    <w:rsid w:val="00E25EDB"/>
    <w:rsid w:val="00E26740"/>
    <w:rsid w:val="00E26941"/>
    <w:rsid w:val="00E26BA4"/>
    <w:rsid w:val="00E2721D"/>
    <w:rsid w:val="00E344DE"/>
    <w:rsid w:val="00E34554"/>
    <w:rsid w:val="00E35046"/>
    <w:rsid w:val="00E35491"/>
    <w:rsid w:val="00E35CAC"/>
    <w:rsid w:val="00E36074"/>
    <w:rsid w:val="00E3659F"/>
    <w:rsid w:val="00E37669"/>
    <w:rsid w:val="00E40E73"/>
    <w:rsid w:val="00E411CF"/>
    <w:rsid w:val="00E4193C"/>
    <w:rsid w:val="00E419E1"/>
    <w:rsid w:val="00E43259"/>
    <w:rsid w:val="00E43A40"/>
    <w:rsid w:val="00E4510C"/>
    <w:rsid w:val="00E45195"/>
    <w:rsid w:val="00E46030"/>
    <w:rsid w:val="00E46F1B"/>
    <w:rsid w:val="00E476EF"/>
    <w:rsid w:val="00E501C5"/>
    <w:rsid w:val="00E5075F"/>
    <w:rsid w:val="00E50B72"/>
    <w:rsid w:val="00E51823"/>
    <w:rsid w:val="00E52958"/>
    <w:rsid w:val="00E52CDB"/>
    <w:rsid w:val="00E54FCA"/>
    <w:rsid w:val="00E557E4"/>
    <w:rsid w:val="00E55E84"/>
    <w:rsid w:val="00E57585"/>
    <w:rsid w:val="00E57696"/>
    <w:rsid w:val="00E608AE"/>
    <w:rsid w:val="00E609D9"/>
    <w:rsid w:val="00E60F09"/>
    <w:rsid w:val="00E6358C"/>
    <w:rsid w:val="00E64987"/>
    <w:rsid w:val="00E64F7C"/>
    <w:rsid w:val="00E65334"/>
    <w:rsid w:val="00E654CF"/>
    <w:rsid w:val="00E65FD0"/>
    <w:rsid w:val="00E66007"/>
    <w:rsid w:val="00E66D1D"/>
    <w:rsid w:val="00E67FC3"/>
    <w:rsid w:val="00E70498"/>
    <w:rsid w:val="00E7063B"/>
    <w:rsid w:val="00E70BD3"/>
    <w:rsid w:val="00E7132B"/>
    <w:rsid w:val="00E71BE2"/>
    <w:rsid w:val="00E73030"/>
    <w:rsid w:val="00E731F2"/>
    <w:rsid w:val="00E74243"/>
    <w:rsid w:val="00E7510B"/>
    <w:rsid w:val="00E7539B"/>
    <w:rsid w:val="00E75B59"/>
    <w:rsid w:val="00E76155"/>
    <w:rsid w:val="00E76361"/>
    <w:rsid w:val="00E76BF0"/>
    <w:rsid w:val="00E76C3E"/>
    <w:rsid w:val="00E77551"/>
    <w:rsid w:val="00E81918"/>
    <w:rsid w:val="00E81B02"/>
    <w:rsid w:val="00E81C94"/>
    <w:rsid w:val="00E81E0C"/>
    <w:rsid w:val="00E8207F"/>
    <w:rsid w:val="00E84C69"/>
    <w:rsid w:val="00E85016"/>
    <w:rsid w:val="00E90551"/>
    <w:rsid w:val="00E90A53"/>
    <w:rsid w:val="00E90A60"/>
    <w:rsid w:val="00E915E5"/>
    <w:rsid w:val="00E92163"/>
    <w:rsid w:val="00E933A2"/>
    <w:rsid w:val="00E93504"/>
    <w:rsid w:val="00E93CDE"/>
    <w:rsid w:val="00E93D8F"/>
    <w:rsid w:val="00E93E53"/>
    <w:rsid w:val="00E95282"/>
    <w:rsid w:val="00E954F0"/>
    <w:rsid w:val="00E95546"/>
    <w:rsid w:val="00E95B2B"/>
    <w:rsid w:val="00E96185"/>
    <w:rsid w:val="00E965DB"/>
    <w:rsid w:val="00E96E87"/>
    <w:rsid w:val="00E96F16"/>
    <w:rsid w:val="00EA0455"/>
    <w:rsid w:val="00EA0B64"/>
    <w:rsid w:val="00EA0C3D"/>
    <w:rsid w:val="00EA0FD5"/>
    <w:rsid w:val="00EA1571"/>
    <w:rsid w:val="00EA157A"/>
    <w:rsid w:val="00EA1B24"/>
    <w:rsid w:val="00EA440F"/>
    <w:rsid w:val="00EA4B57"/>
    <w:rsid w:val="00EA5226"/>
    <w:rsid w:val="00EA60BE"/>
    <w:rsid w:val="00EB08A6"/>
    <w:rsid w:val="00EB0EBB"/>
    <w:rsid w:val="00EB11D1"/>
    <w:rsid w:val="00EB19DB"/>
    <w:rsid w:val="00EB26C2"/>
    <w:rsid w:val="00EB273C"/>
    <w:rsid w:val="00EB27C4"/>
    <w:rsid w:val="00EB2C33"/>
    <w:rsid w:val="00EB3DE1"/>
    <w:rsid w:val="00EB61DD"/>
    <w:rsid w:val="00EB6546"/>
    <w:rsid w:val="00EB6C33"/>
    <w:rsid w:val="00EB7770"/>
    <w:rsid w:val="00EC11E4"/>
    <w:rsid w:val="00EC15FE"/>
    <w:rsid w:val="00EC26D2"/>
    <w:rsid w:val="00EC2B68"/>
    <w:rsid w:val="00EC2E26"/>
    <w:rsid w:val="00EC2F9C"/>
    <w:rsid w:val="00EC351B"/>
    <w:rsid w:val="00EC3932"/>
    <w:rsid w:val="00EC3FF8"/>
    <w:rsid w:val="00EC43C3"/>
    <w:rsid w:val="00EC4ACD"/>
    <w:rsid w:val="00EC59CD"/>
    <w:rsid w:val="00EC5CB5"/>
    <w:rsid w:val="00EC75CF"/>
    <w:rsid w:val="00ED023D"/>
    <w:rsid w:val="00ED02A5"/>
    <w:rsid w:val="00ED0559"/>
    <w:rsid w:val="00ED0688"/>
    <w:rsid w:val="00ED15CE"/>
    <w:rsid w:val="00ED4242"/>
    <w:rsid w:val="00ED4C6F"/>
    <w:rsid w:val="00ED54BC"/>
    <w:rsid w:val="00ED58D8"/>
    <w:rsid w:val="00ED6008"/>
    <w:rsid w:val="00ED6ED3"/>
    <w:rsid w:val="00ED7507"/>
    <w:rsid w:val="00ED771A"/>
    <w:rsid w:val="00ED7E7D"/>
    <w:rsid w:val="00EE01FD"/>
    <w:rsid w:val="00EE0217"/>
    <w:rsid w:val="00EE0C78"/>
    <w:rsid w:val="00EE236B"/>
    <w:rsid w:val="00EE2E3D"/>
    <w:rsid w:val="00EE3350"/>
    <w:rsid w:val="00EE492D"/>
    <w:rsid w:val="00EE4BDA"/>
    <w:rsid w:val="00EE4CC1"/>
    <w:rsid w:val="00EE5575"/>
    <w:rsid w:val="00EE56C9"/>
    <w:rsid w:val="00EE6867"/>
    <w:rsid w:val="00EF008C"/>
    <w:rsid w:val="00EF044D"/>
    <w:rsid w:val="00EF10E5"/>
    <w:rsid w:val="00EF1237"/>
    <w:rsid w:val="00EF1244"/>
    <w:rsid w:val="00EF1E79"/>
    <w:rsid w:val="00EF253B"/>
    <w:rsid w:val="00EF2EA9"/>
    <w:rsid w:val="00EF3A7D"/>
    <w:rsid w:val="00EF41DD"/>
    <w:rsid w:val="00EF41EC"/>
    <w:rsid w:val="00EF4976"/>
    <w:rsid w:val="00EF5FF9"/>
    <w:rsid w:val="00EF75BF"/>
    <w:rsid w:val="00F000C9"/>
    <w:rsid w:val="00F004CE"/>
    <w:rsid w:val="00F00967"/>
    <w:rsid w:val="00F00AC9"/>
    <w:rsid w:val="00F00B83"/>
    <w:rsid w:val="00F00CD4"/>
    <w:rsid w:val="00F013B1"/>
    <w:rsid w:val="00F021B7"/>
    <w:rsid w:val="00F0295A"/>
    <w:rsid w:val="00F03669"/>
    <w:rsid w:val="00F046D7"/>
    <w:rsid w:val="00F04784"/>
    <w:rsid w:val="00F06C87"/>
    <w:rsid w:val="00F06F99"/>
    <w:rsid w:val="00F106A2"/>
    <w:rsid w:val="00F114A1"/>
    <w:rsid w:val="00F11975"/>
    <w:rsid w:val="00F138ED"/>
    <w:rsid w:val="00F14C18"/>
    <w:rsid w:val="00F155E6"/>
    <w:rsid w:val="00F15ACB"/>
    <w:rsid w:val="00F15B01"/>
    <w:rsid w:val="00F15B2A"/>
    <w:rsid w:val="00F168BB"/>
    <w:rsid w:val="00F17ABE"/>
    <w:rsid w:val="00F208F9"/>
    <w:rsid w:val="00F20BE1"/>
    <w:rsid w:val="00F2147C"/>
    <w:rsid w:val="00F21788"/>
    <w:rsid w:val="00F21B4B"/>
    <w:rsid w:val="00F22728"/>
    <w:rsid w:val="00F22857"/>
    <w:rsid w:val="00F22876"/>
    <w:rsid w:val="00F22B65"/>
    <w:rsid w:val="00F22D7F"/>
    <w:rsid w:val="00F23902"/>
    <w:rsid w:val="00F23B15"/>
    <w:rsid w:val="00F2460F"/>
    <w:rsid w:val="00F24C72"/>
    <w:rsid w:val="00F2510E"/>
    <w:rsid w:val="00F254C5"/>
    <w:rsid w:val="00F25527"/>
    <w:rsid w:val="00F26731"/>
    <w:rsid w:val="00F26974"/>
    <w:rsid w:val="00F272E7"/>
    <w:rsid w:val="00F278F3"/>
    <w:rsid w:val="00F30B96"/>
    <w:rsid w:val="00F31E24"/>
    <w:rsid w:val="00F321BA"/>
    <w:rsid w:val="00F325D9"/>
    <w:rsid w:val="00F32619"/>
    <w:rsid w:val="00F32B05"/>
    <w:rsid w:val="00F335AB"/>
    <w:rsid w:val="00F34E11"/>
    <w:rsid w:val="00F35F72"/>
    <w:rsid w:val="00F36509"/>
    <w:rsid w:val="00F36742"/>
    <w:rsid w:val="00F40489"/>
    <w:rsid w:val="00F41A67"/>
    <w:rsid w:val="00F4414F"/>
    <w:rsid w:val="00F44245"/>
    <w:rsid w:val="00F44505"/>
    <w:rsid w:val="00F4523F"/>
    <w:rsid w:val="00F465B4"/>
    <w:rsid w:val="00F47004"/>
    <w:rsid w:val="00F5023A"/>
    <w:rsid w:val="00F50318"/>
    <w:rsid w:val="00F50338"/>
    <w:rsid w:val="00F503C7"/>
    <w:rsid w:val="00F50ADD"/>
    <w:rsid w:val="00F50D3A"/>
    <w:rsid w:val="00F531CC"/>
    <w:rsid w:val="00F5453B"/>
    <w:rsid w:val="00F5473F"/>
    <w:rsid w:val="00F54D98"/>
    <w:rsid w:val="00F55197"/>
    <w:rsid w:val="00F55E22"/>
    <w:rsid w:val="00F567DF"/>
    <w:rsid w:val="00F5781D"/>
    <w:rsid w:val="00F5793E"/>
    <w:rsid w:val="00F613E0"/>
    <w:rsid w:val="00F63C63"/>
    <w:rsid w:val="00F6423C"/>
    <w:rsid w:val="00F65352"/>
    <w:rsid w:val="00F66C3E"/>
    <w:rsid w:val="00F67AEC"/>
    <w:rsid w:val="00F70005"/>
    <w:rsid w:val="00F70C6E"/>
    <w:rsid w:val="00F70E11"/>
    <w:rsid w:val="00F71C03"/>
    <w:rsid w:val="00F71C70"/>
    <w:rsid w:val="00F7352E"/>
    <w:rsid w:val="00F73A3A"/>
    <w:rsid w:val="00F744A6"/>
    <w:rsid w:val="00F7478B"/>
    <w:rsid w:val="00F748E5"/>
    <w:rsid w:val="00F74A0C"/>
    <w:rsid w:val="00F74BF8"/>
    <w:rsid w:val="00F759C5"/>
    <w:rsid w:val="00F75C02"/>
    <w:rsid w:val="00F75D63"/>
    <w:rsid w:val="00F767CB"/>
    <w:rsid w:val="00F76EA8"/>
    <w:rsid w:val="00F77FAB"/>
    <w:rsid w:val="00F80AF7"/>
    <w:rsid w:val="00F80DE3"/>
    <w:rsid w:val="00F80EEF"/>
    <w:rsid w:val="00F816DA"/>
    <w:rsid w:val="00F8236C"/>
    <w:rsid w:val="00F8273C"/>
    <w:rsid w:val="00F83227"/>
    <w:rsid w:val="00F83806"/>
    <w:rsid w:val="00F844CA"/>
    <w:rsid w:val="00F851F9"/>
    <w:rsid w:val="00F8580F"/>
    <w:rsid w:val="00F8602A"/>
    <w:rsid w:val="00F86246"/>
    <w:rsid w:val="00F862A4"/>
    <w:rsid w:val="00F86878"/>
    <w:rsid w:val="00F86A17"/>
    <w:rsid w:val="00F87331"/>
    <w:rsid w:val="00F87C1A"/>
    <w:rsid w:val="00F87E59"/>
    <w:rsid w:val="00F902FB"/>
    <w:rsid w:val="00F90517"/>
    <w:rsid w:val="00F91FDE"/>
    <w:rsid w:val="00F9229B"/>
    <w:rsid w:val="00F92733"/>
    <w:rsid w:val="00F92E97"/>
    <w:rsid w:val="00F92EAA"/>
    <w:rsid w:val="00F94E4C"/>
    <w:rsid w:val="00F95327"/>
    <w:rsid w:val="00F96736"/>
    <w:rsid w:val="00F967CE"/>
    <w:rsid w:val="00FA0215"/>
    <w:rsid w:val="00FA07EE"/>
    <w:rsid w:val="00FA0ED8"/>
    <w:rsid w:val="00FA17AC"/>
    <w:rsid w:val="00FA1B25"/>
    <w:rsid w:val="00FA24B2"/>
    <w:rsid w:val="00FA297C"/>
    <w:rsid w:val="00FA29D9"/>
    <w:rsid w:val="00FA55E2"/>
    <w:rsid w:val="00FA5C45"/>
    <w:rsid w:val="00FA5D0A"/>
    <w:rsid w:val="00FA601A"/>
    <w:rsid w:val="00FA6890"/>
    <w:rsid w:val="00FA7029"/>
    <w:rsid w:val="00FB0EDD"/>
    <w:rsid w:val="00FB12D4"/>
    <w:rsid w:val="00FB1E69"/>
    <w:rsid w:val="00FB2098"/>
    <w:rsid w:val="00FB2554"/>
    <w:rsid w:val="00FB2DC4"/>
    <w:rsid w:val="00FB2F76"/>
    <w:rsid w:val="00FB2FF3"/>
    <w:rsid w:val="00FB320F"/>
    <w:rsid w:val="00FB3B39"/>
    <w:rsid w:val="00FB3E5F"/>
    <w:rsid w:val="00FB412D"/>
    <w:rsid w:val="00FB5130"/>
    <w:rsid w:val="00FB5178"/>
    <w:rsid w:val="00FB5FC2"/>
    <w:rsid w:val="00FB6A03"/>
    <w:rsid w:val="00FB7A28"/>
    <w:rsid w:val="00FC204A"/>
    <w:rsid w:val="00FC32F8"/>
    <w:rsid w:val="00FC3E79"/>
    <w:rsid w:val="00FC461D"/>
    <w:rsid w:val="00FC53A1"/>
    <w:rsid w:val="00FC6020"/>
    <w:rsid w:val="00FC645A"/>
    <w:rsid w:val="00FC715B"/>
    <w:rsid w:val="00FD29CA"/>
    <w:rsid w:val="00FD5721"/>
    <w:rsid w:val="00FD62CD"/>
    <w:rsid w:val="00FD698A"/>
    <w:rsid w:val="00FD6DD7"/>
    <w:rsid w:val="00FE04F5"/>
    <w:rsid w:val="00FE0B7B"/>
    <w:rsid w:val="00FE160F"/>
    <w:rsid w:val="00FE29D8"/>
    <w:rsid w:val="00FE34C9"/>
    <w:rsid w:val="00FE3A78"/>
    <w:rsid w:val="00FE485A"/>
    <w:rsid w:val="00FE4D50"/>
    <w:rsid w:val="00FE4EB9"/>
    <w:rsid w:val="00FE522F"/>
    <w:rsid w:val="00FE560D"/>
    <w:rsid w:val="00FE60A1"/>
    <w:rsid w:val="00FE6212"/>
    <w:rsid w:val="00FE78DD"/>
    <w:rsid w:val="00FF4BCB"/>
    <w:rsid w:val="00FF4EF2"/>
    <w:rsid w:val="00FF54A4"/>
    <w:rsid w:val="00FF55BF"/>
    <w:rsid w:val="00FF6506"/>
    <w:rsid w:val="00FF7A98"/>
    <w:rsid w:val="00FF7C7F"/>
    <w:rsid w:val="0E5A6C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nhideWhenUsed="0" w:uiPriority="39" w:semiHidden="0" w:name="toc 8"/>
    <w:lsdException w:uiPriority="39" w:semiHidden="0" w:name="toc 9"/>
    <w:lsdException w:qFormat="1"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41"/>
    <w:qFormat/>
    <w:uiPriority w:val="0"/>
    <w:pPr>
      <w:keepNext/>
      <w:keepLines/>
      <w:numPr>
        <w:ilvl w:val="0"/>
        <w:numId w:val="1"/>
      </w:numPr>
      <w:ind w:left="0" w:firstLine="0" w:firstLineChars="0"/>
      <w:jc w:val="center"/>
      <w:outlineLvl w:val="0"/>
    </w:pPr>
    <w:rPr>
      <w:b/>
      <w:bCs/>
      <w:kern w:val="44"/>
      <w:sz w:val="36"/>
      <w:szCs w:val="44"/>
    </w:rPr>
  </w:style>
  <w:style w:type="paragraph" w:styleId="3">
    <w:name w:val="heading 2"/>
    <w:basedOn w:val="1"/>
    <w:next w:val="1"/>
    <w:link w:val="42"/>
    <w:unhideWhenUsed/>
    <w:qFormat/>
    <w:uiPriority w:val="9"/>
    <w:pPr>
      <w:keepNext/>
      <w:keepLines/>
      <w:numPr>
        <w:ilvl w:val="1"/>
        <w:numId w:val="1"/>
      </w:numPr>
      <w:ind w:left="0" w:firstLineChars="0"/>
      <w:outlineLvl w:val="1"/>
    </w:pPr>
    <w:rPr>
      <w:b/>
      <w:bCs/>
      <w:sz w:val="32"/>
      <w:szCs w:val="32"/>
    </w:rPr>
  </w:style>
  <w:style w:type="paragraph" w:styleId="4">
    <w:name w:val="heading 3"/>
    <w:basedOn w:val="1"/>
    <w:next w:val="1"/>
    <w:link w:val="43"/>
    <w:unhideWhenUsed/>
    <w:qFormat/>
    <w:uiPriority w:val="9"/>
    <w:pPr>
      <w:keepNext/>
      <w:keepLines/>
      <w:numPr>
        <w:ilvl w:val="2"/>
        <w:numId w:val="1"/>
      </w:numPr>
      <w:ind w:left="0" w:firstLineChars="0"/>
      <w:outlineLvl w:val="2"/>
    </w:pPr>
    <w:rPr>
      <w:b/>
      <w:bCs/>
      <w:sz w:val="28"/>
      <w:szCs w:val="32"/>
    </w:rPr>
  </w:style>
  <w:style w:type="paragraph" w:styleId="5">
    <w:name w:val="heading 4"/>
    <w:basedOn w:val="1"/>
    <w:next w:val="1"/>
    <w:link w:val="44"/>
    <w:unhideWhenUsed/>
    <w:qFormat/>
    <w:uiPriority w:val="9"/>
    <w:pPr>
      <w:keepNext/>
      <w:keepLines/>
      <w:numPr>
        <w:ilvl w:val="3"/>
        <w:numId w:val="1"/>
      </w:numPr>
      <w:ind w:left="0" w:firstLineChars="0"/>
      <w:outlineLvl w:val="3"/>
    </w:pPr>
    <w:rPr>
      <w:b/>
      <w:bCs/>
      <w:szCs w:val="28"/>
    </w:rPr>
  </w:style>
  <w:style w:type="paragraph" w:styleId="6">
    <w:name w:val="heading 5"/>
    <w:basedOn w:val="1"/>
    <w:next w:val="1"/>
    <w:link w:val="45"/>
    <w:unhideWhenUsed/>
    <w:qFormat/>
    <w:uiPriority w:val="9"/>
    <w:pPr>
      <w:keepNext/>
      <w:keepLines/>
      <w:numPr>
        <w:ilvl w:val="4"/>
        <w:numId w:val="1"/>
      </w:numPr>
      <w:ind w:firstLineChars="0"/>
      <w:outlineLvl w:val="4"/>
    </w:pPr>
    <w:rPr>
      <w:b/>
      <w:bCs/>
      <w:szCs w:val="28"/>
    </w:rPr>
  </w:style>
  <w:style w:type="character" w:default="1" w:styleId="37">
    <w:name w:val="Default Paragraph Font"/>
    <w:unhideWhenUsed/>
    <w:qFormat/>
    <w:uiPriority w:val="1"/>
  </w:style>
  <w:style w:type="table" w:default="1" w:styleId="35">
    <w:name w:val="Normal Table"/>
    <w:semiHidden/>
    <w:unhideWhenUsed/>
    <w:uiPriority w:val="99"/>
    <w:tblPr>
      <w:tblLayout w:type="fixed"/>
      <w:tblCellMar>
        <w:top w:w="0" w:type="dxa"/>
        <w:left w:w="108" w:type="dxa"/>
        <w:bottom w:w="0" w:type="dxa"/>
        <w:right w:w="108" w:type="dxa"/>
      </w:tblCellMar>
    </w:tblPr>
  </w:style>
  <w:style w:type="paragraph" w:styleId="7">
    <w:name w:val="toc 7"/>
    <w:basedOn w:val="1"/>
    <w:next w:val="1"/>
    <w:unhideWhenUsed/>
    <w:uiPriority w:val="39"/>
    <w:pPr>
      <w:ind w:left="1440"/>
      <w:jc w:val="left"/>
    </w:pPr>
    <w:rPr>
      <w:rFonts w:asciiTheme="minorHAnsi" w:hAnsiTheme="minorHAnsi" w:cstheme="minorHAnsi"/>
      <w:sz w:val="18"/>
      <w:szCs w:val="18"/>
    </w:rPr>
  </w:style>
  <w:style w:type="paragraph" w:styleId="8">
    <w:name w:val="Normal Indent"/>
    <w:basedOn w:val="1"/>
    <w:qFormat/>
    <w:uiPriority w:val="0"/>
    <w:pPr>
      <w:spacing w:line="240" w:lineRule="auto"/>
      <w:ind w:firstLine="420" w:firstLineChars="0"/>
    </w:pPr>
    <w:rPr>
      <w:sz w:val="21"/>
      <w:szCs w:val="21"/>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Document Map"/>
    <w:basedOn w:val="1"/>
    <w:link w:val="50"/>
    <w:semiHidden/>
    <w:unhideWhenUsed/>
    <w:uiPriority w:val="99"/>
    <w:rPr>
      <w:rFonts w:ascii="宋体"/>
      <w:sz w:val="18"/>
      <w:szCs w:val="18"/>
    </w:rPr>
  </w:style>
  <w:style w:type="paragraph" w:styleId="11">
    <w:name w:val="annotation text"/>
    <w:basedOn w:val="1"/>
    <w:link w:val="89"/>
    <w:semiHidden/>
    <w:unhideWhenUsed/>
    <w:uiPriority w:val="99"/>
    <w:pPr>
      <w:jc w:val="left"/>
    </w:pPr>
  </w:style>
  <w:style w:type="paragraph" w:styleId="12">
    <w:name w:val="Body Text"/>
    <w:basedOn w:val="1"/>
    <w:link w:val="58"/>
    <w:uiPriority w:val="0"/>
    <w:pPr>
      <w:spacing w:line="540" w:lineRule="exact"/>
      <w:ind w:firstLine="0" w:firstLineChars="0"/>
    </w:pPr>
    <w:rPr>
      <w:rFonts w:ascii="宋体" w:hAnsi="宋体"/>
      <w:sz w:val="28"/>
      <w:szCs w:val="24"/>
    </w:rPr>
  </w:style>
  <w:style w:type="paragraph" w:styleId="13">
    <w:name w:val="Body Text Indent"/>
    <w:basedOn w:val="1"/>
    <w:link w:val="62"/>
    <w:qFormat/>
    <w:uiPriority w:val="0"/>
    <w:pPr>
      <w:spacing w:after="120" w:line="240" w:lineRule="auto"/>
      <w:ind w:left="420" w:leftChars="200" w:firstLine="0" w:firstLineChars="0"/>
    </w:pPr>
    <w:rPr>
      <w:sz w:val="21"/>
      <w:szCs w:val="24"/>
    </w:rPr>
  </w:style>
  <w:style w:type="paragraph" w:styleId="14">
    <w:name w:val="Block Text"/>
    <w:basedOn w:val="1"/>
    <w:qFormat/>
    <w:uiPriority w:val="0"/>
    <w:pPr>
      <w:spacing w:line="420" w:lineRule="exact"/>
      <w:ind w:left="101" w:leftChars="48" w:right="149" w:rightChars="71" w:firstLine="426" w:firstLineChars="203"/>
    </w:pPr>
    <w:rPr>
      <w:sz w:val="21"/>
      <w:szCs w:val="24"/>
    </w:rPr>
  </w:style>
  <w:style w:type="paragraph" w:styleId="15">
    <w:name w:val="toc 5"/>
    <w:basedOn w:val="1"/>
    <w:next w:val="1"/>
    <w:unhideWhenUsed/>
    <w:uiPriority w:val="39"/>
    <w:pPr>
      <w:ind w:left="960"/>
      <w:jc w:val="left"/>
    </w:pPr>
    <w:rPr>
      <w:rFonts w:asciiTheme="minorHAnsi" w:hAnsiTheme="minorHAnsi" w:cstheme="minorHAnsi"/>
      <w:sz w:val="18"/>
      <w:szCs w:val="18"/>
    </w:rPr>
  </w:style>
  <w:style w:type="paragraph" w:styleId="16">
    <w:name w:val="toc 3"/>
    <w:basedOn w:val="1"/>
    <w:next w:val="1"/>
    <w:unhideWhenUsed/>
    <w:uiPriority w:val="39"/>
    <w:pPr>
      <w:ind w:left="480"/>
      <w:jc w:val="left"/>
    </w:pPr>
    <w:rPr>
      <w:rFonts w:asciiTheme="minorHAnsi" w:hAnsiTheme="minorHAnsi" w:cstheme="minorHAnsi"/>
      <w:i/>
      <w:iCs/>
      <w:sz w:val="20"/>
      <w:szCs w:val="20"/>
    </w:rPr>
  </w:style>
  <w:style w:type="paragraph" w:styleId="17">
    <w:name w:val="Plain Text"/>
    <w:basedOn w:val="1"/>
    <w:link w:val="63"/>
    <w:qFormat/>
    <w:uiPriority w:val="0"/>
    <w:pPr>
      <w:spacing w:line="240" w:lineRule="auto"/>
      <w:ind w:firstLine="0" w:firstLineChars="0"/>
    </w:pPr>
    <w:rPr>
      <w:rFonts w:ascii="宋体" w:hAnsi="Courier New"/>
      <w:sz w:val="21"/>
      <w:szCs w:val="20"/>
    </w:rPr>
  </w:style>
  <w:style w:type="paragraph" w:styleId="18">
    <w:name w:val="toc 8"/>
    <w:basedOn w:val="1"/>
    <w:next w:val="1"/>
    <w:uiPriority w:val="39"/>
    <w:pPr>
      <w:ind w:left="1680"/>
      <w:jc w:val="left"/>
    </w:pPr>
    <w:rPr>
      <w:rFonts w:asciiTheme="minorHAnsi" w:hAnsiTheme="minorHAnsi" w:cstheme="minorHAnsi"/>
      <w:sz w:val="18"/>
      <w:szCs w:val="18"/>
    </w:rPr>
  </w:style>
  <w:style w:type="paragraph" w:styleId="19">
    <w:name w:val="Date"/>
    <w:basedOn w:val="1"/>
    <w:next w:val="1"/>
    <w:link w:val="121"/>
    <w:semiHidden/>
    <w:unhideWhenUsed/>
    <w:uiPriority w:val="99"/>
    <w:pPr>
      <w:ind w:left="100" w:leftChars="2500"/>
    </w:pPr>
  </w:style>
  <w:style w:type="paragraph" w:styleId="20">
    <w:name w:val="Body Text Indent 2"/>
    <w:basedOn w:val="1"/>
    <w:link w:val="65"/>
    <w:qFormat/>
    <w:uiPriority w:val="0"/>
    <w:pPr>
      <w:spacing w:after="120" w:line="480" w:lineRule="auto"/>
      <w:ind w:left="420" w:leftChars="200" w:firstLine="0" w:firstLineChars="0"/>
    </w:pPr>
    <w:rPr>
      <w:sz w:val="21"/>
      <w:szCs w:val="24"/>
    </w:rPr>
  </w:style>
  <w:style w:type="paragraph" w:styleId="21">
    <w:name w:val="Balloon Text"/>
    <w:basedOn w:val="1"/>
    <w:link w:val="72"/>
    <w:semiHidden/>
    <w:unhideWhenUsed/>
    <w:qFormat/>
    <w:uiPriority w:val="99"/>
    <w:pPr>
      <w:spacing w:line="240" w:lineRule="auto"/>
    </w:pPr>
    <w:rPr>
      <w:sz w:val="18"/>
      <w:szCs w:val="18"/>
    </w:rPr>
  </w:style>
  <w:style w:type="paragraph" w:styleId="22">
    <w:name w:val="footer"/>
    <w:basedOn w:val="1"/>
    <w:link w:val="47"/>
    <w:unhideWhenUsed/>
    <w:uiPriority w:val="99"/>
    <w:pPr>
      <w:tabs>
        <w:tab w:val="center" w:pos="4153"/>
        <w:tab w:val="right" w:pos="8306"/>
      </w:tabs>
      <w:jc w:val="left"/>
    </w:pPr>
    <w:rPr>
      <w:sz w:val="18"/>
      <w:szCs w:val="18"/>
    </w:rPr>
  </w:style>
  <w:style w:type="paragraph" w:styleId="23">
    <w:name w:val="header"/>
    <w:basedOn w:val="1"/>
    <w:link w:val="46"/>
    <w:unhideWhenUsed/>
    <w:uiPriority w:val="99"/>
    <w:pPr>
      <w:pBdr>
        <w:bottom w:val="single" w:color="auto" w:sz="6" w:space="1"/>
      </w:pBdr>
      <w:tabs>
        <w:tab w:val="center" w:pos="4153"/>
        <w:tab w:val="right" w:pos="8306"/>
      </w:tabs>
      <w:jc w:val="center"/>
    </w:pPr>
    <w:rPr>
      <w:sz w:val="18"/>
      <w:szCs w:val="18"/>
    </w:rPr>
  </w:style>
  <w:style w:type="paragraph" w:styleId="2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25">
    <w:name w:val="toc 4"/>
    <w:basedOn w:val="1"/>
    <w:next w:val="1"/>
    <w:unhideWhenUsed/>
    <w:uiPriority w:val="39"/>
    <w:pPr>
      <w:ind w:left="720"/>
      <w:jc w:val="left"/>
    </w:pPr>
    <w:rPr>
      <w:rFonts w:asciiTheme="minorHAnsi" w:hAnsiTheme="minorHAnsi" w:cstheme="minorHAnsi"/>
      <w:sz w:val="18"/>
      <w:szCs w:val="18"/>
    </w:rPr>
  </w:style>
  <w:style w:type="paragraph" w:styleId="26">
    <w:name w:val="Subtitle"/>
    <w:basedOn w:val="1"/>
    <w:next w:val="1"/>
    <w:link w:val="113"/>
    <w:qFormat/>
    <w:uiPriority w:val="11"/>
    <w:pPr>
      <w:spacing w:line="240" w:lineRule="auto"/>
      <w:ind w:firstLine="0" w:firstLineChars="0"/>
      <w:jc w:val="center"/>
    </w:pPr>
    <w:rPr>
      <w:rFonts w:cstheme="majorBidi"/>
      <w:bCs/>
      <w:kern w:val="28"/>
      <w:sz w:val="21"/>
      <w:szCs w:val="32"/>
    </w:rPr>
  </w:style>
  <w:style w:type="paragraph" w:styleId="27">
    <w:name w:val="toc 6"/>
    <w:basedOn w:val="1"/>
    <w:next w:val="1"/>
    <w:unhideWhenUsed/>
    <w:uiPriority w:val="39"/>
    <w:pPr>
      <w:ind w:left="1200"/>
      <w:jc w:val="left"/>
    </w:pPr>
    <w:rPr>
      <w:rFonts w:asciiTheme="minorHAnsi" w:hAnsiTheme="minorHAnsi" w:cstheme="minorHAnsi"/>
      <w:sz w:val="18"/>
      <w:szCs w:val="18"/>
    </w:rPr>
  </w:style>
  <w:style w:type="paragraph" w:styleId="28">
    <w:name w:val="Body Text Indent 3"/>
    <w:basedOn w:val="1"/>
    <w:link w:val="85"/>
    <w:qFormat/>
    <w:uiPriority w:val="0"/>
    <w:pPr>
      <w:widowControl/>
      <w:spacing w:after="120" w:line="425" w:lineRule="atLeast"/>
      <w:ind w:left="420" w:leftChars="200" w:firstLine="0" w:firstLineChars="0"/>
      <w:textAlignment w:val="baseline"/>
    </w:pPr>
    <w:rPr>
      <w:color w:val="000000"/>
      <w:kern w:val="0"/>
      <w:sz w:val="16"/>
      <w:szCs w:val="16"/>
      <w:u w:color="000000"/>
    </w:rPr>
  </w:style>
  <w:style w:type="paragraph" w:styleId="29">
    <w:name w:val="toc 2"/>
    <w:basedOn w:val="1"/>
    <w:next w:val="1"/>
    <w:unhideWhenUsed/>
    <w:uiPriority w:val="39"/>
    <w:pPr>
      <w:ind w:left="240"/>
      <w:jc w:val="left"/>
    </w:pPr>
    <w:rPr>
      <w:rFonts w:asciiTheme="minorHAnsi" w:hAnsiTheme="minorHAnsi" w:cstheme="minorHAnsi"/>
      <w:smallCaps/>
      <w:sz w:val="20"/>
      <w:szCs w:val="20"/>
    </w:rPr>
  </w:style>
  <w:style w:type="paragraph" w:styleId="30">
    <w:name w:val="toc 9"/>
    <w:basedOn w:val="1"/>
    <w:next w:val="1"/>
    <w:unhideWhenUsed/>
    <w:uiPriority w:val="39"/>
    <w:pPr>
      <w:ind w:left="1920"/>
      <w:jc w:val="left"/>
    </w:pPr>
    <w:rPr>
      <w:rFonts w:asciiTheme="minorHAnsi" w:hAnsiTheme="minorHAnsi" w:cstheme="minorHAnsi"/>
      <w:sz w:val="18"/>
      <w:szCs w:val="18"/>
    </w:rPr>
  </w:style>
  <w:style w:type="paragraph" w:styleId="31">
    <w:name w:val="Normal (Web)"/>
    <w:basedOn w:val="1"/>
    <w:semiHidden/>
    <w:unhideWhenUsed/>
    <w:uiPriority w:val="99"/>
    <w:rPr>
      <w:szCs w:val="24"/>
    </w:rPr>
  </w:style>
  <w:style w:type="paragraph" w:styleId="32">
    <w:name w:val="Title"/>
    <w:basedOn w:val="1"/>
    <w:next w:val="1"/>
    <w:link w:val="100"/>
    <w:qFormat/>
    <w:uiPriority w:val="10"/>
    <w:pPr>
      <w:spacing w:before="240" w:after="60"/>
      <w:jc w:val="center"/>
      <w:outlineLvl w:val="0"/>
    </w:pPr>
    <w:rPr>
      <w:rFonts w:asciiTheme="majorHAnsi" w:hAnsiTheme="majorHAnsi" w:cstheme="majorBidi"/>
      <w:b/>
      <w:bCs/>
      <w:sz w:val="32"/>
      <w:szCs w:val="32"/>
    </w:rPr>
  </w:style>
  <w:style w:type="paragraph" w:styleId="33">
    <w:name w:val="annotation subject"/>
    <w:basedOn w:val="11"/>
    <w:next w:val="11"/>
    <w:link w:val="90"/>
    <w:semiHidden/>
    <w:unhideWhenUsed/>
    <w:uiPriority w:val="99"/>
    <w:rPr>
      <w:b/>
      <w:bCs/>
    </w:rPr>
  </w:style>
  <w:style w:type="paragraph" w:styleId="34">
    <w:name w:val="Body Text First Indent"/>
    <w:basedOn w:val="12"/>
    <w:link w:val="111"/>
    <w:semiHidden/>
    <w:unhideWhenUsed/>
    <w:uiPriority w:val="99"/>
    <w:pPr>
      <w:spacing w:after="120" w:line="360" w:lineRule="auto"/>
      <w:ind w:firstLine="420" w:firstLineChars="100"/>
    </w:pPr>
    <w:rPr>
      <w:rFonts w:ascii="Times New Roman" w:hAnsi="Times New Roman"/>
      <w:sz w:val="24"/>
      <w:szCs w:val="22"/>
    </w:rPr>
  </w:style>
  <w:style w:type="table" w:styleId="36">
    <w:name w:val="Table Grid"/>
    <w:basedOn w:val="3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8">
    <w:name w:val="Strong"/>
    <w:basedOn w:val="37"/>
    <w:qFormat/>
    <w:uiPriority w:val="22"/>
    <w:rPr>
      <w:b/>
      <w:bCs/>
    </w:rPr>
  </w:style>
  <w:style w:type="character" w:styleId="39">
    <w:name w:val="Hyperlink"/>
    <w:basedOn w:val="37"/>
    <w:unhideWhenUsed/>
    <w:uiPriority w:val="99"/>
    <w:rPr>
      <w:color w:val="0000FF" w:themeColor="hyperlink"/>
      <w:u w:val="single"/>
      <w14:textFill>
        <w14:solidFill>
          <w14:schemeClr w14:val="hlink"/>
        </w14:solidFill>
      </w14:textFill>
    </w:rPr>
  </w:style>
  <w:style w:type="character" w:styleId="40">
    <w:name w:val="annotation reference"/>
    <w:qFormat/>
    <w:uiPriority w:val="0"/>
    <w:rPr>
      <w:sz w:val="21"/>
      <w:szCs w:val="21"/>
    </w:rPr>
  </w:style>
  <w:style w:type="character" w:customStyle="1" w:styleId="41">
    <w:name w:val="标题 1 Char"/>
    <w:basedOn w:val="37"/>
    <w:link w:val="2"/>
    <w:qFormat/>
    <w:uiPriority w:val="0"/>
    <w:rPr>
      <w:rFonts w:ascii="Times New Roman" w:hAnsi="Times New Roman"/>
      <w:b/>
      <w:bCs/>
      <w:kern w:val="44"/>
      <w:sz w:val="36"/>
      <w:szCs w:val="44"/>
    </w:rPr>
  </w:style>
  <w:style w:type="character" w:customStyle="1" w:styleId="42">
    <w:name w:val="标题 2 Char"/>
    <w:basedOn w:val="37"/>
    <w:link w:val="3"/>
    <w:uiPriority w:val="9"/>
    <w:rPr>
      <w:rFonts w:ascii="Times New Roman" w:hAnsi="Times New Roman"/>
      <w:b/>
      <w:bCs/>
      <w:kern w:val="2"/>
      <w:sz w:val="32"/>
      <w:szCs w:val="32"/>
    </w:rPr>
  </w:style>
  <w:style w:type="character" w:customStyle="1" w:styleId="43">
    <w:name w:val="标题 3 Char"/>
    <w:basedOn w:val="37"/>
    <w:link w:val="4"/>
    <w:uiPriority w:val="9"/>
    <w:rPr>
      <w:rFonts w:ascii="Times New Roman" w:hAnsi="Times New Roman"/>
      <w:b/>
      <w:bCs/>
      <w:kern w:val="2"/>
      <w:sz w:val="28"/>
      <w:szCs w:val="32"/>
    </w:rPr>
  </w:style>
  <w:style w:type="character" w:customStyle="1" w:styleId="44">
    <w:name w:val="标题 4 Char"/>
    <w:basedOn w:val="37"/>
    <w:link w:val="5"/>
    <w:uiPriority w:val="9"/>
    <w:rPr>
      <w:rFonts w:ascii="Times New Roman" w:hAnsi="Times New Roman"/>
      <w:b/>
      <w:bCs/>
      <w:kern w:val="2"/>
      <w:sz w:val="24"/>
      <w:szCs w:val="28"/>
    </w:rPr>
  </w:style>
  <w:style w:type="character" w:customStyle="1" w:styleId="45">
    <w:name w:val="标题 5 Char"/>
    <w:basedOn w:val="37"/>
    <w:link w:val="6"/>
    <w:uiPriority w:val="9"/>
    <w:rPr>
      <w:rFonts w:ascii="Times New Roman" w:hAnsi="Times New Roman"/>
      <w:b/>
      <w:bCs/>
      <w:kern w:val="2"/>
      <w:sz w:val="24"/>
      <w:szCs w:val="28"/>
    </w:rPr>
  </w:style>
  <w:style w:type="character" w:customStyle="1" w:styleId="46">
    <w:name w:val="页眉 Char"/>
    <w:basedOn w:val="37"/>
    <w:link w:val="23"/>
    <w:uiPriority w:val="99"/>
    <w:rPr>
      <w:sz w:val="18"/>
      <w:szCs w:val="18"/>
    </w:rPr>
  </w:style>
  <w:style w:type="character" w:customStyle="1" w:styleId="47">
    <w:name w:val="页脚 Char"/>
    <w:basedOn w:val="37"/>
    <w:link w:val="22"/>
    <w:uiPriority w:val="99"/>
    <w:rPr>
      <w:sz w:val="18"/>
      <w:szCs w:val="18"/>
    </w:rPr>
  </w:style>
  <w:style w:type="paragraph" w:customStyle="1" w:styleId="48">
    <w:name w:val="表格文字"/>
    <w:basedOn w:val="1"/>
    <w:next w:val="1"/>
    <w:qFormat/>
    <w:uiPriority w:val="0"/>
    <w:pPr>
      <w:spacing w:line="240" w:lineRule="auto"/>
      <w:ind w:firstLine="0" w:firstLineChars="0"/>
      <w:jc w:val="center"/>
    </w:pPr>
    <w:rPr>
      <w:sz w:val="21"/>
      <w:szCs w:val="20"/>
    </w:rPr>
  </w:style>
  <w:style w:type="paragraph" w:customStyle="1" w:styleId="49">
    <w:name w:val="表头"/>
    <w:basedOn w:val="48"/>
    <w:link w:val="118"/>
    <w:qFormat/>
    <w:uiPriority w:val="0"/>
    <w:rPr>
      <w:rFonts w:hAnsi="黑体" w:eastAsia="Times New Roman"/>
      <w:b/>
    </w:rPr>
  </w:style>
  <w:style w:type="character" w:customStyle="1" w:styleId="50">
    <w:name w:val="文档结构图 Char"/>
    <w:basedOn w:val="37"/>
    <w:link w:val="10"/>
    <w:semiHidden/>
    <w:uiPriority w:val="99"/>
    <w:rPr>
      <w:rFonts w:ascii="宋体"/>
      <w:kern w:val="2"/>
      <w:sz w:val="18"/>
      <w:szCs w:val="18"/>
    </w:rPr>
  </w:style>
  <w:style w:type="paragraph" w:customStyle="1" w:styleId="51">
    <w:name w:val="报告正文"/>
    <w:basedOn w:val="1"/>
    <w:uiPriority w:val="0"/>
    <w:pPr>
      <w:autoSpaceDE w:val="0"/>
      <w:autoSpaceDN w:val="0"/>
      <w:spacing w:line="480" w:lineRule="atLeast"/>
      <w:ind w:firstLine="480"/>
      <w:textAlignment w:val="baseline"/>
    </w:pPr>
    <w:rPr>
      <w:bCs/>
      <w:kern w:val="0"/>
      <w:szCs w:val="20"/>
      <w:u w:color="000000"/>
    </w:rPr>
  </w:style>
  <w:style w:type="paragraph" w:customStyle="1" w:styleId="52">
    <w:name w:val="表头图表"/>
    <w:qFormat/>
    <w:uiPriority w:val="0"/>
    <w:pPr>
      <w:widowControl w:val="0"/>
      <w:autoSpaceDE w:val="0"/>
      <w:autoSpaceDN w:val="0"/>
      <w:adjustRightInd w:val="0"/>
      <w:snapToGrid w:val="0"/>
      <w:jc w:val="center"/>
    </w:pPr>
    <w:rPr>
      <w:rFonts w:ascii="仿宋_GB2312" w:hAnsi="仿宋_GB2312" w:eastAsia="仿宋_GB2312" w:cs="宋体"/>
      <w:color w:val="000000"/>
      <w:sz w:val="28"/>
      <w:szCs w:val="24"/>
      <w:lang w:val="en-US" w:eastAsia="zh-CN" w:bidi="ar-SA"/>
    </w:rPr>
  </w:style>
  <w:style w:type="paragraph" w:styleId="53">
    <w:name w:val="List Paragraph"/>
    <w:basedOn w:val="1"/>
    <w:qFormat/>
    <w:uiPriority w:val="34"/>
    <w:pPr>
      <w:spacing w:line="240" w:lineRule="auto"/>
      <w:ind w:firstLine="0" w:firstLineChars="0"/>
      <w:jc w:val="center"/>
    </w:pPr>
    <w:rPr>
      <w:rFonts w:ascii="仿宋_GB2312" w:hAnsi="仿宋_GB2312" w:eastAsia="仿宋_GB2312"/>
      <w:kern w:val="0"/>
      <w:sz w:val="21"/>
      <w:szCs w:val="24"/>
    </w:rPr>
  </w:style>
  <w:style w:type="paragraph" w:customStyle="1" w:styleId="54">
    <w:name w:val="Char2 Char Char Char Char Char Char Char Char Char Char Char Char"/>
    <w:basedOn w:val="1"/>
    <w:qFormat/>
    <w:uiPriority w:val="0"/>
    <w:pPr>
      <w:spacing w:line="560" w:lineRule="exact"/>
    </w:pPr>
    <w:rPr>
      <w:rFonts w:ascii="宋体" w:hAnsi="宋体" w:cs="宋体"/>
      <w:sz w:val="28"/>
      <w:szCs w:val="28"/>
    </w:rPr>
  </w:style>
  <w:style w:type="character" w:customStyle="1" w:styleId="55">
    <w:name w:val="我的正文 Char Char"/>
    <w:link w:val="56"/>
    <w:qFormat/>
    <w:uiPriority w:val="0"/>
    <w:rPr>
      <w:rFonts w:ascii="仿宋_GB2312" w:hAnsi="仿宋_GB2312" w:eastAsia="仿宋_GB2312"/>
      <w:sz w:val="28"/>
      <w:szCs w:val="24"/>
    </w:rPr>
  </w:style>
  <w:style w:type="paragraph" w:customStyle="1" w:styleId="56">
    <w:name w:val="我的正文"/>
    <w:basedOn w:val="1"/>
    <w:link w:val="55"/>
    <w:qFormat/>
    <w:uiPriority w:val="0"/>
    <w:pPr>
      <w:spacing w:line="240" w:lineRule="auto"/>
    </w:pPr>
    <w:rPr>
      <w:rFonts w:ascii="仿宋_GB2312" w:hAnsi="仿宋_GB2312" w:eastAsia="仿宋_GB2312"/>
      <w:kern w:val="0"/>
      <w:sz w:val="28"/>
      <w:szCs w:val="24"/>
    </w:rPr>
  </w:style>
  <w:style w:type="paragraph" w:customStyle="1" w:styleId="57">
    <w:name w:val="标题4"/>
    <w:basedOn w:val="1"/>
    <w:uiPriority w:val="0"/>
    <w:pPr>
      <w:ind w:firstLine="0" w:firstLineChars="0"/>
    </w:pPr>
    <w:rPr>
      <w:rFonts w:eastAsia="黑体"/>
      <w:szCs w:val="24"/>
    </w:rPr>
  </w:style>
  <w:style w:type="character" w:customStyle="1" w:styleId="58">
    <w:name w:val="正文文本 Char"/>
    <w:basedOn w:val="37"/>
    <w:link w:val="12"/>
    <w:uiPriority w:val="0"/>
    <w:rPr>
      <w:rFonts w:ascii="宋体" w:hAnsi="宋体"/>
      <w:kern w:val="2"/>
      <w:sz w:val="28"/>
      <w:szCs w:val="24"/>
    </w:rPr>
  </w:style>
  <w:style w:type="paragraph" w:customStyle="1" w:styleId="59">
    <w:name w:val="_Style 3"/>
    <w:basedOn w:val="1"/>
    <w:qFormat/>
    <w:uiPriority w:val="0"/>
    <w:pPr>
      <w:spacing w:line="240" w:lineRule="auto"/>
      <w:ind w:firstLine="0" w:firstLineChars="0"/>
      <w:jc w:val="center"/>
    </w:pPr>
    <w:rPr>
      <w:sz w:val="21"/>
      <w:szCs w:val="24"/>
    </w:rPr>
  </w:style>
  <w:style w:type="paragraph" w:customStyle="1" w:styleId="60">
    <w:name w:val="标准正文"/>
    <w:basedOn w:val="1"/>
    <w:qFormat/>
    <w:uiPriority w:val="0"/>
    <w:pPr>
      <w:jc w:val="left"/>
    </w:pPr>
    <w:rPr>
      <w:rFonts w:ascii="仿宋_GB2312" w:hAnsi="仿宋_GB2312" w:eastAsia="仿宋_GB2312"/>
      <w:kern w:val="0"/>
      <w:szCs w:val="20"/>
    </w:rPr>
  </w:style>
  <w:style w:type="paragraph" w:customStyle="1" w:styleId="61">
    <w:name w:val="_Style 1"/>
    <w:basedOn w:val="1"/>
    <w:qFormat/>
    <w:uiPriority w:val="0"/>
    <w:pPr>
      <w:spacing w:line="240" w:lineRule="auto"/>
      <w:ind w:firstLine="0" w:firstLineChars="0"/>
      <w:jc w:val="center"/>
    </w:pPr>
    <w:rPr>
      <w:rFonts w:ascii="仿宋_GB2312" w:hAnsi="仿宋_GB2312" w:eastAsia="仿宋_GB2312"/>
      <w:kern w:val="0"/>
      <w:sz w:val="21"/>
      <w:szCs w:val="24"/>
    </w:rPr>
  </w:style>
  <w:style w:type="character" w:customStyle="1" w:styleId="62">
    <w:name w:val="正文文本缩进 Char"/>
    <w:basedOn w:val="37"/>
    <w:link w:val="13"/>
    <w:qFormat/>
    <w:uiPriority w:val="0"/>
    <w:rPr>
      <w:kern w:val="2"/>
      <w:sz w:val="21"/>
      <w:szCs w:val="24"/>
    </w:rPr>
  </w:style>
  <w:style w:type="character" w:customStyle="1" w:styleId="63">
    <w:name w:val="纯文本 Char"/>
    <w:basedOn w:val="37"/>
    <w:link w:val="17"/>
    <w:qFormat/>
    <w:uiPriority w:val="0"/>
    <w:rPr>
      <w:rFonts w:ascii="宋体" w:hAnsi="Courier New"/>
      <w:kern w:val="2"/>
      <w:sz w:val="21"/>
    </w:rPr>
  </w:style>
  <w:style w:type="paragraph" w:customStyle="1" w:styleId="64">
    <w:name w:val="内容"/>
    <w:basedOn w:val="1"/>
    <w:qFormat/>
    <w:uiPriority w:val="0"/>
    <w:pPr>
      <w:spacing w:line="400" w:lineRule="atLeast"/>
    </w:pPr>
    <w:rPr>
      <w:spacing w:val="10"/>
      <w:szCs w:val="20"/>
    </w:rPr>
  </w:style>
  <w:style w:type="character" w:customStyle="1" w:styleId="65">
    <w:name w:val="正文文本缩进 2 Char"/>
    <w:basedOn w:val="37"/>
    <w:link w:val="20"/>
    <w:qFormat/>
    <w:uiPriority w:val="0"/>
    <w:rPr>
      <w:rFonts w:ascii="Times New Roman" w:hAnsi="Times New Roman"/>
      <w:kern w:val="2"/>
      <w:sz w:val="21"/>
      <w:szCs w:val="24"/>
    </w:rPr>
  </w:style>
  <w:style w:type="paragraph" w:customStyle="1" w:styleId="6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表格标题"/>
    <w:basedOn w:val="1"/>
    <w:link w:val="68"/>
    <w:qFormat/>
    <w:uiPriority w:val="0"/>
    <w:pPr>
      <w:spacing w:line="400" w:lineRule="exact"/>
      <w:ind w:firstLine="0" w:firstLineChars="0"/>
      <w:jc w:val="center"/>
    </w:pPr>
    <w:rPr>
      <w:rFonts w:eastAsia="黑体"/>
      <w:szCs w:val="24"/>
    </w:rPr>
  </w:style>
  <w:style w:type="character" w:customStyle="1" w:styleId="68">
    <w:name w:val="表格标题 字符"/>
    <w:link w:val="67"/>
    <w:qFormat/>
    <w:uiPriority w:val="0"/>
    <w:rPr>
      <w:rFonts w:ascii="Times New Roman" w:hAnsi="Times New Roman" w:eastAsia="黑体"/>
      <w:kern w:val="2"/>
      <w:sz w:val="24"/>
      <w:szCs w:val="24"/>
    </w:rPr>
  </w:style>
  <w:style w:type="character" w:customStyle="1" w:styleId="69">
    <w:name w:val="表格文字11 字符"/>
    <w:link w:val="70"/>
    <w:qFormat/>
    <w:uiPriority w:val="0"/>
    <w:rPr>
      <w:rFonts w:hAnsi="宋体"/>
      <w:kern w:val="2"/>
      <w:sz w:val="21"/>
      <w:szCs w:val="21"/>
    </w:rPr>
  </w:style>
  <w:style w:type="paragraph" w:customStyle="1" w:styleId="70">
    <w:name w:val="表格文字11"/>
    <w:basedOn w:val="1"/>
    <w:link w:val="69"/>
    <w:qFormat/>
    <w:uiPriority w:val="0"/>
    <w:pPr>
      <w:spacing w:line="400" w:lineRule="exact"/>
      <w:ind w:firstLine="0" w:firstLineChars="0"/>
      <w:jc w:val="center"/>
    </w:pPr>
    <w:rPr>
      <w:rFonts w:hAnsi="宋体"/>
      <w:sz w:val="21"/>
      <w:szCs w:val="21"/>
    </w:rPr>
  </w:style>
  <w:style w:type="paragraph" w:customStyle="1" w:styleId="71">
    <w:name w:val="Char2 Char Char Char Char Char Char Char Char Char Char Char Char1"/>
    <w:basedOn w:val="1"/>
    <w:qFormat/>
    <w:uiPriority w:val="0"/>
    <w:pPr>
      <w:spacing w:line="560" w:lineRule="exact"/>
    </w:pPr>
    <w:rPr>
      <w:rFonts w:ascii="宋体" w:hAnsi="宋体" w:cs="宋体"/>
      <w:sz w:val="28"/>
      <w:szCs w:val="28"/>
    </w:rPr>
  </w:style>
  <w:style w:type="character" w:customStyle="1" w:styleId="72">
    <w:name w:val="批注框文本 Char"/>
    <w:basedOn w:val="37"/>
    <w:link w:val="21"/>
    <w:semiHidden/>
    <w:qFormat/>
    <w:uiPriority w:val="99"/>
    <w:rPr>
      <w:kern w:val="2"/>
      <w:sz w:val="18"/>
      <w:szCs w:val="18"/>
    </w:rPr>
  </w:style>
  <w:style w:type="paragraph" w:customStyle="1" w:styleId="73">
    <w:name w:val="Char2 Char Char Char Char Char Char Char Char Char Char Char Char4"/>
    <w:basedOn w:val="1"/>
    <w:qFormat/>
    <w:uiPriority w:val="0"/>
    <w:pPr>
      <w:spacing w:line="560" w:lineRule="exact"/>
    </w:pPr>
    <w:rPr>
      <w:rFonts w:ascii="宋体" w:hAnsi="宋体" w:cs="宋体"/>
      <w:sz w:val="28"/>
      <w:szCs w:val="28"/>
    </w:rPr>
  </w:style>
  <w:style w:type="paragraph" w:customStyle="1" w:styleId="74">
    <w:name w:val="Char2 Char Char Char Char Char Char Char Char Char Char Char Char3"/>
    <w:basedOn w:val="1"/>
    <w:qFormat/>
    <w:uiPriority w:val="0"/>
    <w:pPr>
      <w:spacing w:line="560" w:lineRule="exact"/>
    </w:pPr>
    <w:rPr>
      <w:rFonts w:ascii="宋体" w:hAnsi="宋体" w:cs="宋体"/>
      <w:sz w:val="28"/>
      <w:szCs w:val="28"/>
    </w:rPr>
  </w:style>
  <w:style w:type="character" w:customStyle="1" w:styleId="75">
    <w:name w:val="font21"/>
    <w:basedOn w:val="37"/>
    <w:qFormat/>
    <w:uiPriority w:val="0"/>
    <w:rPr>
      <w:rFonts w:hint="eastAsia" w:ascii="宋体" w:hAnsi="宋体" w:eastAsia="宋体" w:cs="宋体"/>
      <w:color w:val="000000"/>
      <w:sz w:val="20"/>
      <w:szCs w:val="20"/>
      <w:u w:val="none"/>
      <w:vertAlign w:val="superscript"/>
    </w:rPr>
  </w:style>
  <w:style w:type="character" w:customStyle="1" w:styleId="76">
    <w:name w:val="font31"/>
    <w:basedOn w:val="37"/>
    <w:qFormat/>
    <w:uiPriority w:val="0"/>
    <w:rPr>
      <w:rFonts w:hint="eastAsia" w:ascii="宋体" w:hAnsi="宋体" w:eastAsia="宋体" w:cs="宋体"/>
      <w:color w:val="000000"/>
      <w:sz w:val="20"/>
      <w:szCs w:val="20"/>
      <w:u w:val="none"/>
      <w:vertAlign w:val="superscript"/>
    </w:rPr>
  </w:style>
  <w:style w:type="character" w:customStyle="1" w:styleId="77">
    <w:name w:val="font11"/>
    <w:basedOn w:val="37"/>
    <w:uiPriority w:val="0"/>
    <w:rPr>
      <w:rFonts w:hint="eastAsia" w:ascii="宋体" w:hAnsi="宋体" w:eastAsia="宋体" w:cs="宋体"/>
      <w:color w:val="000000"/>
      <w:sz w:val="21"/>
      <w:szCs w:val="21"/>
      <w:u w:val="none"/>
    </w:rPr>
  </w:style>
  <w:style w:type="paragraph" w:customStyle="1" w:styleId="78">
    <w:name w:val="_Style 2"/>
    <w:basedOn w:val="1"/>
    <w:qFormat/>
    <w:uiPriority w:val="0"/>
    <w:pPr>
      <w:spacing w:line="240" w:lineRule="auto"/>
      <w:ind w:firstLine="0" w:firstLineChars="0"/>
      <w:jc w:val="center"/>
    </w:pPr>
    <w:rPr>
      <w:rFonts w:ascii="仿宋_GB2312" w:hAnsi="仿宋_GB2312" w:eastAsia="仿宋_GB2312"/>
      <w:kern w:val="0"/>
      <w:sz w:val="21"/>
      <w:szCs w:val="24"/>
    </w:rPr>
  </w:style>
  <w:style w:type="paragraph" w:customStyle="1" w:styleId="79">
    <w:name w:val="Char2 Char Char Char Char Char Char Char Char Char Char Char Char2"/>
    <w:basedOn w:val="1"/>
    <w:qFormat/>
    <w:uiPriority w:val="0"/>
    <w:pPr>
      <w:spacing w:line="560" w:lineRule="exact"/>
    </w:pPr>
    <w:rPr>
      <w:rFonts w:ascii="宋体" w:hAnsi="宋体" w:cs="宋体"/>
      <w:sz w:val="28"/>
      <w:szCs w:val="28"/>
    </w:rPr>
  </w:style>
  <w:style w:type="paragraph" w:customStyle="1" w:styleId="80">
    <w:name w:val="Char2 Char Char Char Char Char Char Char Char Char Char Char Char6"/>
    <w:basedOn w:val="1"/>
    <w:qFormat/>
    <w:uiPriority w:val="0"/>
    <w:pPr>
      <w:spacing w:line="560" w:lineRule="exact"/>
    </w:pPr>
    <w:rPr>
      <w:rFonts w:ascii="宋体" w:hAnsi="宋体" w:cs="宋体"/>
      <w:sz w:val="28"/>
      <w:szCs w:val="28"/>
    </w:rPr>
  </w:style>
  <w:style w:type="character" w:customStyle="1" w:styleId="81">
    <w:name w:val="0005 Char"/>
    <w:link w:val="82"/>
    <w:qFormat/>
    <w:uiPriority w:val="0"/>
    <w:rPr>
      <w:rFonts w:ascii="Times New Roman" w:hAnsi="Times New Roman" w:eastAsia="仿宋_GB2312"/>
      <w:b/>
      <w:snapToGrid w:val="0"/>
      <w:sz w:val="28"/>
      <w:szCs w:val="24"/>
    </w:rPr>
  </w:style>
  <w:style w:type="paragraph" w:customStyle="1" w:styleId="82">
    <w:name w:val="0005"/>
    <w:basedOn w:val="1"/>
    <w:link w:val="81"/>
    <w:qFormat/>
    <w:uiPriority w:val="0"/>
    <w:pPr>
      <w:spacing w:line="460" w:lineRule="exact"/>
      <w:ind w:firstLine="640"/>
    </w:pPr>
    <w:rPr>
      <w:rFonts w:eastAsia="仿宋_GB2312"/>
      <w:b/>
      <w:snapToGrid w:val="0"/>
      <w:kern w:val="0"/>
      <w:sz w:val="28"/>
      <w:szCs w:val="24"/>
    </w:rPr>
  </w:style>
  <w:style w:type="paragraph" w:customStyle="1" w:styleId="83">
    <w:name w:val="样式 首行缩进"/>
    <w:basedOn w:val="1"/>
    <w:uiPriority w:val="0"/>
    <w:rPr>
      <w:rFonts w:cs="宋体"/>
      <w:szCs w:val="20"/>
    </w:rPr>
  </w:style>
  <w:style w:type="paragraph" w:customStyle="1" w:styleId="84">
    <w:name w:val="Char2 Char Char Char Char Char Char Char Char Char Char Char Char5"/>
    <w:basedOn w:val="1"/>
    <w:qFormat/>
    <w:uiPriority w:val="0"/>
    <w:pPr>
      <w:spacing w:line="560" w:lineRule="exact"/>
    </w:pPr>
    <w:rPr>
      <w:rFonts w:ascii="宋体" w:hAnsi="宋体" w:cs="宋体"/>
      <w:sz w:val="28"/>
      <w:szCs w:val="28"/>
    </w:rPr>
  </w:style>
  <w:style w:type="character" w:customStyle="1" w:styleId="85">
    <w:name w:val="正文文本缩进 3 Char"/>
    <w:basedOn w:val="37"/>
    <w:link w:val="28"/>
    <w:uiPriority w:val="0"/>
    <w:rPr>
      <w:rFonts w:ascii="Times New Roman" w:hAnsi="Times New Roman"/>
      <w:color w:val="000000"/>
      <w:sz w:val="16"/>
      <w:szCs w:val="16"/>
      <w:u w:color="000000"/>
    </w:rPr>
  </w:style>
  <w:style w:type="paragraph" w:customStyle="1" w:styleId="86">
    <w:name w:val="【正文】"/>
    <w:basedOn w:val="1"/>
    <w:uiPriority w:val="0"/>
    <w:pPr>
      <w:spacing w:line="440" w:lineRule="exact"/>
      <w:ind w:firstLine="544"/>
    </w:pPr>
    <w:rPr>
      <w:sz w:val="21"/>
      <w:szCs w:val="20"/>
    </w:rPr>
  </w:style>
  <w:style w:type="paragraph" w:styleId="87">
    <w:name w:val="No Spacing"/>
    <w:link w:val="88"/>
    <w:qFormat/>
    <w:uiPriority w:val="0"/>
    <w:pPr>
      <w:widowControl w:val="0"/>
      <w:adjustRightInd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character" w:customStyle="1" w:styleId="88">
    <w:name w:val="无间隔 Char"/>
    <w:link w:val="87"/>
    <w:uiPriority w:val="0"/>
    <w:rPr>
      <w:rFonts w:ascii="Times New Roman" w:hAnsi="Times New Roman" w:cstheme="minorBidi"/>
      <w:kern w:val="2"/>
      <w:sz w:val="24"/>
      <w:szCs w:val="22"/>
    </w:rPr>
  </w:style>
  <w:style w:type="character" w:customStyle="1" w:styleId="89">
    <w:name w:val="批注文字 Char"/>
    <w:basedOn w:val="37"/>
    <w:link w:val="11"/>
    <w:semiHidden/>
    <w:uiPriority w:val="99"/>
    <w:rPr>
      <w:rFonts w:ascii="Times New Roman" w:hAnsi="Times New Roman"/>
      <w:kern w:val="2"/>
      <w:sz w:val="24"/>
      <w:szCs w:val="22"/>
    </w:rPr>
  </w:style>
  <w:style w:type="character" w:customStyle="1" w:styleId="90">
    <w:name w:val="批注主题 Char"/>
    <w:basedOn w:val="89"/>
    <w:link w:val="33"/>
    <w:semiHidden/>
    <w:uiPriority w:val="99"/>
    <w:rPr>
      <w:rFonts w:ascii="Times New Roman" w:hAnsi="Times New Roman"/>
      <w:b/>
      <w:bCs/>
      <w:kern w:val="2"/>
      <w:sz w:val="24"/>
      <w:szCs w:val="22"/>
    </w:rPr>
  </w:style>
  <w:style w:type="character" w:customStyle="1" w:styleId="91">
    <w:name w:val="表格内容 Char"/>
    <w:basedOn w:val="37"/>
    <w:link w:val="92"/>
    <w:qFormat/>
    <w:uiPriority w:val="0"/>
    <w:rPr>
      <w:rFonts w:ascii="Times New Roman" w:hAnsi="宋体"/>
      <w:sz w:val="21"/>
    </w:rPr>
  </w:style>
  <w:style w:type="paragraph" w:customStyle="1" w:styleId="92">
    <w:name w:val="表格内容"/>
    <w:basedOn w:val="1"/>
    <w:link w:val="91"/>
    <w:qFormat/>
    <w:uiPriority w:val="0"/>
    <w:pPr>
      <w:tabs>
        <w:tab w:val="left" w:pos="2340"/>
      </w:tabs>
      <w:adjustRightInd/>
      <w:spacing w:line="240" w:lineRule="auto"/>
      <w:ind w:firstLine="0" w:firstLineChars="0"/>
      <w:jc w:val="center"/>
    </w:pPr>
    <w:rPr>
      <w:rFonts w:hAnsi="宋体"/>
      <w:kern w:val="0"/>
      <w:sz w:val="21"/>
      <w:szCs w:val="20"/>
    </w:rPr>
  </w:style>
  <w:style w:type="paragraph" w:customStyle="1" w:styleId="93">
    <w:name w:val="表头2"/>
    <w:basedOn w:val="1"/>
    <w:link w:val="94"/>
    <w:qFormat/>
    <w:uiPriority w:val="0"/>
    <w:pPr>
      <w:spacing w:line="240" w:lineRule="auto"/>
      <w:ind w:firstLine="0" w:firstLineChars="0"/>
      <w:jc w:val="center"/>
    </w:pPr>
    <w:rPr>
      <w:rFonts w:hAnsi="宋体"/>
      <w:b/>
      <w:sz w:val="21"/>
      <w:szCs w:val="24"/>
    </w:rPr>
  </w:style>
  <w:style w:type="character" w:customStyle="1" w:styleId="94">
    <w:name w:val="表头2 Char"/>
    <w:link w:val="93"/>
    <w:uiPriority w:val="0"/>
    <w:rPr>
      <w:rFonts w:ascii="Times New Roman" w:hAnsi="宋体"/>
      <w:b/>
      <w:kern w:val="2"/>
      <w:sz w:val="21"/>
      <w:szCs w:val="24"/>
    </w:rPr>
  </w:style>
  <w:style w:type="character" w:customStyle="1" w:styleId="95">
    <w:name w:val="!BG_正文 Char Char"/>
    <w:link w:val="96"/>
    <w:qFormat/>
    <w:locked/>
    <w:uiPriority w:val="0"/>
    <w:rPr>
      <w:rFonts w:ascii="Times New Roman" w:hAnsi="Times New Roman"/>
      <w:sz w:val="24"/>
      <w:szCs w:val="24"/>
    </w:rPr>
  </w:style>
  <w:style w:type="paragraph" w:customStyle="1" w:styleId="96">
    <w:name w:val="!BG_正文"/>
    <w:basedOn w:val="1"/>
    <w:link w:val="95"/>
    <w:qFormat/>
    <w:uiPriority w:val="0"/>
    <w:pPr>
      <w:tabs>
        <w:tab w:val="left" w:pos="360"/>
        <w:tab w:val="left" w:pos="540"/>
      </w:tabs>
      <w:adjustRightInd/>
      <w:snapToGrid/>
    </w:pPr>
    <w:rPr>
      <w:kern w:val="0"/>
      <w:szCs w:val="24"/>
    </w:rPr>
  </w:style>
  <w:style w:type="paragraph" w:customStyle="1" w:styleId="97">
    <w:name w:val="报告表格"/>
    <w:basedOn w:val="1"/>
    <w:qFormat/>
    <w:uiPriority w:val="0"/>
    <w:pPr>
      <w:autoSpaceDE w:val="0"/>
      <w:autoSpaceDN w:val="0"/>
      <w:snapToGrid/>
      <w:spacing w:line="240" w:lineRule="auto"/>
      <w:ind w:firstLine="0" w:firstLineChars="0"/>
      <w:jc w:val="center"/>
      <w:textAlignment w:val="bottom"/>
    </w:pPr>
    <w:rPr>
      <w:kern w:val="0"/>
      <w:sz w:val="21"/>
      <w:szCs w:val="20"/>
    </w:rPr>
  </w:style>
  <w:style w:type="character" w:customStyle="1" w:styleId="98">
    <w:name w:val="管线表头 Char"/>
    <w:link w:val="99"/>
    <w:qFormat/>
    <w:uiPriority w:val="0"/>
    <w:rPr>
      <w:rFonts w:ascii="Times New Roman" w:hAnsi="Times New Roman"/>
      <w:b/>
      <w:szCs w:val="21"/>
      <w:lang w:val="zh-CN"/>
    </w:rPr>
  </w:style>
  <w:style w:type="paragraph" w:customStyle="1" w:styleId="99">
    <w:name w:val="管线表头"/>
    <w:basedOn w:val="1"/>
    <w:link w:val="98"/>
    <w:qFormat/>
    <w:uiPriority w:val="0"/>
    <w:pPr>
      <w:spacing w:line="240" w:lineRule="auto"/>
      <w:ind w:firstLine="0" w:firstLineChars="0"/>
      <w:jc w:val="center"/>
    </w:pPr>
    <w:rPr>
      <w:b/>
      <w:kern w:val="0"/>
      <w:sz w:val="20"/>
      <w:szCs w:val="21"/>
      <w:lang w:val="zh-CN"/>
    </w:rPr>
  </w:style>
  <w:style w:type="character" w:customStyle="1" w:styleId="100">
    <w:name w:val="标题 Char"/>
    <w:basedOn w:val="37"/>
    <w:link w:val="32"/>
    <w:uiPriority w:val="10"/>
    <w:rPr>
      <w:rFonts w:asciiTheme="majorHAnsi" w:hAnsiTheme="majorHAnsi" w:cstheme="majorBidi"/>
      <w:b/>
      <w:bCs/>
      <w:kern w:val="2"/>
      <w:sz w:val="32"/>
      <w:szCs w:val="32"/>
    </w:rPr>
  </w:style>
  <w:style w:type="paragraph" w:customStyle="1" w:styleId="101">
    <w:name w:val="0正文"/>
    <w:basedOn w:val="1"/>
    <w:next w:val="1"/>
    <w:link w:val="102"/>
    <w:qFormat/>
    <w:uiPriority w:val="0"/>
    <w:pPr>
      <w:adjustRightInd/>
      <w:snapToGrid/>
      <w:jc w:val="left"/>
    </w:pPr>
    <w:rPr>
      <w:rFonts w:cs="宋体"/>
      <w:kern w:val="0"/>
      <w:szCs w:val="20"/>
    </w:rPr>
  </w:style>
  <w:style w:type="character" w:customStyle="1" w:styleId="102">
    <w:name w:val="0正文 Char"/>
    <w:link w:val="101"/>
    <w:uiPriority w:val="0"/>
    <w:rPr>
      <w:rFonts w:ascii="Times New Roman" w:hAnsi="Times New Roman" w:cs="宋体"/>
      <w:sz w:val="24"/>
    </w:rPr>
  </w:style>
  <w:style w:type="character" w:styleId="103">
    <w:name w:val="Placeholder Text"/>
    <w:basedOn w:val="37"/>
    <w:semiHidden/>
    <w:uiPriority w:val="99"/>
    <w:rPr>
      <w:color w:val="808080"/>
    </w:rPr>
  </w:style>
  <w:style w:type="character" w:customStyle="1" w:styleId="104">
    <w:name w:val="纯文本 Char2"/>
    <w:qFormat/>
    <w:uiPriority w:val="0"/>
    <w:rPr>
      <w:rFonts w:ascii="宋体" w:hAnsi="Courier New" w:eastAsia="宋体"/>
      <w:kern w:val="2"/>
      <w:sz w:val="21"/>
      <w:lang w:val="en-US" w:eastAsia="zh-CN" w:bidi="ar-SA"/>
    </w:rPr>
  </w:style>
  <w:style w:type="table" w:customStyle="1" w:styleId="105">
    <w:name w:val="网格型1"/>
    <w:basedOn w:val="35"/>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06">
    <w:name w:val="网格型2"/>
    <w:basedOn w:val="35"/>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07">
    <w:name w:val="网格型3"/>
    <w:basedOn w:val="35"/>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8">
    <w:name w:val="TOC Heading"/>
    <w:basedOn w:val="2"/>
    <w:next w:val="1"/>
    <w:unhideWhenUsed/>
    <w:qFormat/>
    <w:uiPriority w:val="39"/>
    <w:pPr>
      <w:widowControl/>
      <w:numPr>
        <w:numId w:val="0"/>
      </w:numPr>
      <w:adjustRightInd/>
      <w:snapToGrid/>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109">
    <w:name w:val="默认段落字体 Para Char Char Char Char Char Char Char"/>
    <w:basedOn w:val="10"/>
    <w:qFormat/>
    <w:uiPriority w:val="99"/>
    <w:pPr>
      <w:shd w:val="clear" w:color="auto" w:fill="000080"/>
      <w:snapToGrid/>
      <w:spacing w:line="436" w:lineRule="exact"/>
      <w:ind w:left="357" w:firstLine="0" w:firstLineChars="0"/>
      <w:jc w:val="left"/>
      <w:outlineLvl w:val="3"/>
    </w:pPr>
    <w:rPr>
      <w:rFonts w:ascii="Tahoma" w:hAnsi="Tahoma"/>
      <w:b/>
      <w:sz w:val="24"/>
      <w:szCs w:val="24"/>
    </w:rPr>
  </w:style>
  <w:style w:type="paragraph" w:customStyle="1" w:styleId="110">
    <w:name w:val="Char Char Char1 Char Char Char Char"/>
    <w:basedOn w:val="1"/>
    <w:uiPriority w:val="0"/>
    <w:pPr>
      <w:adjustRightInd/>
      <w:snapToGrid/>
    </w:pPr>
    <w:rPr>
      <w:rFonts w:ascii="宋体" w:hAnsi="宋体" w:cs="宋体"/>
      <w:szCs w:val="24"/>
    </w:rPr>
  </w:style>
  <w:style w:type="character" w:customStyle="1" w:styleId="111">
    <w:name w:val="正文首行缩进 Char"/>
    <w:basedOn w:val="58"/>
    <w:link w:val="34"/>
    <w:semiHidden/>
    <w:uiPriority w:val="99"/>
    <w:rPr>
      <w:rFonts w:ascii="Times New Roman" w:hAnsi="Times New Roman"/>
      <w:kern w:val="2"/>
      <w:sz w:val="24"/>
      <w:szCs w:val="22"/>
    </w:rPr>
  </w:style>
  <w:style w:type="table" w:customStyle="1" w:styleId="112">
    <w:name w:val="网格型4"/>
    <w:basedOn w:val="35"/>
    <w:qFormat/>
    <w:uiPriority w:val="39"/>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3">
    <w:name w:val="副标题 Char"/>
    <w:basedOn w:val="37"/>
    <w:link w:val="26"/>
    <w:uiPriority w:val="11"/>
    <w:rPr>
      <w:rFonts w:ascii="Times New Roman" w:hAnsi="Times New Roman" w:cstheme="majorBidi"/>
      <w:bCs/>
      <w:kern w:val="28"/>
      <w:sz w:val="21"/>
      <w:szCs w:val="32"/>
    </w:rPr>
  </w:style>
  <w:style w:type="table" w:customStyle="1" w:styleId="114">
    <w:name w:val="网格型5"/>
    <w:basedOn w:val="35"/>
    <w:qFormat/>
    <w:uiPriority w:val="39"/>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5">
    <w:name w:val="网格型6"/>
    <w:basedOn w:val="35"/>
    <w:qFormat/>
    <w:uiPriority w:val="39"/>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6">
    <w:name w:val="网格型7"/>
    <w:basedOn w:val="35"/>
    <w:qFormat/>
    <w:uiPriority w:val="39"/>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7">
    <w:name w:val="网格型8"/>
    <w:basedOn w:val="35"/>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8">
    <w:name w:val="表头名 Char Char1"/>
    <w:link w:val="49"/>
    <w:qFormat/>
    <w:uiPriority w:val="0"/>
    <w:rPr>
      <w:rFonts w:ascii="Times New Roman" w:hAnsi="黑体" w:eastAsia="Times New Roman"/>
      <w:b/>
      <w:kern w:val="2"/>
      <w:sz w:val="21"/>
    </w:rPr>
  </w:style>
  <w:style w:type="table" w:customStyle="1" w:styleId="119">
    <w:name w:val="网格型9"/>
    <w:basedOn w:val="35"/>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0">
    <w:name w:val="网格型10"/>
    <w:basedOn w:val="35"/>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1">
    <w:name w:val="日期 Char"/>
    <w:basedOn w:val="37"/>
    <w:link w:val="19"/>
    <w:semiHidden/>
    <w:uiPriority w:val="99"/>
    <w:rPr>
      <w:rFonts w:ascii="Times New Roman" w:hAnsi="Times New Roman"/>
      <w:kern w:val="2"/>
      <w:sz w:val="24"/>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3.bin"/><Relationship Id="rId98" Type="http://schemas.openxmlformats.org/officeDocument/2006/relationships/image" Target="media/image16.wmf"/><Relationship Id="rId97" Type="http://schemas.openxmlformats.org/officeDocument/2006/relationships/oleObject" Target="embeddings/oleObject12.bin"/><Relationship Id="rId96" Type="http://schemas.openxmlformats.org/officeDocument/2006/relationships/image" Target="media/image15.wmf"/><Relationship Id="rId95" Type="http://schemas.openxmlformats.org/officeDocument/2006/relationships/oleObject" Target="embeddings/oleObject11.bin"/><Relationship Id="rId94" Type="http://schemas.openxmlformats.org/officeDocument/2006/relationships/image" Target="media/image14.wmf"/><Relationship Id="rId93" Type="http://schemas.openxmlformats.org/officeDocument/2006/relationships/oleObject" Target="embeddings/oleObject10.bin"/><Relationship Id="rId92" Type="http://schemas.openxmlformats.org/officeDocument/2006/relationships/image" Target="media/image13.wmf"/><Relationship Id="rId91" Type="http://schemas.openxmlformats.org/officeDocument/2006/relationships/oleObject" Target="embeddings/oleObject9.bin"/><Relationship Id="rId90" Type="http://schemas.openxmlformats.org/officeDocument/2006/relationships/image" Target="media/image12.wmf"/><Relationship Id="rId9" Type="http://schemas.openxmlformats.org/officeDocument/2006/relationships/header" Target="header4.xml"/><Relationship Id="rId89" Type="http://schemas.openxmlformats.org/officeDocument/2006/relationships/oleObject" Target="embeddings/oleObject8.bin"/><Relationship Id="rId88" Type="http://schemas.openxmlformats.org/officeDocument/2006/relationships/image" Target="media/image11.wmf"/><Relationship Id="rId87" Type="http://schemas.openxmlformats.org/officeDocument/2006/relationships/oleObject" Target="embeddings/oleObject7.bin"/><Relationship Id="rId86" Type="http://schemas.openxmlformats.org/officeDocument/2006/relationships/image" Target="media/image10.wmf"/><Relationship Id="rId85" Type="http://schemas.openxmlformats.org/officeDocument/2006/relationships/oleObject" Target="embeddings/oleObject6.bin"/><Relationship Id="rId84" Type="http://schemas.openxmlformats.org/officeDocument/2006/relationships/image" Target="media/image9.wmf"/><Relationship Id="rId83" Type="http://schemas.openxmlformats.org/officeDocument/2006/relationships/oleObject" Target="embeddings/oleObject5.bin"/><Relationship Id="rId82" Type="http://schemas.openxmlformats.org/officeDocument/2006/relationships/image" Target="media/image8.emf"/><Relationship Id="rId81" Type="http://schemas.openxmlformats.org/officeDocument/2006/relationships/oleObject" Target="embeddings/oleObject4.bin"/><Relationship Id="rId80" Type="http://schemas.openxmlformats.org/officeDocument/2006/relationships/image" Target="media/image7.emf"/><Relationship Id="rId8" Type="http://schemas.openxmlformats.org/officeDocument/2006/relationships/footer" Target="footer3.xml"/><Relationship Id="rId79" Type="http://schemas.openxmlformats.org/officeDocument/2006/relationships/oleObject" Target="embeddings/oleObject3.bin"/><Relationship Id="rId78" Type="http://schemas.openxmlformats.org/officeDocument/2006/relationships/image" Target="media/image6.emf"/><Relationship Id="rId77" Type="http://schemas.openxmlformats.org/officeDocument/2006/relationships/oleObject" Target="embeddings/oleObject2.bin"/><Relationship Id="rId76" Type="http://schemas.openxmlformats.org/officeDocument/2006/relationships/image" Target="media/image5.emf"/><Relationship Id="rId75" Type="http://schemas.openxmlformats.org/officeDocument/2006/relationships/oleObject" Target="embeddings/oleObject1.bin"/><Relationship Id="rId74" Type="http://schemas.openxmlformats.org/officeDocument/2006/relationships/image" Target="media/image4.jpeg"/><Relationship Id="rId73" Type="http://schemas.openxmlformats.org/officeDocument/2006/relationships/image" Target="media/image3.jpeg"/><Relationship Id="rId72" Type="http://schemas.openxmlformats.org/officeDocument/2006/relationships/image" Target="media/image2.jpeg"/><Relationship Id="rId71" Type="http://schemas.openxmlformats.org/officeDocument/2006/relationships/image" Target="media/image1.jpeg"/><Relationship Id="rId70" Type="http://schemas.openxmlformats.org/officeDocument/2006/relationships/theme" Target="theme/theme1.xml"/><Relationship Id="rId7" Type="http://schemas.openxmlformats.org/officeDocument/2006/relationships/footer" Target="footer2.xml"/><Relationship Id="rId69" Type="http://schemas.openxmlformats.org/officeDocument/2006/relationships/header" Target="header60.xml"/><Relationship Id="rId68" Type="http://schemas.openxmlformats.org/officeDocument/2006/relationships/header" Target="header59.xml"/><Relationship Id="rId67" Type="http://schemas.openxmlformats.org/officeDocument/2006/relationships/header" Target="header58.xml"/><Relationship Id="rId66" Type="http://schemas.openxmlformats.org/officeDocument/2006/relationships/header" Target="header57.xml"/><Relationship Id="rId65" Type="http://schemas.openxmlformats.org/officeDocument/2006/relationships/header" Target="header56.xml"/><Relationship Id="rId64" Type="http://schemas.openxmlformats.org/officeDocument/2006/relationships/header" Target="header55.xml"/><Relationship Id="rId63" Type="http://schemas.openxmlformats.org/officeDocument/2006/relationships/header" Target="header54.xml"/><Relationship Id="rId62" Type="http://schemas.openxmlformats.org/officeDocument/2006/relationships/header" Target="header53.xml"/><Relationship Id="rId61" Type="http://schemas.openxmlformats.org/officeDocument/2006/relationships/header" Target="header52.xml"/><Relationship Id="rId60" Type="http://schemas.openxmlformats.org/officeDocument/2006/relationships/header" Target="header51.xml"/><Relationship Id="rId6" Type="http://schemas.openxmlformats.org/officeDocument/2006/relationships/footer" Target="footer1.xml"/><Relationship Id="rId59" Type="http://schemas.openxmlformats.org/officeDocument/2006/relationships/header" Target="header50.xml"/><Relationship Id="rId58" Type="http://schemas.openxmlformats.org/officeDocument/2006/relationships/header" Target="header49.xml"/><Relationship Id="rId57" Type="http://schemas.openxmlformats.org/officeDocument/2006/relationships/header" Target="header48.xml"/><Relationship Id="rId56" Type="http://schemas.openxmlformats.org/officeDocument/2006/relationships/header" Target="header47.xml"/><Relationship Id="rId55" Type="http://schemas.openxmlformats.org/officeDocument/2006/relationships/header" Target="header46.xml"/><Relationship Id="rId54" Type="http://schemas.openxmlformats.org/officeDocument/2006/relationships/header" Target="header45.xml"/><Relationship Id="rId53" Type="http://schemas.openxmlformats.org/officeDocument/2006/relationships/header" Target="header44.xml"/><Relationship Id="rId52" Type="http://schemas.openxmlformats.org/officeDocument/2006/relationships/header" Target="header43.xml"/><Relationship Id="rId51" Type="http://schemas.openxmlformats.org/officeDocument/2006/relationships/header" Target="header42.xml"/><Relationship Id="rId50" Type="http://schemas.openxmlformats.org/officeDocument/2006/relationships/header" Target="header41.xml"/><Relationship Id="rId5" Type="http://schemas.openxmlformats.org/officeDocument/2006/relationships/header" Target="header3.xml"/><Relationship Id="rId49" Type="http://schemas.openxmlformats.org/officeDocument/2006/relationships/header" Target="header40.xml"/><Relationship Id="rId48" Type="http://schemas.openxmlformats.org/officeDocument/2006/relationships/header" Target="header39.xml"/><Relationship Id="rId47" Type="http://schemas.openxmlformats.org/officeDocument/2006/relationships/header" Target="header38.xml"/><Relationship Id="rId46" Type="http://schemas.openxmlformats.org/officeDocument/2006/relationships/header" Target="header37.xml"/><Relationship Id="rId45" Type="http://schemas.openxmlformats.org/officeDocument/2006/relationships/header" Target="header36.xml"/><Relationship Id="rId44" Type="http://schemas.openxmlformats.org/officeDocument/2006/relationships/header" Target="header35.xml"/><Relationship Id="rId43" Type="http://schemas.openxmlformats.org/officeDocument/2006/relationships/header" Target="header34.xml"/><Relationship Id="rId42" Type="http://schemas.openxmlformats.org/officeDocument/2006/relationships/header" Target="header33.xml"/><Relationship Id="rId41" Type="http://schemas.openxmlformats.org/officeDocument/2006/relationships/header" Target="header32.xml"/><Relationship Id="rId40" Type="http://schemas.openxmlformats.org/officeDocument/2006/relationships/header" Target="header31.xml"/><Relationship Id="rId4" Type="http://schemas.openxmlformats.org/officeDocument/2006/relationships/header" Target="header2.xml"/><Relationship Id="rId39" Type="http://schemas.openxmlformats.org/officeDocument/2006/relationships/header" Target="header30.xml"/><Relationship Id="rId38" Type="http://schemas.openxmlformats.org/officeDocument/2006/relationships/header" Target="header29.xml"/><Relationship Id="rId37" Type="http://schemas.openxmlformats.org/officeDocument/2006/relationships/header" Target="header28.xml"/><Relationship Id="rId36" Type="http://schemas.openxmlformats.org/officeDocument/2006/relationships/header" Target="header27.xml"/><Relationship Id="rId35" Type="http://schemas.openxmlformats.org/officeDocument/2006/relationships/header" Target="header26.xml"/><Relationship Id="rId34" Type="http://schemas.openxmlformats.org/officeDocument/2006/relationships/header" Target="header25.xml"/><Relationship Id="rId33" Type="http://schemas.openxmlformats.org/officeDocument/2006/relationships/header" Target="header24.xml"/><Relationship Id="rId32" Type="http://schemas.openxmlformats.org/officeDocument/2006/relationships/header" Target="header23.xml"/><Relationship Id="rId31" Type="http://schemas.openxmlformats.org/officeDocument/2006/relationships/header" Target="header22.xml"/><Relationship Id="rId30" Type="http://schemas.openxmlformats.org/officeDocument/2006/relationships/header" Target="header21.xml"/><Relationship Id="rId3" Type="http://schemas.openxmlformats.org/officeDocument/2006/relationships/header" Target="header1.xml"/><Relationship Id="rId29" Type="http://schemas.openxmlformats.org/officeDocument/2006/relationships/header" Target="header20.xml"/><Relationship Id="rId28" Type="http://schemas.openxmlformats.org/officeDocument/2006/relationships/header" Target="header19.xml"/><Relationship Id="rId27" Type="http://schemas.openxmlformats.org/officeDocument/2006/relationships/header" Target="header18.xml"/><Relationship Id="rId26" Type="http://schemas.openxmlformats.org/officeDocument/2006/relationships/header" Target="header17.xml"/><Relationship Id="rId25" Type="http://schemas.openxmlformats.org/officeDocument/2006/relationships/header" Target="header16.xml"/><Relationship Id="rId24" Type="http://schemas.openxmlformats.org/officeDocument/2006/relationships/header" Target="header15.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8" Type="http://schemas.openxmlformats.org/officeDocument/2006/relationships/fontTable" Target="fontTable.xml"/><Relationship Id="rId117" Type="http://schemas.openxmlformats.org/officeDocument/2006/relationships/customXml" Target="../customXml/item2.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26.png"/><Relationship Id="rId113" Type="http://schemas.openxmlformats.org/officeDocument/2006/relationships/image" Target="media/image25.png"/><Relationship Id="rId112" Type="http://schemas.openxmlformats.org/officeDocument/2006/relationships/image" Target="media/image24.jpeg"/><Relationship Id="rId111" Type="http://schemas.openxmlformats.org/officeDocument/2006/relationships/image" Target="media/image23.emf"/><Relationship Id="rId110" Type="http://schemas.openxmlformats.org/officeDocument/2006/relationships/image" Target="media/image22.wmf"/><Relationship Id="rId11" Type="http://schemas.openxmlformats.org/officeDocument/2006/relationships/header" Target="header6.xml"/><Relationship Id="rId109" Type="http://schemas.openxmlformats.org/officeDocument/2006/relationships/oleObject" Target="embeddings/oleObject18.bin"/><Relationship Id="rId108" Type="http://schemas.openxmlformats.org/officeDocument/2006/relationships/image" Target="media/image21.wmf"/><Relationship Id="rId107" Type="http://schemas.openxmlformats.org/officeDocument/2006/relationships/oleObject" Target="embeddings/oleObject17.bin"/><Relationship Id="rId106" Type="http://schemas.openxmlformats.org/officeDocument/2006/relationships/image" Target="media/image20.wmf"/><Relationship Id="rId105" Type="http://schemas.openxmlformats.org/officeDocument/2006/relationships/oleObject" Target="embeddings/oleObject16.bin"/><Relationship Id="rId104" Type="http://schemas.openxmlformats.org/officeDocument/2006/relationships/image" Target="media/image19.wmf"/><Relationship Id="rId103" Type="http://schemas.openxmlformats.org/officeDocument/2006/relationships/oleObject" Target="embeddings/oleObject15.bin"/><Relationship Id="rId102" Type="http://schemas.openxmlformats.org/officeDocument/2006/relationships/image" Target="media/image18.wmf"/><Relationship Id="rId101" Type="http://schemas.openxmlformats.org/officeDocument/2006/relationships/oleObject" Target="embeddings/oleObject14.bin"/><Relationship Id="rId100" Type="http://schemas.openxmlformats.org/officeDocument/2006/relationships/image" Target="media/image17.wmf"/><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A3257F-904B-4AA8-B8BA-5CA4439B3702}">
  <ds:schemaRefs/>
</ds:datastoreItem>
</file>

<file path=docProps/app.xml><?xml version="1.0" encoding="utf-8"?>
<Properties xmlns="http://schemas.openxmlformats.org/officeDocument/2006/extended-properties" xmlns:vt="http://schemas.openxmlformats.org/officeDocument/2006/docPropsVTypes">
  <Template>Normal</Template>
  <Pages>154</Pages>
  <Words>18340</Words>
  <Characters>104543</Characters>
  <Lines>871</Lines>
  <Paragraphs>245</Paragraphs>
  <TotalTime>38</TotalTime>
  <ScaleCrop>false</ScaleCrop>
  <LinksUpToDate>false</LinksUpToDate>
  <CharactersWithSpaces>122638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2021-09-13T00:58:00Z</dcterms:created>
  <dc:creator>lsl</dc:creator>
  <cp:lastModifiedBy>释然惜缘</cp:lastModifiedBy>
  <cp:lastPrinted>2021-09-10T01:17:00Z</cp:lastPrinted>
  <dcterms:modified xsi:type="dcterms:W3CDTF">2023-04-27T01:39:22Z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